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FA48E" w14:textId="77777777" w:rsidR="008520EF" w:rsidRPr="008620DF" w:rsidRDefault="008520EF" w:rsidP="008520EF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8620DF">
        <w:rPr>
          <w:rFonts w:ascii="Times New Roman" w:hAnsi="Times New Roman" w:cs="Times New Roman"/>
          <w:b/>
          <w:lang w:val="en-US"/>
        </w:rPr>
        <w:t>SUPPLEMENTARY MATERIAL</w:t>
      </w:r>
    </w:p>
    <w:p w14:paraId="1928D233" w14:textId="77777777" w:rsidR="008520EF" w:rsidRPr="008620DF" w:rsidRDefault="008520EF" w:rsidP="008520EF">
      <w:pPr>
        <w:spacing w:line="240" w:lineRule="auto"/>
        <w:rPr>
          <w:rFonts w:ascii="Times New Roman" w:hAnsi="Times New Roman" w:cs="Times New Roman"/>
          <w:b/>
          <w:lang w:val="en-US"/>
        </w:rPr>
      </w:pPr>
      <w:r w:rsidRPr="008620DF">
        <w:rPr>
          <w:rFonts w:ascii="Times New Roman" w:hAnsi="Times New Roman" w:cs="Times New Roman"/>
          <w:b/>
          <w:lang w:val="en-US"/>
        </w:rPr>
        <w:t xml:space="preserve">S1. </w:t>
      </w:r>
      <w:r w:rsidRPr="008620DF">
        <w:rPr>
          <w:rFonts w:ascii="Times New Roman" w:hAnsi="Times New Roman" w:cs="Times New Roman"/>
          <w:lang w:val="en-US"/>
        </w:rPr>
        <w:t>Treatment-related changes in symptoms and in lesion mean diameter between the baseline (V1) and 2</w:t>
      </w:r>
      <w:r w:rsidRPr="008620DF">
        <w:rPr>
          <w:rFonts w:ascii="Times New Roman" w:hAnsi="Times New Roman" w:cs="Times New Roman"/>
          <w:vertAlign w:val="superscript"/>
          <w:lang w:val="en-US"/>
        </w:rPr>
        <w:t>nd</w:t>
      </w:r>
      <w:r w:rsidRPr="008620DF">
        <w:rPr>
          <w:rFonts w:ascii="Times New Roman" w:hAnsi="Times New Roman" w:cs="Times New Roman"/>
          <w:lang w:val="en-US"/>
        </w:rPr>
        <w:t xml:space="preserve"> follow-up evaluation (V3, 12 months apart), and differences in changes between treatments (D+EE/EV vs D), both crude (Δ) and adjusted for baseline NRS scores and sizes (adj. Δ).</w:t>
      </w:r>
    </w:p>
    <w:tbl>
      <w:tblPr>
        <w:tblStyle w:val="TableGrid"/>
        <w:tblW w:w="8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8"/>
        <w:gridCol w:w="1984"/>
        <w:gridCol w:w="1984"/>
        <w:gridCol w:w="962"/>
        <w:gridCol w:w="962"/>
      </w:tblGrid>
      <w:tr w:rsidR="008520EF" w:rsidRPr="008620DF" w14:paraId="70F68B33" w14:textId="77777777" w:rsidTr="00574B51">
        <w:tc>
          <w:tcPr>
            <w:tcW w:w="275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4B69C" w14:textId="77777777" w:rsidR="008520EF" w:rsidRPr="008620DF" w:rsidRDefault="008520EF" w:rsidP="00574B5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AE4E79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Dienogest + contin.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053C98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Dienogest Alone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F25562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C252FD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520EF" w:rsidRPr="008620DF" w14:paraId="2F9E2E87" w14:textId="77777777" w:rsidTr="00574B51">
        <w:tc>
          <w:tcPr>
            <w:tcW w:w="2758" w:type="dxa"/>
            <w:shd w:val="clear" w:color="auto" w:fill="F2F2F2" w:themeFill="background1" w:themeFillShade="F2"/>
            <w:vAlign w:val="center"/>
          </w:tcPr>
          <w:p w14:paraId="3D4714D2" w14:textId="77777777" w:rsidR="008520EF" w:rsidRPr="008620DF" w:rsidRDefault="008520EF" w:rsidP="00574B51">
            <w:pPr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Variable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68857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EE/EV (</w:t>
            </w:r>
            <w:r w:rsidRPr="008620DF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8620DF">
              <w:rPr>
                <w:rFonts w:ascii="Times New Roman" w:hAnsi="Times New Roman" w:cs="Times New Roman"/>
                <w:lang w:val="en-US"/>
              </w:rPr>
              <w:t xml:space="preserve"> = 55)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95976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(</w:t>
            </w:r>
            <w:r w:rsidRPr="008620DF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8620DF">
              <w:rPr>
                <w:rFonts w:ascii="Times New Roman" w:hAnsi="Times New Roman" w:cs="Times New Roman"/>
                <w:lang w:val="en-US"/>
              </w:rPr>
              <w:t xml:space="preserve"> = 156)</w:t>
            </w:r>
          </w:p>
        </w:tc>
        <w:tc>
          <w:tcPr>
            <w:tcW w:w="962" w:type="dxa"/>
            <w:shd w:val="clear" w:color="auto" w:fill="F2F2F2" w:themeFill="background1" w:themeFillShade="F2"/>
            <w:vAlign w:val="center"/>
          </w:tcPr>
          <w:p w14:paraId="4349AE0D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Δ</w:t>
            </w:r>
          </w:p>
        </w:tc>
        <w:tc>
          <w:tcPr>
            <w:tcW w:w="962" w:type="dxa"/>
            <w:shd w:val="clear" w:color="auto" w:fill="F2F2F2" w:themeFill="background1" w:themeFillShade="F2"/>
            <w:vAlign w:val="center"/>
          </w:tcPr>
          <w:p w14:paraId="7CA70CAC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Adj. Δ</w:t>
            </w:r>
          </w:p>
        </w:tc>
      </w:tr>
      <w:tr w:rsidR="008520EF" w:rsidRPr="008620DF" w14:paraId="531846BE" w14:textId="77777777" w:rsidTr="00574B51">
        <w:tc>
          <w:tcPr>
            <w:tcW w:w="27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6BB740" w14:textId="77777777" w:rsidR="008520EF" w:rsidRPr="008620DF" w:rsidRDefault="008520EF" w:rsidP="00574B5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61F3A8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Mean (95% CI)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D52F8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Mean (95% CI)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F4ACE3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997488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520EF" w:rsidRPr="008620DF" w14:paraId="1088DF1B" w14:textId="77777777" w:rsidTr="00574B51">
        <w:tc>
          <w:tcPr>
            <w:tcW w:w="2758" w:type="dxa"/>
            <w:tcBorders>
              <w:top w:val="single" w:sz="4" w:space="0" w:color="auto"/>
            </w:tcBorders>
            <w:vAlign w:val="center"/>
          </w:tcPr>
          <w:p w14:paraId="655ECFD9" w14:textId="77777777" w:rsidR="008520EF" w:rsidRPr="008620DF" w:rsidRDefault="008520EF" w:rsidP="00574B51">
            <w:pPr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Dyspareunia, NRS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1589619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–0.89</w:t>
            </w:r>
            <w:r w:rsidRPr="008620DF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E82DD87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–0.69</w:t>
            </w:r>
            <w:r w:rsidRPr="008620DF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14:paraId="3D795079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–0.20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14:paraId="7210FB62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–0.09</w:t>
            </w:r>
          </w:p>
        </w:tc>
      </w:tr>
      <w:tr w:rsidR="008520EF" w:rsidRPr="008620DF" w14:paraId="22900E4B" w14:textId="77777777" w:rsidTr="00574B51">
        <w:tc>
          <w:tcPr>
            <w:tcW w:w="2758" w:type="dxa"/>
            <w:vAlign w:val="center"/>
          </w:tcPr>
          <w:p w14:paraId="6DE3D610" w14:textId="77777777" w:rsidR="008520EF" w:rsidRPr="008620DF" w:rsidRDefault="008520EF" w:rsidP="00574B5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14:paraId="58981A0C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(–1.74, –0.04)</w:t>
            </w:r>
          </w:p>
        </w:tc>
        <w:tc>
          <w:tcPr>
            <w:tcW w:w="1984" w:type="dxa"/>
          </w:tcPr>
          <w:p w14:paraId="5E2C3079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(–1.15, –0.24)</w:t>
            </w:r>
          </w:p>
        </w:tc>
        <w:tc>
          <w:tcPr>
            <w:tcW w:w="962" w:type="dxa"/>
          </w:tcPr>
          <w:p w14:paraId="604C844C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2" w:type="dxa"/>
          </w:tcPr>
          <w:p w14:paraId="727C387D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520EF" w:rsidRPr="008620DF" w14:paraId="33EAA181" w14:textId="77777777" w:rsidTr="00574B51">
        <w:tc>
          <w:tcPr>
            <w:tcW w:w="2758" w:type="dxa"/>
            <w:vAlign w:val="center"/>
          </w:tcPr>
          <w:p w14:paraId="0B8128E5" w14:textId="77777777" w:rsidR="008520EF" w:rsidRPr="008620DF" w:rsidRDefault="008520EF" w:rsidP="00574B51">
            <w:pPr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Chronic pelvic pain, NRS</w:t>
            </w:r>
          </w:p>
        </w:tc>
        <w:tc>
          <w:tcPr>
            <w:tcW w:w="1984" w:type="dxa"/>
          </w:tcPr>
          <w:p w14:paraId="750A7DE7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–0.22</w:t>
            </w:r>
          </w:p>
        </w:tc>
        <w:tc>
          <w:tcPr>
            <w:tcW w:w="1984" w:type="dxa"/>
          </w:tcPr>
          <w:p w14:paraId="2E8D0746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–0.72</w:t>
            </w:r>
            <w:r w:rsidRPr="008620DF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962" w:type="dxa"/>
          </w:tcPr>
          <w:p w14:paraId="735CC1BF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0.50</w:t>
            </w:r>
          </w:p>
        </w:tc>
        <w:tc>
          <w:tcPr>
            <w:tcW w:w="962" w:type="dxa"/>
          </w:tcPr>
          <w:p w14:paraId="4881BADE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0.20</w:t>
            </w:r>
          </w:p>
        </w:tc>
      </w:tr>
      <w:tr w:rsidR="008520EF" w:rsidRPr="008620DF" w14:paraId="11E1956F" w14:textId="77777777" w:rsidTr="00574B51">
        <w:tc>
          <w:tcPr>
            <w:tcW w:w="2758" w:type="dxa"/>
            <w:vAlign w:val="center"/>
          </w:tcPr>
          <w:p w14:paraId="4B4296F2" w14:textId="77777777" w:rsidR="008520EF" w:rsidRPr="008620DF" w:rsidRDefault="008520EF" w:rsidP="00574B5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14:paraId="54A5ADE3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(–0.90, 0.46)</w:t>
            </w:r>
          </w:p>
        </w:tc>
        <w:tc>
          <w:tcPr>
            <w:tcW w:w="1984" w:type="dxa"/>
          </w:tcPr>
          <w:p w14:paraId="730CAD7C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(–1.26, –0.18)</w:t>
            </w:r>
          </w:p>
        </w:tc>
        <w:tc>
          <w:tcPr>
            <w:tcW w:w="962" w:type="dxa"/>
          </w:tcPr>
          <w:p w14:paraId="48686DF3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2" w:type="dxa"/>
          </w:tcPr>
          <w:p w14:paraId="694EDF83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520EF" w:rsidRPr="008620DF" w14:paraId="129A3069" w14:textId="77777777" w:rsidTr="00574B51">
        <w:tc>
          <w:tcPr>
            <w:tcW w:w="2758" w:type="dxa"/>
            <w:vAlign w:val="center"/>
          </w:tcPr>
          <w:p w14:paraId="162E8BEF" w14:textId="77777777" w:rsidR="008520EF" w:rsidRPr="008620DF" w:rsidRDefault="008520EF" w:rsidP="00574B51">
            <w:pPr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Dysmenorrhea</w:t>
            </w:r>
          </w:p>
        </w:tc>
        <w:tc>
          <w:tcPr>
            <w:tcW w:w="1984" w:type="dxa"/>
          </w:tcPr>
          <w:p w14:paraId="12BB03AD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–1.73</w:t>
            </w:r>
            <w:r w:rsidRPr="008620DF"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1984" w:type="dxa"/>
          </w:tcPr>
          <w:p w14:paraId="2B88D200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–2.63</w:t>
            </w:r>
            <w:r w:rsidRPr="008620DF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962" w:type="dxa"/>
          </w:tcPr>
          <w:p w14:paraId="3AED0EC9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0.90</w:t>
            </w:r>
          </w:p>
        </w:tc>
        <w:tc>
          <w:tcPr>
            <w:tcW w:w="962" w:type="dxa"/>
          </w:tcPr>
          <w:p w14:paraId="335D051E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0.96</w:t>
            </w:r>
            <w:r w:rsidRPr="008620DF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8520EF" w:rsidRPr="008620DF" w14:paraId="4278E357" w14:textId="77777777" w:rsidTr="00574B51">
        <w:tc>
          <w:tcPr>
            <w:tcW w:w="2758" w:type="dxa"/>
            <w:vAlign w:val="center"/>
          </w:tcPr>
          <w:p w14:paraId="403FDDD3" w14:textId="77777777" w:rsidR="008520EF" w:rsidRPr="008620DF" w:rsidRDefault="008520EF" w:rsidP="00574B5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14:paraId="6D2DAB89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(–2.96, –0.49)</w:t>
            </w:r>
          </w:p>
        </w:tc>
        <w:tc>
          <w:tcPr>
            <w:tcW w:w="1984" w:type="dxa"/>
          </w:tcPr>
          <w:p w14:paraId="0C1A9657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(–3.30, –1.96)</w:t>
            </w:r>
          </w:p>
        </w:tc>
        <w:tc>
          <w:tcPr>
            <w:tcW w:w="962" w:type="dxa"/>
          </w:tcPr>
          <w:p w14:paraId="73064CE9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2" w:type="dxa"/>
          </w:tcPr>
          <w:p w14:paraId="53C18785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520EF" w:rsidRPr="008620DF" w14:paraId="427A4884" w14:textId="77777777" w:rsidTr="00574B51">
        <w:tc>
          <w:tcPr>
            <w:tcW w:w="2758" w:type="dxa"/>
            <w:vAlign w:val="center"/>
          </w:tcPr>
          <w:p w14:paraId="32B65B45" w14:textId="77777777" w:rsidR="008520EF" w:rsidRPr="008620DF" w:rsidRDefault="008520EF" w:rsidP="00574B51">
            <w:pPr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Dysuria, NRS</w:t>
            </w:r>
          </w:p>
        </w:tc>
        <w:tc>
          <w:tcPr>
            <w:tcW w:w="1984" w:type="dxa"/>
          </w:tcPr>
          <w:p w14:paraId="18D837AB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–0.45</w:t>
            </w:r>
            <w:r w:rsidRPr="008620DF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1984" w:type="dxa"/>
          </w:tcPr>
          <w:p w14:paraId="39DC472E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0.08</w:t>
            </w:r>
          </w:p>
        </w:tc>
        <w:tc>
          <w:tcPr>
            <w:tcW w:w="962" w:type="dxa"/>
          </w:tcPr>
          <w:p w14:paraId="52A3820E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–0.54</w:t>
            </w:r>
            <w:r w:rsidRPr="008620DF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962" w:type="dxa"/>
          </w:tcPr>
          <w:p w14:paraId="65C144D3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–0.30</w:t>
            </w:r>
            <w:r w:rsidRPr="008620DF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</w:tr>
      <w:tr w:rsidR="008520EF" w:rsidRPr="008620DF" w14:paraId="203E2DF9" w14:textId="77777777" w:rsidTr="00574B51">
        <w:tc>
          <w:tcPr>
            <w:tcW w:w="2758" w:type="dxa"/>
            <w:vAlign w:val="center"/>
          </w:tcPr>
          <w:p w14:paraId="683CBF13" w14:textId="77777777" w:rsidR="008520EF" w:rsidRPr="008620DF" w:rsidRDefault="008520EF" w:rsidP="00574B5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14:paraId="7D7B34E8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(–0.91, 0.00)</w:t>
            </w:r>
          </w:p>
        </w:tc>
        <w:tc>
          <w:tcPr>
            <w:tcW w:w="1984" w:type="dxa"/>
          </w:tcPr>
          <w:p w14:paraId="7AA9B5E4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(–0.05, 0.21)</w:t>
            </w:r>
          </w:p>
        </w:tc>
        <w:tc>
          <w:tcPr>
            <w:tcW w:w="962" w:type="dxa"/>
          </w:tcPr>
          <w:p w14:paraId="5BB3F7B8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2" w:type="dxa"/>
          </w:tcPr>
          <w:p w14:paraId="22332C7B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520EF" w:rsidRPr="008620DF" w14:paraId="13D26A96" w14:textId="77777777" w:rsidTr="00574B51">
        <w:tc>
          <w:tcPr>
            <w:tcW w:w="2758" w:type="dxa"/>
            <w:vAlign w:val="center"/>
          </w:tcPr>
          <w:p w14:paraId="0C766148" w14:textId="77777777" w:rsidR="008520EF" w:rsidRPr="008620DF" w:rsidRDefault="008520EF" w:rsidP="00574B51">
            <w:pPr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Dyschezia w/ menses, NRS</w:t>
            </w:r>
          </w:p>
        </w:tc>
        <w:tc>
          <w:tcPr>
            <w:tcW w:w="1984" w:type="dxa"/>
          </w:tcPr>
          <w:p w14:paraId="347EC6FF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–0.16</w:t>
            </w:r>
          </w:p>
        </w:tc>
        <w:tc>
          <w:tcPr>
            <w:tcW w:w="1984" w:type="dxa"/>
          </w:tcPr>
          <w:p w14:paraId="7EA4F52E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–0.44</w:t>
            </w:r>
            <w:r w:rsidRPr="008620DF"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962" w:type="dxa"/>
          </w:tcPr>
          <w:p w14:paraId="195EF008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0.27</w:t>
            </w:r>
          </w:p>
        </w:tc>
        <w:tc>
          <w:tcPr>
            <w:tcW w:w="962" w:type="dxa"/>
          </w:tcPr>
          <w:p w14:paraId="6A2B225E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–0.13</w:t>
            </w:r>
          </w:p>
        </w:tc>
      </w:tr>
      <w:tr w:rsidR="008520EF" w:rsidRPr="008620DF" w14:paraId="283314E2" w14:textId="77777777" w:rsidTr="00574B51">
        <w:tc>
          <w:tcPr>
            <w:tcW w:w="2758" w:type="dxa"/>
            <w:vAlign w:val="center"/>
          </w:tcPr>
          <w:p w14:paraId="0A4FA854" w14:textId="77777777" w:rsidR="008520EF" w:rsidRPr="008620DF" w:rsidRDefault="008520EF" w:rsidP="00574B5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14:paraId="2CF95BF5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(–0.48, 0.15)</w:t>
            </w:r>
          </w:p>
        </w:tc>
        <w:tc>
          <w:tcPr>
            <w:tcW w:w="1984" w:type="dxa"/>
          </w:tcPr>
          <w:p w14:paraId="75499DBE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(–0.85, –0.02)</w:t>
            </w:r>
          </w:p>
        </w:tc>
        <w:tc>
          <w:tcPr>
            <w:tcW w:w="962" w:type="dxa"/>
          </w:tcPr>
          <w:p w14:paraId="243576C4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2" w:type="dxa"/>
          </w:tcPr>
          <w:p w14:paraId="3219F0AE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520EF" w:rsidRPr="008620DF" w14:paraId="2C569DAE" w14:textId="77777777" w:rsidTr="00574B51">
        <w:tc>
          <w:tcPr>
            <w:tcW w:w="2758" w:type="dxa"/>
            <w:vAlign w:val="center"/>
          </w:tcPr>
          <w:p w14:paraId="4AB4FB7E" w14:textId="77777777" w:rsidR="008520EF" w:rsidRPr="008620DF" w:rsidRDefault="008520EF" w:rsidP="00574B51">
            <w:pPr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Endometrial cyst, mm</w:t>
            </w:r>
          </w:p>
        </w:tc>
        <w:tc>
          <w:tcPr>
            <w:tcW w:w="1984" w:type="dxa"/>
          </w:tcPr>
          <w:p w14:paraId="1C20DF00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–5.64</w:t>
            </w:r>
            <w:r w:rsidRPr="008620DF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1984" w:type="dxa"/>
          </w:tcPr>
          <w:p w14:paraId="3417CEC1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–6.11</w:t>
            </w:r>
            <w:r w:rsidRPr="008620DF">
              <w:rPr>
                <w:rFonts w:ascii="Times New Roman" w:hAnsi="Times New Roman" w:cs="Times New Roman"/>
                <w:vertAlign w:val="superscript"/>
                <w:lang w:val="en-US"/>
              </w:rPr>
              <w:t>***</w:t>
            </w:r>
          </w:p>
        </w:tc>
        <w:tc>
          <w:tcPr>
            <w:tcW w:w="962" w:type="dxa"/>
          </w:tcPr>
          <w:p w14:paraId="10638E18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0.47</w:t>
            </w:r>
          </w:p>
        </w:tc>
        <w:tc>
          <w:tcPr>
            <w:tcW w:w="962" w:type="dxa"/>
          </w:tcPr>
          <w:p w14:paraId="564EE93D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–2.01</w:t>
            </w:r>
          </w:p>
        </w:tc>
      </w:tr>
      <w:tr w:rsidR="008520EF" w:rsidRPr="008620DF" w14:paraId="70F7A847" w14:textId="77777777" w:rsidTr="00574B51">
        <w:tc>
          <w:tcPr>
            <w:tcW w:w="2758" w:type="dxa"/>
            <w:vAlign w:val="center"/>
          </w:tcPr>
          <w:p w14:paraId="11EBF1DB" w14:textId="77777777" w:rsidR="008520EF" w:rsidRPr="008620DF" w:rsidRDefault="008520EF" w:rsidP="00574B5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14:paraId="23AA29A4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(–9.09, –2.19)</w:t>
            </w:r>
          </w:p>
        </w:tc>
        <w:tc>
          <w:tcPr>
            <w:tcW w:w="1984" w:type="dxa"/>
          </w:tcPr>
          <w:p w14:paraId="520C2C34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(–7.75, –4.46)</w:t>
            </w:r>
          </w:p>
        </w:tc>
        <w:tc>
          <w:tcPr>
            <w:tcW w:w="962" w:type="dxa"/>
          </w:tcPr>
          <w:p w14:paraId="3808A680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2" w:type="dxa"/>
          </w:tcPr>
          <w:p w14:paraId="3EE84DA6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520EF" w:rsidRPr="008620DF" w14:paraId="53AA97D5" w14:textId="77777777" w:rsidTr="00574B51">
        <w:tc>
          <w:tcPr>
            <w:tcW w:w="2758" w:type="dxa"/>
            <w:vAlign w:val="center"/>
          </w:tcPr>
          <w:p w14:paraId="67FF96DD" w14:textId="77777777" w:rsidR="008520EF" w:rsidRPr="008620DF" w:rsidRDefault="008520EF" w:rsidP="00574B51">
            <w:pPr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Posterior nodule, mm</w:t>
            </w:r>
          </w:p>
        </w:tc>
        <w:tc>
          <w:tcPr>
            <w:tcW w:w="1984" w:type="dxa"/>
          </w:tcPr>
          <w:p w14:paraId="534B8BDA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1984" w:type="dxa"/>
          </w:tcPr>
          <w:p w14:paraId="144115CC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–0.35</w:t>
            </w:r>
          </w:p>
        </w:tc>
        <w:tc>
          <w:tcPr>
            <w:tcW w:w="962" w:type="dxa"/>
          </w:tcPr>
          <w:p w14:paraId="1FEDE04B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0.41</w:t>
            </w:r>
          </w:p>
        </w:tc>
        <w:tc>
          <w:tcPr>
            <w:tcW w:w="962" w:type="dxa"/>
          </w:tcPr>
          <w:p w14:paraId="03C26508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–0.19</w:t>
            </w:r>
          </w:p>
        </w:tc>
      </w:tr>
      <w:tr w:rsidR="008520EF" w:rsidRPr="008620DF" w14:paraId="12E1F1BF" w14:textId="77777777" w:rsidTr="00574B51">
        <w:tc>
          <w:tcPr>
            <w:tcW w:w="2758" w:type="dxa"/>
            <w:tcBorders>
              <w:bottom w:val="single" w:sz="4" w:space="0" w:color="auto"/>
            </w:tcBorders>
            <w:vAlign w:val="center"/>
          </w:tcPr>
          <w:p w14:paraId="528F9B7F" w14:textId="77777777" w:rsidR="008520EF" w:rsidRPr="008620DF" w:rsidRDefault="008520EF" w:rsidP="00574B5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A4D3E29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(–1.95, 2.07)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056A1BB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0DF">
              <w:rPr>
                <w:rFonts w:ascii="Times New Roman" w:hAnsi="Times New Roman" w:cs="Times New Roman"/>
                <w:lang w:val="en-US"/>
              </w:rPr>
              <w:t>(–1.52, 0.81)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6875FEC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277A42C" w14:textId="77777777" w:rsidR="008520EF" w:rsidRPr="008620DF" w:rsidRDefault="008520EF" w:rsidP="00574B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103E3FD" w14:textId="77777777" w:rsidR="008520EF" w:rsidRPr="008620DF" w:rsidRDefault="008520EF" w:rsidP="008520EF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620DF">
        <w:rPr>
          <w:rFonts w:ascii="Times New Roman" w:hAnsi="Times New Roman" w:cs="Times New Roman"/>
          <w:vertAlign w:val="superscript"/>
          <w:lang w:val="en-US"/>
        </w:rPr>
        <w:t>***</w:t>
      </w:r>
      <w:r w:rsidRPr="008620DF">
        <w:rPr>
          <w:rFonts w:ascii="Times New Roman" w:hAnsi="Times New Roman" w:cs="Times New Roman"/>
          <w:i/>
          <w:lang w:val="en-US"/>
        </w:rPr>
        <w:t>P</w:t>
      </w:r>
      <w:r w:rsidRPr="008620DF">
        <w:rPr>
          <w:rFonts w:ascii="Times New Roman" w:hAnsi="Times New Roman" w:cs="Times New Roman"/>
          <w:lang w:val="en-US"/>
        </w:rPr>
        <w:t xml:space="preserve"> value ≤0.001; </w:t>
      </w:r>
      <w:r w:rsidRPr="008620DF">
        <w:rPr>
          <w:rFonts w:ascii="Times New Roman" w:hAnsi="Times New Roman" w:cs="Times New Roman"/>
          <w:vertAlign w:val="superscript"/>
          <w:lang w:val="en-US"/>
        </w:rPr>
        <w:t>**</w:t>
      </w:r>
      <w:r w:rsidRPr="008620DF">
        <w:rPr>
          <w:rFonts w:ascii="Times New Roman" w:hAnsi="Times New Roman" w:cs="Times New Roman"/>
          <w:i/>
          <w:lang w:val="en-US"/>
        </w:rPr>
        <w:t>P</w:t>
      </w:r>
      <w:r w:rsidRPr="008620DF">
        <w:rPr>
          <w:rFonts w:ascii="Times New Roman" w:hAnsi="Times New Roman" w:cs="Times New Roman"/>
          <w:lang w:val="en-US"/>
        </w:rPr>
        <w:t xml:space="preserve"> value ≤0.01; </w:t>
      </w:r>
      <w:r w:rsidRPr="008620DF">
        <w:rPr>
          <w:rFonts w:ascii="Times New Roman" w:hAnsi="Times New Roman" w:cs="Times New Roman"/>
          <w:vertAlign w:val="superscript"/>
          <w:lang w:val="en-US"/>
        </w:rPr>
        <w:t>*</w:t>
      </w:r>
      <w:r w:rsidRPr="008620DF">
        <w:rPr>
          <w:rFonts w:ascii="Times New Roman" w:hAnsi="Times New Roman" w:cs="Times New Roman"/>
          <w:i/>
          <w:lang w:val="en-US"/>
        </w:rPr>
        <w:t>P</w:t>
      </w:r>
      <w:r w:rsidRPr="008620DF">
        <w:rPr>
          <w:rFonts w:ascii="Times New Roman" w:hAnsi="Times New Roman" w:cs="Times New Roman"/>
          <w:lang w:val="en-US"/>
        </w:rPr>
        <w:t xml:space="preserve"> value ≤0.05.</w:t>
      </w:r>
    </w:p>
    <w:p w14:paraId="0D4E0BD9" w14:textId="77777777" w:rsidR="008520EF" w:rsidRPr="008620DF" w:rsidRDefault="008520EF" w:rsidP="008520EF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620DF">
        <w:rPr>
          <w:rFonts w:ascii="Times New Roman" w:hAnsi="Times New Roman" w:cs="Times New Roman"/>
          <w:i/>
          <w:lang w:val="en-US"/>
        </w:rPr>
        <w:t xml:space="preserve">Notes: </w:t>
      </w:r>
      <w:r w:rsidRPr="008620DF">
        <w:rPr>
          <w:rFonts w:ascii="Times New Roman" w:hAnsi="Times New Roman" w:cs="Times New Roman"/>
          <w:lang w:val="en-US"/>
        </w:rPr>
        <w:t>Mean diameter of cysts and nodules is the average of length (longitudinal diameter), width (transverse diameter) and antero-posterior diameter; in case of &gt;1 lesion, the largest one was analyzed.</w:t>
      </w:r>
    </w:p>
    <w:p w14:paraId="06293A63" w14:textId="77777777" w:rsidR="008520EF" w:rsidRPr="008620DF" w:rsidRDefault="008520EF" w:rsidP="008520EF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620DF">
        <w:rPr>
          <w:rFonts w:ascii="Times New Roman" w:hAnsi="Times New Roman" w:cs="Times New Roman"/>
          <w:i/>
          <w:lang w:val="en-US"/>
        </w:rPr>
        <w:t xml:space="preserve">Abbreviations: </w:t>
      </w:r>
      <w:r w:rsidRPr="008620DF">
        <w:rPr>
          <w:rFonts w:ascii="Times New Roman" w:hAnsi="Times New Roman" w:cs="Times New Roman"/>
          <w:lang w:val="en-US"/>
        </w:rPr>
        <w:t>EE, ethinylestradiol; EV, estradiol valerate; CI, confidence interval; NRS, Numeric Rating Scale.</w:t>
      </w:r>
    </w:p>
    <w:p w14:paraId="76B18991" w14:textId="77777777" w:rsidR="008520EF" w:rsidRPr="008620DF" w:rsidRDefault="008520EF" w:rsidP="008520EF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620DF">
        <w:rPr>
          <w:rFonts w:ascii="Times New Roman" w:hAnsi="Times New Roman" w:cs="Times New Roman"/>
          <w:lang w:val="en-US"/>
        </w:rPr>
        <w:br w:type="page"/>
      </w:r>
    </w:p>
    <w:p w14:paraId="13F77E92" w14:textId="77777777" w:rsidR="008520EF" w:rsidRPr="008620DF" w:rsidRDefault="008520EF" w:rsidP="008520E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8BF5EB7" w14:textId="77777777" w:rsidR="008520EF" w:rsidRPr="008620DF" w:rsidRDefault="008520EF" w:rsidP="008520EF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14:paraId="00A14463" w14:textId="77777777" w:rsidR="008520EF" w:rsidRPr="008620DF" w:rsidRDefault="008520EF" w:rsidP="008520EF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8620DF">
        <w:rPr>
          <w:rFonts w:ascii="Times New Roman" w:hAnsi="Times New Roman" w:cs="Times New Roman"/>
          <w:b/>
          <w:lang w:val="en-US"/>
        </w:rPr>
        <w:t xml:space="preserve">S2. </w:t>
      </w:r>
      <w:r w:rsidRPr="008620DF">
        <w:rPr>
          <w:rFonts w:ascii="Times New Roman" w:hAnsi="Times New Roman" w:cs="Times New Roman"/>
          <w:lang w:val="en-US"/>
        </w:rPr>
        <w:t>Line plots showing mean diameter of endometrial cyst and posterior nodule during follow-up (baseline V1, 1</w:t>
      </w:r>
      <w:r w:rsidRPr="008620DF">
        <w:rPr>
          <w:rFonts w:ascii="Times New Roman" w:hAnsi="Times New Roman" w:cs="Times New Roman"/>
          <w:vertAlign w:val="superscript"/>
          <w:lang w:val="en-US"/>
        </w:rPr>
        <w:t>st</w:t>
      </w:r>
      <w:r w:rsidRPr="008620DF">
        <w:rPr>
          <w:rFonts w:ascii="Times New Roman" w:hAnsi="Times New Roman" w:cs="Times New Roman"/>
          <w:lang w:val="en-US"/>
        </w:rPr>
        <w:t xml:space="preserve"> follow-up examination V2 6 months apart, 2</w:t>
      </w:r>
      <w:r w:rsidRPr="008620DF">
        <w:rPr>
          <w:rFonts w:ascii="Times New Roman" w:hAnsi="Times New Roman" w:cs="Times New Roman"/>
          <w:vertAlign w:val="superscript"/>
          <w:lang w:val="en-US"/>
        </w:rPr>
        <w:t>nd</w:t>
      </w:r>
      <w:r w:rsidRPr="008620DF">
        <w:rPr>
          <w:rFonts w:ascii="Times New Roman" w:hAnsi="Times New Roman" w:cs="Times New Roman"/>
          <w:lang w:val="en-US"/>
        </w:rPr>
        <w:t xml:space="preserve"> follow-up evaluation V3 12 months apart) by therapy (dienogest alone [DNG] and in combination with ethinylestradiol or estradiol valerate [DNG + EE/EV]). Mean estimates resulting from multilevel mixed-effects analysis are presented along with 95% confidence intervals.</w:t>
      </w:r>
    </w:p>
    <w:p w14:paraId="45C93C64" w14:textId="77777777" w:rsidR="008520EF" w:rsidRPr="008620DF" w:rsidRDefault="008520EF" w:rsidP="008520EF">
      <w:pPr>
        <w:spacing w:line="240" w:lineRule="auto"/>
        <w:rPr>
          <w:rFonts w:ascii="Times New Roman" w:hAnsi="Times New Roman" w:cs="Times New Roman"/>
          <w:b/>
          <w:lang w:val="en-US"/>
        </w:rPr>
      </w:pPr>
      <w:r w:rsidRPr="008620DF">
        <w:rPr>
          <w:rFonts w:ascii="Times New Roman" w:hAnsi="Times New Roman" w:cs="Times New Roman"/>
          <w:b/>
          <w:noProof/>
          <w:lang w:eastAsia="it-IT"/>
        </w:rPr>
        <w:drawing>
          <wp:inline distT="0" distB="0" distL="0" distR="0" wp14:anchorId="2ECA202F" wp14:editId="1B41710F">
            <wp:extent cx="3657600" cy="1816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347"/>
                    <a:stretch/>
                  </pic:blipFill>
                  <pic:spPr bwMode="auto">
                    <a:xfrm>
                      <a:off x="0" y="0"/>
                      <a:ext cx="36576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EAB89" w14:textId="77777777" w:rsidR="008520EF" w:rsidRPr="008620DF" w:rsidRDefault="008520EF" w:rsidP="008520EF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620DF">
        <w:rPr>
          <w:rFonts w:ascii="Times New Roman" w:hAnsi="Times New Roman" w:cs="Times New Roman"/>
          <w:i/>
          <w:lang w:val="en-US"/>
        </w:rPr>
        <w:t xml:space="preserve">Notes: </w:t>
      </w:r>
      <w:r w:rsidRPr="008620DF">
        <w:rPr>
          <w:rFonts w:ascii="Times New Roman" w:hAnsi="Times New Roman" w:cs="Times New Roman"/>
          <w:lang w:val="en-US"/>
        </w:rPr>
        <w:t xml:space="preserve">Mean diameter is the average of length (longitudinal diameter), width (transverse diameter) and antero-posterior diameter; in case of &gt;1 lesion, the largest one was analyzed. </w:t>
      </w:r>
    </w:p>
    <w:p w14:paraId="37A77898" w14:textId="77777777" w:rsidR="008520EF" w:rsidRPr="008620DF" w:rsidRDefault="008520EF" w:rsidP="008520E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09FCD9A3" w14:textId="77777777" w:rsidR="00E1715D" w:rsidRDefault="008520EF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0EF"/>
    <w:rsid w:val="001942F0"/>
    <w:rsid w:val="002C0857"/>
    <w:rsid w:val="003F01F8"/>
    <w:rsid w:val="008520EF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2137C"/>
  <w15:chartTrackingRefBased/>
  <w15:docId w15:val="{80AA3B71-29F1-492D-B4DE-7608BEE6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EF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20EF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1669</Characters>
  <Application>Microsoft Office Word</Application>
  <DocSecurity>0</DocSecurity>
  <Lines>13</Lines>
  <Paragraphs>3</Paragraphs>
  <ScaleCrop>false</ScaleCrop>
  <Company>Springer Nature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2023-04-10T16:40:00Z</dcterms:created>
  <dcterms:modified xsi:type="dcterms:W3CDTF">2023-04-10T16:40:00Z</dcterms:modified>
</cp:coreProperties>
</file>