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E71" w:rsidRDefault="009F0E71" w:rsidP="009F0E71">
      <w:pPr>
        <w:pStyle w:val="Titre1"/>
        <w:spacing w:before="0" w:line="480" w:lineRule="auto"/>
        <w:rPr>
          <w:color w:val="auto"/>
          <w:lang w:val="en-US"/>
        </w:rPr>
      </w:pPr>
      <w:bookmarkStart w:id="0" w:name="_GoBack"/>
      <w:bookmarkEnd w:id="0"/>
      <w:r w:rsidRPr="00846A60">
        <w:rPr>
          <w:color w:val="auto"/>
          <w:lang w:val="en-US"/>
        </w:rPr>
        <w:t>Social buffering in horses (</w:t>
      </w:r>
      <w:r w:rsidRPr="007F3683">
        <w:rPr>
          <w:i/>
          <w:color w:val="auto"/>
          <w:lang w:val="en-US"/>
        </w:rPr>
        <w:t xml:space="preserve">Equus </w:t>
      </w:r>
      <w:proofErr w:type="spellStart"/>
      <w:r w:rsidRPr="007F3683">
        <w:rPr>
          <w:i/>
          <w:color w:val="auto"/>
          <w:lang w:val="en-US"/>
        </w:rPr>
        <w:t>caballus</w:t>
      </w:r>
      <w:proofErr w:type="spellEnd"/>
      <w:r w:rsidRPr="00846A60">
        <w:rPr>
          <w:color w:val="auto"/>
          <w:lang w:val="en-US"/>
        </w:rPr>
        <w:t>): Influence of context, companion familiarity and companion habituation.</w:t>
      </w:r>
    </w:p>
    <w:p w:rsidR="009F0E71" w:rsidRPr="00D83BD1" w:rsidRDefault="009F0E71" w:rsidP="009F0E71">
      <w:pPr>
        <w:spacing w:line="480" w:lineRule="auto"/>
        <w:jc w:val="both"/>
        <w:rPr>
          <w:rFonts w:cstheme="minorHAnsi"/>
          <w:sz w:val="20"/>
          <w:szCs w:val="20"/>
          <w:vertAlign w:val="superscript"/>
          <w:lang w:val="en-GB"/>
        </w:rPr>
      </w:pPr>
      <w:r w:rsidRPr="00A325A8">
        <w:rPr>
          <w:rFonts w:cstheme="minorHAnsi"/>
          <w:sz w:val="20"/>
          <w:szCs w:val="20"/>
          <w:lang w:val="en-US"/>
        </w:rPr>
        <w:t>Claire Ricci-Bonot</w:t>
      </w:r>
      <w:r w:rsidRPr="00A325A8">
        <w:rPr>
          <w:rFonts w:cstheme="minorHAnsi"/>
          <w:sz w:val="20"/>
          <w:szCs w:val="20"/>
          <w:vertAlign w:val="superscript"/>
          <w:lang w:val="en-US"/>
        </w:rPr>
        <w:t>1</w:t>
      </w:r>
      <w:r>
        <w:rPr>
          <w:rFonts w:cstheme="minorHAnsi"/>
          <w:sz w:val="20"/>
          <w:szCs w:val="20"/>
          <w:vertAlign w:val="superscript"/>
          <w:lang w:val="en-US"/>
        </w:rPr>
        <w:t>*</w:t>
      </w:r>
      <w:r w:rsidRPr="00A325A8">
        <w:rPr>
          <w:rFonts w:cstheme="minorHAnsi"/>
          <w:sz w:val="20"/>
          <w:szCs w:val="20"/>
          <w:lang w:val="en-US"/>
        </w:rPr>
        <w:t>, Teresa Romero</w:t>
      </w:r>
      <w:r w:rsidRPr="00A325A8">
        <w:rPr>
          <w:rFonts w:cstheme="minorHAnsi"/>
          <w:sz w:val="20"/>
          <w:szCs w:val="20"/>
          <w:vertAlign w:val="superscript"/>
          <w:lang w:val="en-US"/>
        </w:rPr>
        <w:t>1</w:t>
      </w:r>
      <w:r w:rsidRPr="00A325A8">
        <w:rPr>
          <w:rFonts w:cstheme="minorHAnsi"/>
          <w:sz w:val="20"/>
          <w:szCs w:val="20"/>
          <w:lang w:val="en-US"/>
        </w:rPr>
        <w:t xml:space="preserve">, </w:t>
      </w:r>
      <w:r w:rsidRPr="00D83BD1">
        <w:rPr>
          <w:rFonts w:cstheme="minorHAnsi"/>
          <w:sz w:val="20"/>
          <w:szCs w:val="20"/>
          <w:lang w:val="en-GB"/>
        </w:rPr>
        <w:t>Christine Nicol</w:t>
      </w:r>
      <w:r w:rsidRPr="00D83BD1">
        <w:rPr>
          <w:rFonts w:cstheme="minorHAnsi"/>
          <w:sz w:val="20"/>
          <w:szCs w:val="20"/>
          <w:vertAlign w:val="superscript"/>
          <w:lang w:val="en-GB"/>
        </w:rPr>
        <w:t>1,2</w:t>
      </w:r>
      <w:r w:rsidRPr="00D83BD1">
        <w:rPr>
          <w:rFonts w:cstheme="minorHAnsi"/>
          <w:sz w:val="20"/>
          <w:szCs w:val="20"/>
          <w:lang w:val="en-GB"/>
        </w:rPr>
        <w:t xml:space="preserve"> and Daniel Mills</w:t>
      </w:r>
      <w:r w:rsidRPr="00D83BD1">
        <w:rPr>
          <w:rFonts w:cstheme="minorHAnsi"/>
          <w:sz w:val="20"/>
          <w:szCs w:val="20"/>
          <w:vertAlign w:val="superscript"/>
          <w:lang w:val="en-GB"/>
        </w:rPr>
        <w:t>1</w:t>
      </w:r>
    </w:p>
    <w:p w:rsidR="009F0E71" w:rsidRPr="00D83BD1" w:rsidRDefault="009F0E71" w:rsidP="009F0E71">
      <w:pPr>
        <w:spacing w:line="480" w:lineRule="auto"/>
        <w:jc w:val="both"/>
        <w:rPr>
          <w:rFonts w:cstheme="minorHAnsi"/>
          <w:sz w:val="20"/>
          <w:szCs w:val="20"/>
          <w:lang w:val="en-GB"/>
        </w:rPr>
      </w:pPr>
      <w:r w:rsidRPr="00D83BD1">
        <w:rPr>
          <w:rFonts w:cstheme="minorHAnsi"/>
          <w:sz w:val="20"/>
          <w:szCs w:val="20"/>
          <w:vertAlign w:val="superscript"/>
          <w:lang w:val="en-GB"/>
        </w:rPr>
        <w:t xml:space="preserve">1 </w:t>
      </w:r>
      <w:r w:rsidRPr="00D83BD1">
        <w:rPr>
          <w:rFonts w:cstheme="minorHAnsi"/>
          <w:sz w:val="20"/>
          <w:szCs w:val="20"/>
          <w:lang w:val="en-GB"/>
        </w:rPr>
        <w:t>Animal Behaviour, Cognition and Welfare Group, School of Life Sciences, University</w:t>
      </w:r>
      <w:r>
        <w:rPr>
          <w:rFonts w:cstheme="minorHAnsi"/>
          <w:sz w:val="20"/>
          <w:szCs w:val="20"/>
          <w:lang w:val="en-GB"/>
        </w:rPr>
        <w:t xml:space="preserve"> of Lincoln</w:t>
      </w:r>
      <w:r w:rsidRPr="00D83BD1">
        <w:rPr>
          <w:rFonts w:cstheme="minorHAnsi"/>
          <w:sz w:val="20"/>
          <w:szCs w:val="20"/>
          <w:lang w:val="en-GB"/>
        </w:rPr>
        <w:t>, Lincolnshire, LN6 7TS United Kingdom</w:t>
      </w:r>
      <w:r w:rsidRPr="00D83BD1">
        <w:rPr>
          <w:rFonts w:ascii="DejaVuSans" w:hAnsi="DejaVuSans"/>
          <w:color w:val="333333"/>
          <w:sz w:val="22"/>
          <w:szCs w:val="22"/>
          <w:lang w:val="en-GB"/>
        </w:rPr>
        <w:t xml:space="preserve"> </w:t>
      </w:r>
    </w:p>
    <w:p w:rsidR="009F0E71" w:rsidRDefault="009F0E71" w:rsidP="009F0E71">
      <w:pPr>
        <w:shd w:val="clear" w:color="auto" w:fill="FFFFFF"/>
        <w:spacing w:line="480" w:lineRule="auto"/>
        <w:jc w:val="both"/>
        <w:rPr>
          <w:rFonts w:cstheme="minorHAnsi"/>
          <w:sz w:val="20"/>
          <w:szCs w:val="20"/>
          <w:lang w:val="en-GB"/>
        </w:rPr>
      </w:pPr>
      <w:r w:rsidRPr="00D83BD1">
        <w:rPr>
          <w:rFonts w:cstheme="minorHAnsi"/>
          <w:sz w:val="20"/>
          <w:szCs w:val="20"/>
          <w:vertAlign w:val="superscript"/>
          <w:lang w:val="en-GB"/>
        </w:rPr>
        <w:t>2</w:t>
      </w:r>
      <w:r w:rsidRPr="00D83BD1">
        <w:rPr>
          <w:rFonts w:cstheme="minorHAnsi"/>
          <w:sz w:val="20"/>
          <w:szCs w:val="20"/>
          <w:lang w:val="en-GB"/>
        </w:rPr>
        <w:t xml:space="preserve">The Royal Veterinary College, </w:t>
      </w:r>
      <w:proofErr w:type="spellStart"/>
      <w:r w:rsidRPr="00D83BD1">
        <w:rPr>
          <w:rFonts w:cstheme="minorHAnsi"/>
          <w:sz w:val="20"/>
          <w:szCs w:val="20"/>
          <w:lang w:val="en-GB"/>
        </w:rPr>
        <w:t>Hawkshead</w:t>
      </w:r>
      <w:proofErr w:type="spellEnd"/>
      <w:r w:rsidRPr="00D83BD1">
        <w:rPr>
          <w:rFonts w:cstheme="minorHAnsi"/>
          <w:sz w:val="20"/>
          <w:szCs w:val="20"/>
          <w:lang w:val="en-GB"/>
        </w:rPr>
        <w:t xml:space="preserve"> Lane North </w:t>
      </w:r>
      <w:proofErr w:type="spellStart"/>
      <w:r w:rsidRPr="00D83BD1">
        <w:rPr>
          <w:rFonts w:cstheme="minorHAnsi"/>
          <w:sz w:val="20"/>
          <w:szCs w:val="20"/>
          <w:lang w:val="en-GB"/>
        </w:rPr>
        <w:t>Mymms</w:t>
      </w:r>
      <w:proofErr w:type="spellEnd"/>
      <w:r w:rsidRPr="00D83BD1">
        <w:rPr>
          <w:rFonts w:cstheme="minorHAnsi"/>
          <w:sz w:val="20"/>
          <w:szCs w:val="20"/>
          <w:lang w:val="en-GB"/>
        </w:rPr>
        <w:t xml:space="preserve"> Hatfield, Hertfordshire, AL9 7TA United Kingdom </w:t>
      </w:r>
    </w:p>
    <w:p w:rsidR="009F0E71" w:rsidRPr="00A06811" w:rsidRDefault="009F0E71" w:rsidP="009F0E71">
      <w:pPr>
        <w:shd w:val="clear" w:color="auto" w:fill="FFFFFF"/>
        <w:spacing w:line="480" w:lineRule="auto"/>
        <w:jc w:val="both"/>
        <w:rPr>
          <w:rFonts w:cstheme="minorHAnsi"/>
          <w:sz w:val="20"/>
          <w:szCs w:val="20"/>
          <w:lang w:val="en-GB"/>
        </w:rPr>
      </w:pPr>
      <w:r>
        <w:rPr>
          <w:rFonts w:cstheme="minorHAnsi"/>
          <w:sz w:val="20"/>
          <w:szCs w:val="20"/>
          <w:lang w:val="en-GB"/>
        </w:rPr>
        <w:t>*</w:t>
      </w:r>
      <w:r w:rsidRPr="00A06811">
        <w:rPr>
          <w:rFonts w:cstheme="minorHAnsi"/>
          <w:sz w:val="20"/>
          <w:szCs w:val="20"/>
          <w:lang w:val="en-GB"/>
        </w:rPr>
        <w:t>email</w:t>
      </w:r>
      <w:r>
        <w:rPr>
          <w:rFonts w:cstheme="minorHAnsi"/>
          <w:sz w:val="20"/>
          <w:szCs w:val="20"/>
          <w:lang w:val="en-GB"/>
        </w:rPr>
        <w:t>: cRicciBonot@lincoln.ac.uk</w:t>
      </w:r>
    </w:p>
    <w:p w:rsidR="00B81127" w:rsidRDefault="00B81127">
      <w:pPr>
        <w:rPr>
          <w:lang w:val="en-GB"/>
        </w:rPr>
      </w:pPr>
      <w:r>
        <w:rPr>
          <w:lang w:val="en-GB"/>
        </w:rPr>
        <w:br w:type="page"/>
      </w:r>
    </w:p>
    <w:p w:rsidR="00E03E7F" w:rsidRPr="00B81127" w:rsidRDefault="00B81127">
      <w:pPr>
        <w:rPr>
          <w:lang w:val="en-GB"/>
        </w:rPr>
      </w:pPr>
      <w:r w:rsidRPr="00B81127">
        <w:rPr>
          <w:lang w:val="en-GB"/>
        </w:rPr>
        <w:lastRenderedPageBreak/>
        <w:t>Supplementary material</w:t>
      </w:r>
    </w:p>
    <w:p w:rsidR="009F0E71" w:rsidRDefault="009F0E71" w:rsidP="00711F5D">
      <w:pPr>
        <w:spacing w:line="480" w:lineRule="auto"/>
        <w:jc w:val="center"/>
      </w:pPr>
      <w:r w:rsidRPr="00D83BD1">
        <w:rPr>
          <w:rFonts w:cstheme="minorHAnsi"/>
          <w:noProof/>
          <w:color w:val="000000" w:themeColor="text1"/>
          <w:sz w:val="20"/>
          <w:szCs w:val="20"/>
          <w:lang w:val="en-GB" w:eastAsia="en-GB"/>
        </w:rPr>
        <w:drawing>
          <wp:inline distT="0" distB="0" distL="0" distR="0" wp14:anchorId="15C94FD8" wp14:editId="6708DE58">
            <wp:extent cx="2921226" cy="308858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1613" cy="3088997"/>
                    </a:xfrm>
                    <a:prstGeom prst="rect">
                      <a:avLst/>
                    </a:prstGeom>
                  </pic:spPr>
                </pic:pic>
              </a:graphicData>
            </a:graphic>
          </wp:inline>
        </w:drawing>
      </w:r>
    </w:p>
    <w:p w:rsidR="00711F5D" w:rsidRDefault="009F0E71" w:rsidP="00711F5D">
      <w:pPr>
        <w:pStyle w:val="NormalWeb"/>
        <w:spacing w:before="0" w:beforeAutospacing="0" w:after="0" w:afterAutospacing="0" w:line="480" w:lineRule="auto"/>
        <w:jc w:val="both"/>
        <w:rPr>
          <w:rFonts w:asciiTheme="minorHAnsi" w:hAnsiTheme="minorHAnsi" w:cstheme="minorHAnsi"/>
          <w:i/>
          <w:color w:val="000000" w:themeColor="text1"/>
          <w:sz w:val="20"/>
          <w:szCs w:val="20"/>
        </w:rPr>
      </w:pPr>
      <w:r w:rsidRPr="00D83BD1">
        <w:rPr>
          <w:rFonts w:asciiTheme="minorHAnsi" w:hAnsiTheme="minorHAnsi" w:cstheme="minorHAnsi"/>
          <w:i/>
          <w:color w:val="000000" w:themeColor="text1"/>
          <w:sz w:val="20"/>
          <w:szCs w:val="20"/>
        </w:rPr>
        <w:t xml:space="preserve">Figure </w:t>
      </w:r>
      <w:r>
        <w:rPr>
          <w:rFonts w:asciiTheme="minorHAnsi" w:hAnsiTheme="minorHAnsi" w:cstheme="minorHAnsi"/>
          <w:i/>
          <w:color w:val="000000" w:themeColor="text1"/>
          <w:sz w:val="20"/>
          <w:szCs w:val="20"/>
        </w:rPr>
        <w:t>S</w:t>
      </w:r>
      <w:r w:rsidRPr="00D83BD1">
        <w:rPr>
          <w:rFonts w:asciiTheme="minorHAnsi" w:hAnsiTheme="minorHAnsi" w:cstheme="minorHAnsi"/>
          <w:i/>
          <w:color w:val="000000" w:themeColor="text1"/>
          <w:sz w:val="20"/>
          <w:szCs w:val="20"/>
        </w:rPr>
        <w:t xml:space="preserve">1: </w:t>
      </w:r>
      <w:r>
        <w:rPr>
          <w:rFonts w:asciiTheme="minorHAnsi" w:hAnsiTheme="minorHAnsi" w:cstheme="minorHAnsi"/>
          <w:i/>
          <w:color w:val="000000" w:themeColor="text1"/>
          <w:sz w:val="20"/>
          <w:szCs w:val="20"/>
        </w:rPr>
        <w:t>T</w:t>
      </w:r>
      <w:r w:rsidRPr="00D83BD1">
        <w:rPr>
          <w:rFonts w:asciiTheme="minorHAnsi" w:hAnsiTheme="minorHAnsi" w:cstheme="minorHAnsi"/>
          <w:i/>
          <w:color w:val="000000" w:themeColor="text1"/>
          <w:sz w:val="20"/>
          <w:szCs w:val="20"/>
        </w:rPr>
        <w:t>est arena for the experiments. The stimulus is a ball for the novel object test and an umbrella for the opening umbrella test</w:t>
      </w:r>
    </w:p>
    <w:p w:rsidR="00711F5D" w:rsidRDefault="00711F5D" w:rsidP="00711F5D">
      <w:pPr>
        <w:pStyle w:val="NormalWeb"/>
        <w:spacing w:before="0" w:beforeAutospacing="0" w:after="0" w:afterAutospacing="0" w:line="480" w:lineRule="auto"/>
        <w:jc w:val="both"/>
        <w:rPr>
          <w:rFonts w:asciiTheme="minorHAnsi" w:hAnsiTheme="minorHAnsi" w:cstheme="minorHAnsi"/>
          <w:i/>
          <w:color w:val="000000" w:themeColor="text1"/>
          <w:sz w:val="20"/>
          <w:szCs w:val="20"/>
        </w:rPr>
      </w:pPr>
    </w:p>
    <w:p w:rsidR="00B81127" w:rsidRPr="004A0302" w:rsidRDefault="00B81127" w:rsidP="00711F5D">
      <w:pPr>
        <w:spacing w:line="480" w:lineRule="auto"/>
        <w:jc w:val="both"/>
        <w:rPr>
          <w:rFonts w:cstheme="minorHAnsi"/>
          <w:i/>
          <w:sz w:val="20"/>
          <w:szCs w:val="20"/>
          <w:lang w:val="en-GB"/>
        </w:rPr>
      </w:pPr>
      <w:r w:rsidRPr="004A0302">
        <w:rPr>
          <w:rFonts w:cstheme="minorHAnsi"/>
          <w:i/>
          <w:sz w:val="20"/>
          <w:szCs w:val="20"/>
          <w:lang w:val="en-GB"/>
        </w:rPr>
        <w:t xml:space="preserve">Table </w:t>
      </w:r>
      <w:r>
        <w:rPr>
          <w:rFonts w:cstheme="minorHAnsi"/>
          <w:i/>
          <w:sz w:val="20"/>
          <w:szCs w:val="20"/>
          <w:lang w:val="en-GB"/>
        </w:rPr>
        <w:t>S</w:t>
      </w:r>
      <w:r w:rsidRPr="004A0302">
        <w:rPr>
          <w:rFonts w:cstheme="minorHAnsi"/>
          <w:i/>
          <w:sz w:val="20"/>
          <w:szCs w:val="20"/>
          <w:lang w:val="en-GB"/>
        </w:rPr>
        <w:t>1: Ethogram of reactivity scores (Adapted from Christensen et al., 2008 [</w:t>
      </w:r>
      <w:r w:rsidR="008D0F5F">
        <w:rPr>
          <w:rFonts w:cstheme="minorHAnsi"/>
          <w:i/>
          <w:sz w:val="20"/>
          <w:szCs w:val="20"/>
          <w:lang w:val="en-GB"/>
        </w:rPr>
        <w:t>1</w:t>
      </w:r>
      <w:r w:rsidRPr="004A0302">
        <w:rPr>
          <w:rFonts w:cstheme="minorHAnsi"/>
          <w:i/>
          <w:sz w:val="20"/>
          <w:szCs w:val="20"/>
          <w:lang w:val="en-GB"/>
        </w:rPr>
        <w:t xml:space="preserve">]) </w:t>
      </w:r>
    </w:p>
    <w:p w:rsidR="00B81127" w:rsidRPr="00D83BD1" w:rsidRDefault="00B81127" w:rsidP="00711F5D">
      <w:pPr>
        <w:spacing w:line="480" w:lineRule="auto"/>
        <w:ind w:firstLine="708"/>
        <w:jc w:val="both"/>
        <w:rPr>
          <w:rFonts w:cstheme="minorHAnsi"/>
          <w:i/>
          <w:color w:val="000000" w:themeColor="text1"/>
          <w:sz w:val="20"/>
          <w:szCs w:val="20"/>
          <w:lang w:val="en-GB"/>
        </w:rPr>
      </w:pPr>
      <w:r w:rsidRPr="00D83BD1">
        <w:rPr>
          <w:rFonts w:cstheme="minorHAnsi"/>
          <w:i/>
          <w:color w:val="000000" w:themeColor="text1"/>
          <w:sz w:val="20"/>
          <w:szCs w:val="20"/>
          <w:lang w:val="en-GB"/>
        </w:rPr>
        <w:t xml:space="preserve">* These reactions </w:t>
      </w:r>
      <w:r>
        <w:rPr>
          <w:rFonts w:cstheme="minorHAnsi"/>
          <w:i/>
          <w:color w:val="000000" w:themeColor="text1"/>
          <w:sz w:val="20"/>
          <w:szCs w:val="20"/>
          <w:lang w:val="en-GB"/>
        </w:rPr>
        <w:t>were</w:t>
      </w:r>
      <w:r w:rsidRPr="00D83BD1">
        <w:rPr>
          <w:rFonts w:cstheme="minorHAnsi"/>
          <w:i/>
          <w:color w:val="000000" w:themeColor="text1"/>
          <w:sz w:val="20"/>
          <w:szCs w:val="20"/>
          <w:lang w:val="en-GB"/>
        </w:rPr>
        <w:t xml:space="preserve"> allowed for habituated companion during habituation.</w:t>
      </w:r>
    </w:p>
    <w:tbl>
      <w:tblPr>
        <w:tblStyle w:val="Grilledutableau"/>
        <w:tblW w:w="0" w:type="auto"/>
        <w:tblLook w:val="04A0" w:firstRow="1" w:lastRow="0" w:firstColumn="1" w:lastColumn="0" w:noHBand="0" w:noVBand="1"/>
      </w:tblPr>
      <w:tblGrid>
        <w:gridCol w:w="758"/>
        <w:gridCol w:w="1222"/>
        <w:gridCol w:w="7076"/>
      </w:tblGrid>
      <w:tr w:rsidR="00B81127" w:rsidRPr="00D83BD1" w:rsidTr="00EF597F">
        <w:tc>
          <w:tcPr>
            <w:tcW w:w="758" w:type="dxa"/>
            <w:shd w:val="clear" w:color="auto" w:fill="D9E2F3" w:themeFill="accent1" w:themeFillTint="33"/>
          </w:tcPr>
          <w:p w:rsidR="00B81127" w:rsidRPr="00D83BD1" w:rsidRDefault="00B81127" w:rsidP="00EF597F">
            <w:pPr>
              <w:jc w:val="center"/>
              <w:rPr>
                <w:rFonts w:cstheme="minorHAnsi"/>
                <w:b/>
                <w:color w:val="000000" w:themeColor="text1"/>
                <w:sz w:val="20"/>
                <w:szCs w:val="20"/>
                <w:lang w:val="en-GB"/>
              </w:rPr>
            </w:pPr>
            <w:r w:rsidRPr="00D83BD1">
              <w:rPr>
                <w:rFonts w:cstheme="minorHAnsi"/>
                <w:b/>
                <w:color w:val="000000" w:themeColor="text1"/>
                <w:sz w:val="20"/>
                <w:szCs w:val="20"/>
                <w:lang w:val="en-GB"/>
              </w:rPr>
              <w:t>Score</w:t>
            </w:r>
          </w:p>
        </w:tc>
        <w:tc>
          <w:tcPr>
            <w:tcW w:w="1222" w:type="dxa"/>
            <w:shd w:val="clear" w:color="auto" w:fill="D9E2F3" w:themeFill="accent1" w:themeFillTint="33"/>
          </w:tcPr>
          <w:p w:rsidR="00B81127" w:rsidRPr="00D83BD1" w:rsidRDefault="00B81127" w:rsidP="00EF597F">
            <w:pPr>
              <w:jc w:val="center"/>
              <w:rPr>
                <w:rFonts w:cstheme="minorHAnsi"/>
                <w:b/>
                <w:color w:val="000000" w:themeColor="text1"/>
                <w:sz w:val="20"/>
                <w:szCs w:val="20"/>
                <w:lang w:val="en-GB"/>
              </w:rPr>
            </w:pPr>
            <w:r w:rsidRPr="00D83BD1">
              <w:rPr>
                <w:rFonts w:cstheme="minorHAnsi"/>
                <w:b/>
                <w:color w:val="000000" w:themeColor="text1"/>
                <w:sz w:val="20"/>
                <w:szCs w:val="20"/>
                <w:lang w:val="en-GB"/>
              </w:rPr>
              <w:t>Reaction</w:t>
            </w:r>
          </w:p>
        </w:tc>
        <w:tc>
          <w:tcPr>
            <w:tcW w:w="7076" w:type="dxa"/>
            <w:shd w:val="clear" w:color="auto" w:fill="D9E2F3" w:themeFill="accent1" w:themeFillTint="33"/>
          </w:tcPr>
          <w:p w:rsidR="00B81127" w:rsidRPr="00D83BD1" w:rsidRDefault="00B81127" w:rsidP="00EF597F">
            <w:pPr>
              <w:jc w:val="center"/>
              <w:rPr>
                <w:rFonts w:cstheme="minorHAnsi"/>
                <w:b/>
                <w:color w:val="000000" w:themeColor="text1"/>
                <w:sz w:val="20"/>
                <w:szCs w:val="20"/>
                <w:lang w:val="en-GB"/>
              </w:rPr>
            </w:pPr>
            <w:r w:rsidRPr="00D83BD1">
              <w:rPr>
                <w:rFonts w:cstheme="minorHAnsi"/>
                <w:b/>
                <w:color w:val="000000" w:themeColor="text1"/>
                <w:sz w:val="20"/>
                <w:szCs w:val="20"/>
                <w:lang w:val="en-GB"/>
              </w:rPr>
              <w:t>Description</w:t>
            </w:r>
          </w:p>
        </w:tc>
      </w:tr>
      <w:tr w:rsidR="00B81127" w:rsidRPr="0061347C" w:rsidTr="00EF597F">
        <w:tc>
          <w:tcPr>
            <w:tcW w:w="758"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0</w:t>
            </w:r>
          </w:p>
        </w:tc>
        <w:tc>
          <w:tcPr>
            <w:tcW w:w="1222"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None*</w:t>
            </w:r>
          </w:p>
        </w:tc>
        <w:tc>
          <w:tcPr>
            <w:tcW w:w="7076" w:type="dxa"/>
          </w:tcPr>
          <w:p w:rsidR="00B81127" w:rsidRPr="00D83BD1" w:rsidRDefault="00B81127" w:rsidP="00EF597F">
            <w:pPr>
              <w:pStyle w:val="NormalWeb"/>
              <w:shd w:val="clear" w:color="auto" w:fill="FFFFFF"/>
              <w:jc w:val="both"/>
              <w:rPr>
                <w:rFonts w:asciiTheme="minorHAnsi" w:hAnsiTheme="minorHAnsi" w:cstheme="minorHAnsi"/>
                <w:sz w:val="20"/>
                <w:szCs w:val="20"/>
              </w:rPr>
            </w:pPr>
            <w:r w:rsidRPr="00D83BD1">
              <w:rPr>
                <w:rFonts w:asciiTheme="minorHAnsi" w:hAnsiTheme="minorHAnsi" w:cstheme="minorHAnsi"/>
                <w:sz w:val="20"/>
                <w:szCs w:val="20"/>
              </w:rPr>
              <w:t>The horse does not react to the test stimulus and chewing is not interrupted.</w:t>
            </w:r>
          </w:p>
        </w:tc>
      </w:tr>
      <w:tr w:rsidR="00B81127" w:rsidRPr="0061347C" w:rsidTr="00EF597F">
        <w:tc>
          <w:tcPr>
            <w:tcW w:w="758"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1</w:t>
            </w:r>
          </w:p>
        </w:tc>
        <w:tc>
          <w:tcPr>
            <w:tcW w:w="1222"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Head up*</w:t>
            </w:r>
          </w:p>
        </w:tc>
        <w:tc>
          <w:tcPr>
            <w:tcW w:w="7076" w:type="dxa"/>
          </w:tcPr>
          <w:p w:rsidR="00B81127" w:rsidRPr="00D83BD1" w:rsidRDefault="00B81127" w:rsidP="00EF597F">
            <w:pPr>
              <w:pStyle w:val="NormalWeb"/>
              <w:shd w:val="clear" w:color="auto" w:fill="FFFFFF"/>
              <w:jc w:val="both"/>
              <w:rPr>
                <w:rFonts w:asciiTheme="minorHAnsi" w:hAnsiTheme="minorHAnsi" w:cstheme="minorHAnsi"/>
                <w:sz w:val="20"/>
                <w:szCs w:val="20"/>
              </w:rPr>
            </w:pPr>
            <w:r w:rsidRPr="00D83BD1">
              <w:rPr>
                <w:rFonts w:asciiTheme="minorHAnsi" w:hAnsiTheme="minorHAnsi" w:cstheme="minorHAnsi"/>
                <w:sz w:val="20"/>
                <w:szCs w:val="20"/>
              </w:rPr>
              <w:t>The horse raises its head from the food container and chewing may be briefly interrupted, but the horse is not alert (see below) and does not move away from the food container.</w:t>
            </w:r>
          </w:p>
        </w:tc>
      </w:tr>
      <w:tr w:rsidR="00B81127" w:rsidRPr="0061347C" w:rsidTr="00EF597F">
        <w:tc>
          <w:tcPr>
            <w:tcW w:w="758"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2</w:t>
            </w:r>
          </w:p>
        </w:tc>
        <w:tc>
          <w:tcPr>
            <w:tcW w:w="1222"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Alert</w:t>
            </w:r>
          </w:p>
        </w:tc>
        <w:tc>
          <w:tcPr>
            <w:tcW w:w="7076" w:type="dxa"/>
          </w:tcPr>
          <w:p w:rsidR="00B81127" w:rsidRPr="00D83BD1" w:rsidRDefault="00B81127" w:rsidP="00EF597F">
            <w:pPr>
              <w:pStyle w:val="NormalWeb"/>
              <w:shd w:val="clear" w:color="auto" w:fill="FFFFFF"/>
              <w:jc w:val="both"/>
              <w:rPr>
                <w:rFonts w:asciiTheme="minorHAnsi" w:hAnsiTheme="minorHAnsi" w:cstheme="minorHAnsi"/>
                <w:sz w:val="20"/>
                <w:szCs w:val="20"/>
              </w:rPr>
            </w:pPr>
            <w:r w:rsidRPr="00D83BD1">
              <w:rPr>
                <w:rFonts w:asciiTheme="minorHAnsi" w:hAnsiTheme="minorHAnsi" w:cstheme="minorHAnsi"/>
                <w:sz w:val="20"/>
                <w:szCs w:val="20"/>
              </w:rPr>
              <w:t>The horse stands vigilant with or without elevated neck or tail, head and ears oriented towards test stimulus, chewing is interrupted and the horse may move up to 2 steps backwards or sideways away from the food container.</w:t>
            </w:r>
          </w:p>
        </w:tc>
      </w:tr>
      <w:tr w:rsidR="00B81127" w:rsidRPr="0061347C" w:rsidTr="00EF597F">
        <w:tc>
          <w:tcPr>
            <w:tcW w:w="758"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3</w:t>
            </w:r>
          </w:p>
        </w:tc>
        <w:tc>
          <w:tcPr>
            <w:tcW w:w="1222"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Away</w:t>
            </w:r>
          </w:p>
        </w:tc>
        <w:tc>
          <w:tcPr>
            <w:tcW w:w="7076" w:type="dxa"/>
          </w:tcPr>
          <w:p w:rsidR="00B81127" w:rsidRPr="00D83BD1" w:rsidRDefault="00B81127" w:rsidP="00EF597F">
            <w:pPr>
              <w:pStyle w:val="NormalWeb"/>
              <w:shd w:val="clear" w:color="auto" w:fill="FFFFFF"/>
              <w:jc w:val="both"/>
              <w:rPr>
                <w:rFonts w:asciiTheme="minorHAnsi" w:hAnsiTheme="minorHAnsi" w:cstheme="minorHAnsi"/>
                <w:sz w:val="20"/>
                <w:szCs w:val="20"/>
              </w:rPr>
            </w:pPr>
            <w:r w:rsidRPr="00D83BD1">
              <w:rPr>
                <w:rFonts w:asciiTheme="minorHAnsi" w:hAnsiTheme="minorHAnsi" w:cstheme="minorHAnsi"/>
                <w:sz w:val="20"/>
                <w:szCs w:val="20"/>
              </w:rPr>
              <w:t>The horse turns or moves 3 or more steps backwards or sideways away from the food container in response to the test stimulus, typically followed by alertness.</w:t>
            </w:r>
          </w:p>
        </w:tc>
      </w:tr>
      <w:tr w:rsidR="00B81127" w:rsidRPr="0061347C" w:rsidTr="00EF597F">
        <w:tc>
          <w:tcPr>
            <w:tcW w:w="758"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4</w:t>
            </w:r>
          </w:p>
        </w:tc>
        <w:tc>
          <w:tcPr>
            <w:tcW w:w="1222"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Flight</w:t>
            </w:r>
          </w:p>
        </w:tc>
        <w:tc>
          <w:tcPr>
            <w:tcW w:w="7076" w:type="dxa"/>
          </w:tcPr>
          <w:p w:rsidR="00B81127" w:rsidRPr="00D83BD1" w:rsidRDefault="00B81127" w:rsidP="00EF597F">
            <w:pPr>
              <w:pStyle w:val="NormalWeb"/>
              <w:shd w:val="clear" w:color="auto" w:fill="FFFFFF"/>
              <w:jc w:val="both"/>
              <w:rPr>
                <w:rFonts w:asciiTheme="minorHAnsi" w:hAnsiTheme="minorHAnsi" w:cstheme="minorHAnsi"/>
                <w:color w:val="000000" w:themeColor="text1"/>
                <w:sz w:val="20"/>
                <w:szCs w:val="20"/>
              </w:rPr>
            </w:pPr>
            <w:r w:rsidRPr="00D83BD1">
              <w:rPr>
                <w:rFonts w:asciiTheme="minorHAnsi" w:hAnsiTheme="minorHAnsi" w:cstheme="minorHAnsi"/>
                <w:color w:val="000000" w:themeColor="text1"/>
                <w:sz w:val="20"/>
                <w:szCs w:val="20"/>
              </w:rPr>
              <w:t xml:space="preserve">The horse turns/jumps away from the food container in a sudden movement, typically followed by trotting/galloping, alertness and possibly snorting. </w:t>
            </w:r>
          </w:p>
        </w:tc>
      </w:tr>
      <w:tr w:rsidR="00B81127" w:rsidRPr="0061347C" w:rsidTr="00EF597F">
        <w:tc>
          <w:tcPr>
            <w:tcW w:w="758"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5</w:t>
            </w:r>
          </w:p>
        </w:tc>
        <w:tc>
          <w:tcPr>
            <w:tcW w:w="1222" w:type="dxa"/>
          </w:tcPr>
          <w:p w:rsidR="00B81127" w:rsidRPr="00D83BD1" w:rsidRDefault="00B81127" w:rsidP="00EF597F">
            <w:pPr>
              <w:jc w:val="center"/>
              <w:rPr>
                <w:rFonts w:cstheme="minorHAnsi"/>
                <w:color w:val="000000" w:themeColor="text1"/>
                <w:sz w:val="20"/>
                <w:szCs w:val="20"/>
                <w:lang w:val="en-GB"/>
              </w:rPr>
            </w:pPr>
            <w:r w:rsidRPr="00D83BD1">
              <w:rPr>
                <w:rFonts w:cstheme="minorHAnsi"/>
                <w:color w:val="000000" w:themeColor="text1"/>
                <w:sz w:val="20"/>
                <w:szCs w:val="20"/>
                <w:lang w:val="en-GB"/>
              </w:rPr>
              <w:t>Escape</w:t>
            </w:r>
          </w:p>
        </w:tc>
        <w:tc>
          <w:tcPr>
            <w:tcW w:w="7076" w:type="dxa"/>
          </w:tcPr>
          <w:p w:rsidR="00B81127" w:rsidRPr="00D83BD1" w:rsidRDefault="00B81127" w:rsidP="00EF597F">
            <w:pPr>
              <w:jc w:val="both"/>
              <w:rPr>
                <w:rFonts w:cstheme="minorHAnsi"/>
                <w:color w:val="000000" w:themeColor="text1"/>
                <w:sz w:val="20"/>
                <w:szCs w:val="20"/>
                <w:lang w:val="en-GB"/>
              </w:rPr>
            </w:pPr>
            <w:r w:rsidRPr="00D83BD1">
              <w:rPr>
                <w:rFonts w:cstheme="minorHAnsi"/>
                <w:color w:val="000000" w:themeColor="text1"/>
                <w:sz w:val="20"/>
                <w:szCs w:val="20"/>
                <w:lang w:val="en-GB"/>
              </w:rPr>
              <w:t xml:space="preserve">The horse leaves the </w:t>
            </w:r>
            <w:r>
              <w:rPr>
                <w:rFonts w:cstheme="minorHAnsi"/>
                <w:color w:val="000000" w:themeColor="text1"/>
                <w:sz w:val="20"/>
                <w:szCs w:val="20"/>
                <w:lang w:val="en-GB"/>
              </w:rPr>
              <w:t xml:space="preserve">test </w:t>
            </w:r>
            <w:r w:rsidRPr="00D83BD1">
              <w:rPr>
                <w:rFonts w:cstheme="minorHAnsi"/>
                <w:color w:val="000000" w:themeColor="text1"/>
                <w:sz w:val="20"/>
                <w:szCs w:val="20"/>
                <w:lang w:val="en-GB"/>
              </w:rPr>
              <w:t>arena.</w:t>
            </w:r>
          </w:p>
        </w:tc>
      </w:tr>
    </w:tbl>
    <w:p w:rsidR="009F0E71" w:rsidRPr="006678C8" w:rsidRDefault="009F0E71" w:rsidP="006678C8">
      <w:pPr>
        <w:spacing w:line="480" w:lineRule="auto"/>
        <w:jc w:val="center"/>
        <w:rPr>
          <w:rFonts w:asciiTheme="majorHAnsi" w:hAnsiTheme="majorHAnsi" w:cstheme="majorHAnsi"/>
          <w:sz w:val="22"/>
          <w:szCs w:val="22"/>
          <w:lang w:val="en-GB"/>
        </w:rPr>
      </w:pPr>
    </w:p>
    <w:p w:rsidR="006678C8" w:rsidRDefault="006678C8" w:rsidP="006678C8">
      <w:pPr>
        <w:spacing w:line="480" w:lineRule="auto"/>
        <w:jc w:val="both"/>
        <w:rPr>
          <w:rFonts w:asciiTheme="majorHAnsi" w:hAnsiTheme="majorHAnsi" w:cstheme="majorHAnsi"/>
          <w:sz w:val="22"/>
          <w:szCs w:val="22"/>
          <w:lang w:val="en-GB"/>
        </w:rPr>
      </w:pPr>
      <w:r w:rsidRPr="006678C8">
        <w:rPr>
          <w:rFonts w:asciiTheme="majorHAnsi" w:hAnsiTheme="majorHAnsi" w:cstheme="majorHAnsi"/>
          <w:sz w:val="22"/>
          <w:szCs w:val="22"/>
          <w:lang w:val="en-GB"/>
        </w:rPr>
        <w:t>1. Additional analyses</w:t>
      </w:r>
    </w:p>
    <w:p w:rsidR="006678C8" w:rsidRDefault="006678C8" w:rsidP="006678C8">
      <w:pPr>
        <w:spacing w:line="480" w:lineRule="auto"/>
        <w:jc w:val="both"/>
        <w:rPr>
          <w:rFonts w:asciiTheme="majorHAnsi" w:hAnsiTheme="majorHAnsi" w:cstheme="majorHAnsi"/>
          <w:sz w:val="22"/>
          <w:szCs w:val="22"/>
          <w:lang w:val="en-GB"/>
        </w:rPr>
      </w:pPr>
    </w:p>
    <w:p w:rsidR="006678C8" w:rsidRDefault="006678C8" w:rsidP="006678C8">
      <w:pPr>
        <w:spacing w:line="480" w:lineRule="auto"/>
        <w:jc w:val="both"/>
        <w:rPr>
          <w:rFonts w:asciiTheme="majorHAnsi" w:hAnsiTheme="majorHAnsi" w:cstheme="majorHAnsi"/>
          <w:sz w:val="22"/>
          <w:szCs w:val="22"/>
          <w:lang w:val="en-GB"/>
        </w:rPr>
      </w:pPr>
      <w:r>
        <w:rPr>
          <w:rFonts w:asciiTheme="majorHAnsi" w:hAnsiTheme="majorHAnsi" w:cstheme="majorHAnsi"/>
          <w:sz w:val="22"/>
          <w:szCs w:val="22"/>
          <w:lang w:val="en-GB"/>
        </w:rPr>
        <w:t>1.1. Verification of observer agreement on the video scoring (reactivity score)</w:t>
      </w:r>
    </w:p>
    <w:p w:rsidR="006678C8" w:rsidRDefault="006678C8" w:rsidP="006678C8">
      <w:pPr>
        <w:spacing w:line="480" w:lineRule="auto"/>
        <w:jc w:val="both"/>
        <w:rPr>
          <w:rFonts w:cstheme="minorHAnsi"/>
          <w:color w:val="00B0F0"/>
          <w:sz w:val="20"/>
          <w:szCs w:val="20"/>
          <w:lang w:val="en-GB"/>
        </w:rPr>
      </w:pPr>
      <w:r w:rsidRPr="006678C8">
        <w:rPr>
          <w:rFonts w:cstheme="minorHAnsi"/>
          <w:sz w:val="20"/>
          <w:szCs w:val="20"/>
          <w:lang w:val="en-GB"/>
        </w:rPr>
        <w:lastRenderedPageBreak/>
        <w:t>Inter-reliability</w:t>
      </w:r>
      <w:r>
        <w:rPr>
          <w:rFonts w:cstheme="minorHAnsi"/>
          <w:sz w:val="20"/>
          <w:szCs w:val="20"/>
          <w:lang w:val="en-GB"/>
        </w:rPr>
        <w:t xml:space="preserve"> </w:t>
      </w:r>
      <w:r w:rsidRPr="006678C8">
        <w:rPr>
          <w:rFonts w:cstheme="minorHAnsi"/>
          <w:sz w:val="20"/>
          <w:szCs w:val="20"/>
          <w:lang w:val="en-GB"/>
        </w:rPr>
        <w:t xml:space="preserve">between the two evaluators which scored the behavioural reaction of the horse to presentation of the stimulus was assessed using weighted Kappa (with the </w:t>
      </w:r>
      <w:r w:rsidRPr="00DB7882">
        <w:rPr>
          <w:rFonts w:cstheme="minorHAnsi"/>
          <w:sz w:val="20"/>
          <w:szCs w:val="20"/>
          <w:lang w:val="en-GB"/>
        </w:rPr>
        <w:t xml:space="preserve">package </w:t>
      </w:r>
      <w:proofErr w:type="spellStart"/>
      <w:r w:rsidRPr="00DB7882">
        <w:rPr>
          <w:rFonts w:cstheme="minorHAnsi"/>
          <w:i/>
          <w:sz w:val="20"/>
          <w:szCs w:val="20"/>
          <w:lang w:val="en-GB"/>
        </w:rPr>
        <w:t>irr</w:t>
      </w:r>
      <w:proofErr w:type="spellEnd"/>
      <w:r w:rsidRPr="00DB7882">
        <w:rPr>
          <w:rFonts w:cstheme="minorHAnsi"/>
          <w:sz w:val="20"/>
          <w:szCs w:val="20"/>
          <w:lang w:val="en-GB"/>
        </w:rPr>
        <w:t>). If the evaluators did not agree on a score, the score of the first assessor w</w:t>
      </w:r>
      <w:r w:rsidR="0008253E" w:rsidRPr="00DB7882">
        <w:rPr>
          <w:rFonts w:cstheme="minorHAnsi"/>
          <w:sz w:val="20"/>
          <w:szCs w:val="20"/>
          <w:lang w:val="en-GB"/>
        </w:rPr>
        <w:t>as</w:t>
      </w:r>
      <w:r w:rsidRPr="00DB7882">
        <w:rPr>
          <w:rFonts w:cstheme="minorHAnsi"/>
          <w:sz w:val="20"/>
          <w:szCs w:val="20"/>
          <w:lang w:val="en-GB"/>
        </w:rPr>
        <w:t xml:space="preserve"> used during data analysis.</w:t>
      </w:r>
    </w:p>
    <w:p w:rsidR="006678C8" w:rsidRDefault="006678C8" w:rsidP="006678C8">
      <w:pPr>
        <w:spacing w:line="480" w:lineRule="auto"/>
        <w:jc w:val="both"/>
        <w:rPr>
          <w:rFonts w:cstheme="minorHAnsi"/>
          <w:sz w:val="20"/>
          <w:szCs w:val="20"/>
          <w:lang w:val="en-GB"/>
        </w:rPr>
      </w:pPr>
    </w:p>
    <w:p w:rsidR="006678C8" w:rsidRDefault="00CC74EF" w:rsidP="006678C8">
      <w:pPr>
        <w:spacing w:line="480" w:lineRule="auto"/>
        <w:jc w:val="both"/>
        <w:rPr>
          <w:rFonts w:asciiTheme="majorHAnsi" w:hAnsiTheme="majorHAnsi" w:cstheme="majorHAnsi"/>
          <w:sz w:val="22"/>
          <w:szCs w:val="22"/>
          <w:lang w:val="en-GB"/>
        </w:rPr>
      </w:pPr>
      <w:r>
        <w:rPr>
          <w:rFonts w:asciiTheme="majorHAnsi" w:hAnsiTheme="majorHAnsi" w:cstheme="majorHAnsi"/>
          <w:sz w:val="22"/>
          <w:szCs w:val="22"/>
          <w:lang w:val="en-GB"/>
        </w:rPr>
        <w:t>1</w:t>
      </w:r>
      <w:r w:rsidR="006678C8" w:rsidRPr="006678C8">
        <w:rPr>
          <w:rFonts w:asciiTheme="majorHAnsi" w:hAnsiTheme="majorHAnsi" w:cstheme="majorHAnsi"/>
          <w:sz w:val="22"/>
          <w:szCs w:val="22"/>
          <w:lang w:val="en-GB"/>
        </w:rPr>
        <w:t>.2. Analysis</w:t>
      </w:r>
      <w:r w:rsidR="006678C8">
        <w:rPr>
          <w:rFonts w:asciiTheme="majorHAnsi" w:hAnsiTheme="majorHAnsi" w:cstheme="majorHAnsi"/>
          <w:sz w:val="22"/>
          <w:szCs w:val="22"/>
          <w:lang w:val="en-GB"/>
        </w:rPr>
        <w:t xml:space="preserve"> </w:t>
      </w:r>
      <w:r w:rsidR="006678C8" w:rsidRPr="006678C8">
        <w:rPr>
          <w:rFonts w:asciiTheme="majorHAnsi" w:hAnsiTheme="majorHAnsi" w:cstheme="majorHAnsi"/>
          <w:sz w:val="22"/>
          <w:szCs w:val="22"/>
          <w:lang w:val="en-GB"/>
        </w:rPr>
        <w:t>of effect of the order of tests on the behavioural and physiological responses</w:t>
      </w:r>
    </w:p>
    <w:p w:rsidR="00CC74EF" w:rsidRDefault="00CC74EF" w:rsidP="006678C8">
      <w:pPr>
        <w:spacing w:line="480" w:lineRule="auto"/>
        <w:jc w:val="both"/>
        <w:rPr>
          <w:rFonts w:cstheme="minorHAnsi"/>
          <w:sz w:val="20"/>
          <w:szCs w:val="20"/>
          <w:lang w:val="en-GB"/>
        </w:rPr>
      </w:pPr>
      <w:r w:rsidRPr="00CC74EF">
        <w:rPr>
          <w:rFonts w:cstheme="minorHAnsi"/>
          <w:sz w:val="20"/>
          <w:szCs w:val="20"/>
          <w:lang w:val="en-GB"/>
        </w:rPr>
        <w:t xml:space="preserve">We established that there was no order effect on either the behavioural and physiological responses of subjects. Cumulative link mixed models (CLMM) using the adaptive Gauss-Hermite quadrature (AGQ) (with the R-package ordinal) were used for the ordinal data relating to reactivity score, and linear mixed effect models (LMM) in the R-package </w:t>
      </w:r>
      <w:proofErr w:type="spellStart"/>
      <w:r w:rsidRPr="00CC74EF">
        <w:rPr>
          <w:rFonts w:cstheme="minorHAnsi"/>
          <w:sz w:val="20"/>
          <w:szCs w:val="20"/>
          <w:lang w:val="en-GB"/>
        </w:rPr>
        <w:t>lmerTest</w:t>
      </w:r>
      <w:proofErr w:type="spellEnd"/>
      <w:r w:rsidRPr="00CC74EF">
        <w:rPr>
          <w:rFonts w:cstheme="minorHAnsi"/>
          <w:sz w:val="20"/>
          <w:szCs w:val="20"/>
          <w:lang w:val="en-GB"/>
        </w:rPr>
        <w:t xml:space="preserve"> used to analyse the data on heart rate recovery. The model was the same for these two analyses, with the tests (novel object vs. umbrella) and the order of the test (1, 2, 3 or 4) fixed factors and identity of the subjects a random factor in the model for each dependent variable.</w:t>
      </w:r>
    </w:p>
    <w:p w:rsidR="00CC74EF" w:rsidRDefault="00CC74EF" w:rsidP="006678C8">
      <w:pPr>
        <w:spacing w:line="480" w:lineRule="auto"/>
        <w:jc w:val="both"/>
        <w:rPr>
          <w:rFonts w:cstheme="minorHAnsi"/>
          <w:sz w:val="20"/>
          <w:szCs w:val="20"/>
          <w:lang w:val="en-GB"/>
        </w:rPr>
      </w:pPr>
    </w:p>
    <w:p w:rsidR="00CC74EF" w:rsidRDefault="00CC74EF" w:rsidP="00CC74EF">
      <w:pPr>
        <w:spacing w:line="480" w:lineRule="auto"/>
        <w:jc w:val="both"/>
        <w:rPr>
          <w:rFonts w:asciiTheme="majorHAnsi" w:hAnsiTheme="majorHAnsi" w:cstheme="majorHAnsi"/>
          <w:sz w:val="22"/>
          <w:szCs w:val="22"/>
          <w:lang w:val="en-GB"/>
        </w:rPr>
      </w:pPr>
      <w:r w:rsidRPr="00CC74EF">
        <w:rPr>
          <w:rFonts w:asciiTheme="majorHAnsi" w:hAnsiTheme="majorHAnsi" w:cstheme="majorHAnsi"/>
          <w:sz w:val="22"/>
          <w:szCs w:val="22"/>
          <w:lang w:val="en-GB"/>
        </w:rPr>
        <w:t>2. Additional results for study 1: Impact of familiar companion</w:t>
      </w:r>
    </w:p>
    <w:p w:rsidR="00CC74EF" w:rsidRDefault="00CC74EF" w:rsidP="00CC74EF">
      <w:pPr>
        <w:spacing w:line="480" w:lineRule="auto"/>
        <w:jc w:val="both"/>
        <w:rPr>
          <w:rFonts w:asciiTheme="majorHAnsi" w:hAnsiTheme="majorHAnsi" w:cstheme="majorHAnsi"/>
          <w:sz w:val="22"/>
          <w:szCs w:val="22"/>
          <w:lang w:val="en-GB"/>
        </w:rPr>
      </w:pPr>
    </w:p>
    <w:p w:rsidR="00CC74EF" w:rsidRDefault="00CC74EF" w:rsidP="00CC74EF">
      <w:pPr>
        <w:spacing w:line="480" w:lineRule="auto"/>
        <w:jc w:val="both"/>
        <w:rPr>
          <w:rFonts w:asciiTheme="majorHAnsi" w:hAnsiTheme="majorHAnsi" w:cstheme="majorHAnsi"/>
          <w:sz w:val="22"/>
          <w:szCs w:val="22"/>
          <w:lang w:val="en-US"/>
        </w:rPr>
      </w:pPr>
      <w:r>
        <w:rPr>
          <w:rFonts w:asciiTheme="majorHAnsi" w:eastAsia="Times New Roman" w:hAnsiTheme="majorHAnsi" w:cstheme="majorHAnsi"/>
          <w:sz w:val="22"/>
          <w:szCs w:val="22"/>
          <w:lang w:val="en-GB" w:eastAsia="fr-FR"/>
        </w:rPr>
        <w:t xml:space="preserve">2.1. </w:t>
      </w:r>
      <w:r w:rsidRPr="00C723B3">
        <w:rPr>
          <w:rFonts w:asciiTheme="majorHAnsi" w:hAnsiTheme="majorHAnsi" w:cstheme="majorHAnsi"/>
          <w:sz w:val="22"/>
          <w:szCs w:val="22"/>
          <w:lang w:val="en-US"/>
        </w:rPr>
        <w:t>Verification of the observer agreement on the video scoring (reactivity score)</w:t>
      </w:r>
    </w:p>
    <w:p w:rsidR="00CC74EF" w:rsidRDefault="00CC74EF" w:rsidP="00CC74EF">
      <w:pPr>
        <w:spacing w:line="480" w:lineRule="auto"/>
        <w:jc w:val="both"/>
        <w:rPr>
          <w:rFonts w:cstheme="minorHAnsi"/>
          <w:sz w:val="20"/>
          <w:szCs w:val="20"/>
          <w:lang w:val="en-GB"/>
        </w:rPr>
      </w:pPr>
      <w:r>
        <w:rPr>
          <w:rFonts w:cstheme="minorHAnsi"/>
          <w:sz w:val="20"/>
          <w:szCs w:val="20"/>
          <w:lang w:val="en-GB"/>
        </w:rPr>
        <w:t>There was high inter-observer agreement on the reaction of subjects and companions (kw = 0.961 (95% Confidence Interval (CI), 0.926 to 0.995), P &lt; 0.0001).</w:t>
      </w:r>
    </w:p>
    <w:p w:rsidR="00CC74EF" w:rsidRDefault="00CC74EF" w:rsidP="00CC74EF">
      <w:pPr>
        <w:spacing w:line="480" w:lineRule="auto"/>
        <w:rPr>
          <w:rFonts w:asciiTheme="majorHAnsi" w:eastAsia="Times New Roman" w:hAnsiTheme="majorHAnsi" w:cstheme="majorHAnsi"/>
          <w:sz w:val="22"/>
          <w:szCs w:val="22"/>
          <w:lang w:val="en-GB" w:eastAsia="fr-FR"/>
        </w:rPr>
      </w:pPr>
    </w:p>
    <w:p w:rsidR="00CC74EF" w:rsidRDefault="00CC74EF" w:rsidP="00CC74EF">
      <w:pPr>
        <w:spacing w:line="480" w:lineRule="auto"/>
        <w:rPr>
          <w:rFonts w:asciiTheme="majorHAnsi" w:eastAsia="Times New Roman" w:hAnsiTheme="majorHAnsi" w:cstheme="majorHAnsi"/>
          <w:sz w:val="22"/>
          <w:szCs w:val="22"/>
          <w:lang w:val="en-GB" w:eastAsia="fr-FR"/>
        </w:rPr>
      </w:pPr>
      <w:r>
        <w:rPr>
          <w:rFonts w:asciiTheme="majorHAnsi" w:eastAsia="Times New Roman" w:hAnsiTheme="majorHAnsi" w:cstheme="majorHAnsi"/>
          <w:sz w:val="22"/>
          <w:szCs w:val="22"/>
          <w:lang w:val="en-GB" w:eastAsia="fr-FR"/>
        </w:rPr>
        <w:t>2.</w:t>
      </w:r>
      <w:r w:rsidR="000C1E00">
        <w:rPr>
          <w:rFonts w:asciiTheme="majorHAnsi" w:eastAsia="Times New Roman" w:hAnsiTheme="majorHAnsi" w:cstheme="majorHAnsi"/>
          <w:sz w:val="22"/>
          <w:szCs w:val="22"/>
          <w:lang w:val="en-GB" w:eastAsia="fr-FR"/>
        </w:rPr>
        <w:t>2</w:t>
      </w:r>
      <w:r>
        <w:rPr>
          <w:rFonts w:asciiTheme="majorHAnsi" w:eastAsia="Times New Roman" w:hAnsiTheme="majorHAnsi" w:cstheme="majorHAnsi"/>
          <w:sz w:val="22"/>
          <w:szCs w:val="22"/>
          <w:lang w:val="en-GB" w:eastAsia="fr-FR"/>
        </w:rPr>
        <w:t>. Analysis of effect of the order of tests on the behavioural and physiological responses</w:t>
      </w:r>
    </w:p>
    <w:p w:rsidR="00CC74EF" w:rsidRDefault="00CC74EF" w:rsidP="00CC74EF">
      <w:pPr>
        <w:spacing w:line="480" w:lineRule="auto"/>
        <w:jc w:val="both"/>
        <w:rPr>
          <w:rFonts w:cstheme="minorHAnsi"/>
          <w:sz w:val="20"/>
          <w:szCs w:val="20"/>
          <w:lang w:val="en-GB"/>
        </w:rPr>
      </w:pPr>
      <w:r w:rsidRPr="00EA1901">
        <w:rPr>
          <w:rFonts w:cstheme="minorHAnsi"/>
          <w:sz w:val="20"/>
          <w:szCs w:val="20"/>
          <w:lang w:val="en-GB"/>
        </w:rPr>
        <w:t xml:space="preserve">The subject’s reactivity score and the heart rate recovery were not affected by the </w:t>
      </w:r>
      <w:r>
        <w:rPr>
          <w:rFonts w:cstheme="minorHAnsi"/>
          <w:sz w:val="20"/>
          <w:szCs w:val="20"/>
          <w:lang w:val="en-GB"/>
        </w:rPr>
        <w:t>test order</w:t>
      </w:r>
      <w:r w:rsidRPr="00EA1901">
        <w:rPr>
          <w:rFonts w:cstheme="minorHAnsi"/>
          <w:sz w:val="20"/>
          <w:szCs w:val="20"/>
          <w:lang w:val="en-GB"/>
        </w:rPr>
        <w:t xml:space="preserve"> (RS, CLMM: estimate ± </w:t>
      </w:r>
      <w:r>
        <w:rPr>
          <w:rFonts w:cstheme="minorHAnsi"/>
          <w:sz w:val="20"/>
          <w:szCs w:val="20"/>
          <w:lang w:val="en-GB"/>
        </w:rPr>
        <w:t>S</w:t>
      </w:r>
      <w:r w:rsidRPr="00EA1901">
        <w:rPr>
          <w:rFonts w:cstheme="minorHAnsi"/>
          <w:sz w:val="20"/>
          <w:szCs w:val="20"/>
          <w:lang w:val="en-GB"/>
        </w:rPr>
        <w:t>.</w:t>
      </w:r>
      <w:r>
        <w:rPr>
          <w:rFonts w:cstheme="minorHAnsi"/>
          <w:sz w:val="20"/>
          <w:szCs w:val="20"/>
          <w:lang w:val="en-GB"/>
        </w:rPr>
        <w:t>E</w:t>
      </w:r>
      <w:r w:rsidRPr="00EA1901">
        <w:rPr>
          <w:rFonts w:cstheme="minorHAnsi"/>
          <w:sz w:val="20"/>
          <w:szCs w:val="20"/>
          <w:lang w:val="en-GB"/>
        </w:rPr>
        <w:t>.: −0.23 ± 0.21, P = 0.27</w:t>
      </w:r>
      <w:r>
        <w:rPr>
          <w:rFonts w:cstheme="minorHAnsi"/>
          <w:sz w:val="20"/>
          <w:szCs w:val="20"/>
          <w:lang w:val="en-GB"/>
        </w:rPr>
        <w:t>1</w:t>
      </w:r>
      <w:r w:rsidRPr="00EA1901">
        <w:rPr>
          <w:rFonts w:cstheme="minorHAnsi"/>
          <w:sz w:val="20"/>
          <w:szCs w:val="20"/>
          <w:lang w:val="en-GB"/>
        </w:rPr>
        <w:t xml:space="preserve">; HRR, LMM: t-value, </w:t>
      </w:r>
      <w:proofErr w:type="spellStart"/>
      <w:r w:rsidRPr="00EA1901">
        <w:rPr>
          <w:rFonts w:cstheme="minorHAnsi"/>
          <w:sz w:val="20"/>
          <w:szCs w:val="20"/>
          <w:lang w:val="en-GB"/>
        </w:rPr>
        <w:t>df</w:t>
      </w:r>
      <w:proofErr w:type="spellEnd"/>
      <w:r w:rsidRPr="00EA1901">
        <w:rPr>
          <w:rFonts w:cstheme="minorHAnsi"/>
          <w:sz w:val="20"/>
          <w:szCs w:val="20"/>
          <w:lang w:val="en-GB"/>
        </w:rPr>
        <w:t>: −0.62, 43.122, P = 0.53</w:t>
      </w:r>
      <w:r>
        <w:rPr>
          <w:rFonts w:cstheme="minorHAnsi"/>
          <w:sz w:val="20"/>
          <w:szCs w:val="20"/>
          <w:lang w:val="en-GB"/>
        </w:rPr>
        <w:t>4</w:t>
      </w:r>
      <w:r w:rsidRPr="00EA1901">
        <w:rPr>
          <w:rFonts w:cstheme="minorHAnsi"/>
          <w:sz w:val="20"/>
          <w:szCs w:val="20"/>
          <w:lang w:val="en-GB"/>
        </w:rPr>
        <w:t>).</w:t>
      </w:r>
    </w:p>
    <w:p w:rsidR="00CC74EF" w:rsidRDefault="00CC74EF" w:rsidP="00CC74EF">
      <w:pPr>
        <w:spacing w:line="480" w:lineRule="auto"/>
        <w:jc w:val="both"/>
        <w:rPr>
          <w:rFonts w:cstheme="minorHAnsi"/>
          <w:sz w:val="20"/>
          <w:szCs w:val="20"/>
          <w:lang w:val="en-GB"/>
        </w:rPr>
      </w:pPr>
    </w:p>
    <w:p w:rsidR="00CC74EF" w:rsidRDefault="00CC74EF" w:rsidP="00CC74EF">
      <w:pPr>
        <w:spacing w:line="480" w:lineRule="auto"/>
        <w:jc w:val="both"/>
        <w:rPr>
          <w:rFonts w:asciiTheme="majorHAnsi" w:hAnsiTheme="majorHAnsi" w:cstheme="majorHAnsi"/>
          <w:sz w:val="22"/>
          <w:szCs w:val="22"/>
          <w:lang w:val="en-GB"/>
        </w:rPr>
      </w:pPr>
      <w:r>
        <w:rPr>
          <w:rFonts w:asciiTheme="majorHAnsi" w:hAnsiTheme="majorHAnsi" w:cstheme="majorHAnsi"/>
          <w:sz w:val="22"/>
          <w:szCs w:val="22"/>
          <w:lang w:val="en-GB"/>
        </w:rPr>
        <w:t>3</w:t>
      </w:r>
      <w:r w:rsidRPr="00CC74EF">
        <w:rPr>
          <w:rFonts w:asciiTheme="majorHAnsi" w:hAnsiTheme="majorHAnsi" w:cstheme="majorHAnsi"/>
          <w:sz w:val="22"/>
          <w:szCs w:val="22"/>
          <w:lang w:val="en-GB"/>
        </w:rPr>
        <w:t xml:space="preserve">. Additional results for study </w:t>
      </w:r>
      <w:r>
        <w:rPr>
          <w:rFonts w:asciiTheme="majorHAnsi" w:hAnsiTheme="majorHAnsi" w:cstheme="majorHAnsi"/>
          <w:sz w:val="22"/>
          <w:szCs w:val="22"/>
          <w:lang w:val="en-GB"/>
        </w:rPr>
        <w:t>2</w:t>
      </w:r>
      <w:r w:rsidRPr="00CC74EF">
        <w:rPr>
          <w:rFonts w:asciiTheme="majorHAnsi" w:hAnsiTheme="majorHAnsi" w:cstheme="majorHAnsi"/>
          <w:sz w:val="22"/>
          <w:szCs w:val="22"/>
          <w:lang w:val="en-GB"/>
        </w:rPr>
        <w:t xml:space="preserve">: Impact of </w:t>
      </w:r>
      <w:r>
        <w:rPr>
          <w:rFonts w:asciiTheme="majorHAnsi" w:hAnsiTheme="majorHAnsi" w:cstheme="majorHAnsi"/>
          <w:sz w:val="22"/>
          <w:szCs w:val="22"/>
          <w:lang w:val="en-GB"/>
        </w:rPr>
        <w:t>un</w:t>
      </w:r>
      <w:r w:rsidRPr="00CC74EF">
        <w:rPr>
          <w:rFonts w:asciiTheme="majorHAnsi" w:hAnsiTheme="majorHAnsi" w:cstheme="majorHAnsi"/>
          <w:sz w:val="22"/>
          <w:szCs w:val="22"/>
          <w:lang w:val="en-GB"/>
        </w:rPr>
        <w:t>familiar companion</w:t>
      </w:r>
    </w:p>
    <w:p w:rsidR="00CC74EF" w:rsidRDefault="00CC74EF" w:rsidP="00CC74EF">
      <w:pPr>
        <w:spacing w:line="480" w:lineRule="auto"/>
        <w:jc w:val="both"/>
        <w:rPr>
          <w:rFonts w:cstheme="minorHAnsi"/>
          <w:sz w:val="20"/>
          <w:szCs w:val="20"/>
          <w:lang w:val="en-GB"/>
        </w:rPr>
      </w:pPr>
    </w:p>
    <w:p w:rsidR="00CC74EF" w:rsidRDefault="00CC74EF" w:rsidP="00CC74EF">
      <w:pPr>
        <w:spacing w:line="480" w:lineRule="auto"/>
        <w:jc w:val="both"/>
        <w:rPr>
          <w:rFonts w:asciiTheme="majorHAnsi" w:eastAsia="Times New Roman" w:hAnsiTheme="majorHAnsi" w:cstheme="majorHAnsi"/>
          <w:sz w:val="22"/>
          <w:szCs w:val="22"/>
          <w:lang w:val="en-GB" w:eastAsia="fr-FR"/>
        </w:rPr>
      </w:pPr>
      <w:r>
        <w:rPr>
          <w:rFonts w:asciiTheme="majorHAnsi" w:eastAsia="Times New Roman" w:hAnsiTheme="majorHAnsi" w:cstheme="majorHAnsi"/>
          <w:sz w:val="22"/>
          <w:szCs w:val="22"/>
          <w:lang w:val="en-GB" w:eastAsia="fr-FR"/>
        </w:rPr>
        <w:t xml:space="preserve">3.1. </w:t>
      </w:r>
      <w:r w:rsidRPr="004B74FC">
        <w:rPr>
          <w:rFonts w:asciiTheme="majorHAnsi" w:hAnsiTheme="majorHAnsi" w:cstheme="majorHAnsi"/>
          <w:sz w:val="22"/>
          <w:szCs w:val="22"/>
          <w:lang w:val="en-US"/>
        </w:rPr>
        <w:t>Verification of observer agreement on the video scoring (reactivity score)</w:t>
      </w:r>
    </w:p>
    <w:p w:rsidR="00CC74EF" w:rsidRDefault="00CC74EF" w:rsidP="00CC74EF">
      <w:pPr>
        <w:spacing w:line="480" w:lineRule="auto"/>
        <w:jc w:val="both"/>
        <w:rPr>
          <w:rFonts w:cstheme="minorHAnsi"/>
          <w:sz w:val="20"/>
          <w:szCs w:val="20"/>
          <w:lang w:val="en-GB"/>
        </w:rPr>
      </w:pPr>
      <w:r>
        <w:rPr>
          <w:rFonts w:cstheme="minorHAnsi"/>
          <w:sz w:val="20"/>
          <w:szCs w:val="20"/>
          <w:lang w:val="en-GB"/>
        </w:rPr>
        <w:t>There was high inter-observer agreement on the reaction of subjects and companions (kw = 0.975 (95% CI, 0.950 to 0.999), P &lt; 0.0001).</w:t>
      </w:r>
    </w:p>
    <w:p w:rsidR="00CC74EF" w:rsidRDefault="00CC74EF" w:rsidP="006678C8">
      <w:pPr>
        <w:spacing w:line="480" w:lineRule="auto"/>
        <w:jc w:val="both"/>
        <w:rPr>
          <w:rFonts w:asciiTheme="majorHAnsi" w:hAnsiTheme="majorHAnsi" w:cstheme="majorHAnsi"/>
          <w:sz w:val="22"/>
          <w:szCs w:val="22"/>
          <w:lang w:val="en-GB"/>
        </w:rPr>
      </w:pPr>
    </w:p>
    <w:p w:rsidR="00CC74EF" w:rsidRDefault="00CC74EF" w:rsidP="00CC74EF">
      <w:pPr>
        <w:spacing w:line="480" w:lineRule="auto"/>
        <w:rPr>
          <w:rFonts w:asciiTheme="majorHAnsi" w:eastAsia="Times New Roman" w:hAnsiTheme="majorHAnsi" w:cstheme="majorHAnsi"/>
          <w:sz w:val="22"/>
          <w:szCs w:val="22"/>
          <w:lang w:val="en-GB" w:eastAsia="fr-FR"/>
        </w:rPr>
      </w:pPr>
      <w:r>
        <w:rPr>
          <w:rFonts w:asciiTheme="majorHAnsi" w:eastAsia="Times New Roman" w:hAnsiTheme="majorHAnsi" w:cstheme="majorHAnsi"/>
          <w:sz w:val="22"/>
          <w:szCs w:val="22"/>
          <w:lang w:val="en-GB" w:eastAsia="fr-FR"/>
        </w:rPr>
        <w:lastRenderedPageBreak/>
        <w:t>3.</w:t>
      </w:r>
      <w:r w:rsidR="000C1E00">
        <w:rPr>
          <w:rFonts w:asciiTheme="majorHAnsi" w:eastAsia="Times New Roman" w:hAnsiTheme="majorHAnsi" w:cstheme="majorHAnsi"/>
          <w:sz w:val="22"/>
          <w:szCs w:val="22"/>
          <w:lang w:val="en-GB" w:eastAsia="fr-FR"/>
        </w:rPr>
        <w:t>2</w:t>
      </w:r>
      <w:r>
        <w:rPr>
          <w:rFonts w:asciiTheme="majorHAnsi" w:eastAsia="Times New Roman" w:hAnsiTheme="majorHAnsi" w:cstheme="majorHAnsi"/>
          <w:sz w:val="22"/>
          <w:szCs w:val="22"/>
          <w:lang w:val="en-GB" w:eastAsia="fr-FR"/>
        </w:rPr>
        <w:t>. Analysis of effect of the order of tests on the behavioural and physiological responses</w:t>
      </w:r>
    </w:p>
    <w:p w:rsidR="00CC74EF" w:rsidRDefault="00CC74EF" w:rsidP="00CC74EF">
      <w:pPr>
        <w:spacing w:line="480" w:lineRule="auto"/>
        <w:jc w:val="both"/>
        <w:rPr>
          <w:rFonts w:cstheme="minorHAnsi"/>
          <w:sz w:val="20"/>
          <w:szCs w:val="20"/>
          <w:lang w:val="en-GB"/>
        </w:rPr>
      </w:pPr>
      <w:r w:rsidRPr="00B95EFB">
        <w:rPr>
          <w:rFonts w:cstheme="minorHAnsi"/>
          <w:sz w:val="20"/>
          <w:lang w:val="en-GB"/>
        </w:rPr>
        <w:t>The order</w:t>
      </w:r>
      <w:r>
        <w:rPr>
          <w:rFonts w:cstheme="minorHAnsi"/>
          <w:sz w:val="20"/>
          <w:lang w:val="en-GB"/>
        </w:rPr>
        <w:t xml:space="preserve"> of tests did not affect the subject’s reactivity score or heart rate recovery </w:t>
      </w:r>
      <w:r w:rsidRPr="00EA1901">
        <w:rPr>
          <w:rFonts w:cstheme="minorHAnsi"/>
          <w:sz w:val="20"/>
          <w:szCs w:val="20"/>
          <w:lang w:val="en-GB"/>
        </w:rPr>
        <w:t xml:space="preserve">(RS, CLMM: estimate ± </w:t>
      </w:r>
      <w:r>
        <w:rPr>
          <w:rFonts w:cstheme="minorHAnsi"/>
          <w:sz w:val="20"/>
          <w:szCs w:val="20"/>
          <w:lang w:val="en-GB"/>
        </w:rPr>
        <w:t>S</w:t>
      </w:r>
      <w:r w:rsidRPr="00980AF0">
        <w:rPr>
          <w:rFonts w:cstheme="minorHAnsi"/>
          <w:sz w:val="20"/>
          <w:szCs w:val="20"/>
          <w:lang w:val="en-GB"/>
        </w:rPr>
        <w:t>.</w:t>
      </w:r>
      <w:r>
        <w:rPr>
          <w:rFonts w:cstheme="minorHAnsi"/>
          <w:sz w:val="20"/>
          <w:szCs w:val="20"/>
          <w:lang w:val="en-GB"/>
        </w:rPr>
        <w:t>E</w:t>
      </w:r>
      <w:r w:rsidRPr="00980AF0">
        <w:rPr>
          <w:rFonts w:cstheme="minorHAnsi"/>
          <w:sz w:val="20"/>
          <w:szCs w:val="20"/>
          <w:lang w:val="en-GB"/>
        </w:rPr>
        <w:t>.: −0.18 ± 0.24, P = 0.444; HRR</w:t>
      </w:r>
      <w:r w:rsidRPr="00EA1901">
        <w:rPr>
          <w:rFonts w:cstheme="minorHAnsi"/>
          <w:sz w:val="20"/>
          <w:szCs w:val="20"/>
          <w:lang w:val="en-GB"/>
        </w:rPr>
        <w:t xml:space="preserve">, LMM: t-value, </w:t>
      </w:r>
      <w:proofErr w:type="spellStart"/>
      <w:r w:rsidRPr="00980AF0">
        <w:rPr>
          <w:rFonts w:cstheme="minorHAnsi"/>
          <w:sz w:val="20"/>
          <w:szCs w:val="20"/>
          <w:lang w:val="en-GB"/>
        </w:rPr>
        <w:t>df</w:t>
      </w:r>
      <w:proofErr w:type="spellEnd"/>
      <w:r w:rsidRPr="00980AF0">
        <w:rPr>
          <w:rFonts w:cstheme="minorHAnsi"/>
          <w:sz w:val="20"/>
          <w:szCs w:val="20"/>
          <w:lang w:val="en-GB"/>
        </w:rPr>
        <w:t>: −0.15, 44.523, P = 0.884).</w:t>
      </w:r>
    </w:p>
    <w:p w:rsidR="00CC74EF" w:rsidRDefault="00CC74EF" w:rsidP="006678C8">
      <w:pPr>
        <w:spacing w:line="480" w:lineRule="auto"/>
        <w:jc w:val="both"/>
        <w:rPr>
          <w:rFonts w:asciiTheme="majorHAnsi" w:hAnsiTheme="majorHAnsi" w:cstheme="majorHAnsi"/>
          <w:sz w:val="22"/>
          <w:szCs w:val="22"/>
          <w:lang w:val="en-GB"/>
        </w:rPr>
      </w:pPr>
    </w:p>
    <w:p w:rsidR="008D0F5F" w:rsidRDefault="008D0F5F" w:rsidP="006678C8">
      <w:pPr>
        <w:spacing w:line="480" w:lineRule="auto"/>
        <w:jc w:val="both"/>
        <w:rPr>
          <w:rFonts w:asciiTheme="majorHAnsi" w:eastAsia="Times New Roman" w:hAnsiTheme="majorHAnsi" w:cstheme="majorHAnsi"/>
          <w:sz w:val="22"/>
          <w:szCs w:val="22"/>
          <w:lang w:val="en-GB" w:eastAsia="fr-FR"/>
        </w:rPr>
      </w:pPr>
      <w:r w:rsidRPr="008D0F5F">
        <w:rPr>
          <w:rFonts w:asciiTheme="majorHAnsi" w:eastAsia="Times New Roman" w:hAnsiTheme="majorHAnsi" w:cstheme="majorHAnsi"/>
          <w:sz w:val="22"/>
          <w:szCs w:val="22"/>
          <w:lang w:val="en-GB" w:eastAsia="fr-FR"/>
        </w:rPr>
        <w:t>4.</w:t>
      </w:r>
      <w:r>
        <w:rPr>
          <w:rFonts w:asciiTheme="majorHAnsi" w:eastAsia="Times New Roman" w:hAnsiTheme="majorHAnsi" w:cstheme="majorHAnsi"/>
          <w:sz w:val="22"/>
          <w:szCs w:val="22"/>
          <w:lang w:val="en-GB" w:eastAsia="fr-FR"/>
        </w:rPr>
        <w:t xml:space="preserve"> Supplementary references</w:t>
      </w:r>
    </w:p>
    <w:p w:rsidR="008D0F5F" w:rsidRPr="008D0F5F" w:rsidRDefault="008D0F5F" w:rsidP="008D0F5F">
      <w:pPr>
        <w:pStyle w:val="Paragraphedeliste"/>
        <w:numPr>
          <w:ilvl w:val="0"/>
          <w:numId w:val="2"/>
        </w:numPr>
        <w:spacing w:line="480" w:lineRule="auto"/>
        <w:ind w:left="284" w:hanging="284"/>
        <w:jc w:val="both"/>
        <w:rPr>
          <w:rFonts w:asciiTheme="majorHAnsi" w:eastAsia="Times New Roman" w:hAnsiTheme="majorHAnsi" w:cstheme="majorHAnsi"/>
          <w:sz w:val="22"/>
          <w:szCs w:val="22"/>
          <w:lang w:val="en-GB" w:eastAsia="fr-FR"/>
        </w:rPr>
      </w:pPr>
      <w:r w:rsidRPr="008D0F5F">
        <w:rPr>
          <w:rFonts w:cstheme="minorHAnsi"/>
          <w:sz w:val="20"/>
          <w:szCs w:val="20"/>
          <w:lang w:val="en-US"/>
        </w:rPr>
        <w:t xml:space="preserve">Christensen, J. W., </w:t>
      </w:r>
      <w:proofErr w:type="spellStart"/>
      <w:r w:rsidRPr="008D0F5F">
        <w:rPr>
          <w:rFonts w:cstheme="minorHAnsi"/>
          <w:sz w:val="20"/>
          <w:szCs w:val="20"/>
          <w:lang w:val="en-US"/>
        </w:rPr>
        <w:t>Malmkvist</w:t>
      </w:r>
      <w:proofErr w:type="spellEnd"/>
      <w:r w:rsidRPr="008D0F5F">
        <w:rPr>
          <w:rFonts w:cstheme="minorHAnsi"/>
          <w:sz w:val="20"/>
          <w:szCs w:val="20"/>
          <w:lang w:val="en-US"/>
        </w:rPr>
        <w:t>, J., Nielsen, B. L., &amp; Keeling, L. (2008). Effects of a calm companion on fear reactions in naive test horses.</w:t>
      </w:r>
      <w:r w:rsidRPr="008D0F5F">
        <w:rPr>
          <w:rFonts w:cstheme="minorHAnsi"/>
          <w:i/>
          <w:iCs/>
          <w:sz w:val="20"/>
          <w:szCs w:val="20"/>
          <w:lang w:val="en-US"/>
        </w:rPr>
        <w:t xml:space="preserve"> </w:t>
      </w:r>
      <w:proofErr w:type="spellStart"/>
      <w:r w:rsidRPr="00D37D10">
        <w:rPr>
          <w:rFonts w:cstheme="minorHAnsi"/>
          <w:i/>
          <w:iCs/>
          <w:sz w:val="20"/>
          <w:szCs w:val="20"/>
        </w:rPr>
        <w:t>Equine</w:t>
      </w:r>
      <w:proofErr w:type="spellEnd"/>
      <w:r w:rsidRPr="00D37D10">
        <w:rPr>
          <w:rFonts w:cstheme="minorHAnsi"/>
          <w:i/>
          <w:iCs/>
          <w:sz w:val="20"/>
          <w:szCs w:val="20"/>
        </w:rPr>
        <w:t xml:space="preserve"> </w:t>
      </w:r>
      <w:proofErr w:type="spellStart"/>
      <w:r w:rsidRPr="00D37D10">
        <w:rPr>
          <w:rFonts w:cstheme="minorHAnsi"/>
          <w:i/>
          <w:iCs/>
          <w:sz w:val="20"/>
          <w:szCs w:val="20"/>
        </w:rPr>
        <w:t>Veterinary</w:t>
      </w:r>
      <w:proofErr w:type="spellEnd"/>
      <w:r w:rsidRPr="00D37D10">
        <w:rPr>
          <w:rFonts w:cstheme="minorHAnsi"/>
          <w:i/>
          <w:iCs/>
          <w:sz w:val="20"/>
          <w:szCs w:val="20"/>
        </w:rPr>
        <w:t xml:space="preserve"> Journal, 40</w:t>
      </w:r>
      <w:r w:rsidRPr="00D37D10">
        <w:rPr>
          <w:rFonts w:cstheme="minorHAnsi"/>
          <w:sz w:val="20"/>
          <w:szCs w:val="20"/>
        </w:rPr>
        <w:t xml:space="preserve">(1), 46-50. </w:t>
      </w:r>
      <w:r>
        <w:rPr>
          <w:rFonts w:cstheme="minorHAnsi"/>
          <w:sz w:val="20"/>
          <w:szCs w:val="20"/>
        </w:rPr>
        <w:t>(</w:t>
      </w:r>
      <w:proofErr w:type="gramStart"/>
      <w:r>
        <w:rPr>
          <w:rFonts w:cstheme="minorHAnsi"/>
          <w:sz w:val="20"/>
          <w:szCs w:val="20"/>
        </w:rPr>
        <w:t>doi:</w:t>
      </w:r>
      <w:proofErr w:type="gramEnd"/>
      <w:r w:rsidRPr="00AC6DB0">
        <w:rPr>
          <w:rFonts w:cstheme="minorHAnsi"/>
          <w:sz w:val="20"/>
          <w:szCs w:val="20"/>
        </w:rPr>
        <w:t>10.2746/042516408X245171</w:t>
      </w:r>
      <w:r>
        <w:rPr>
          <w:rFonts w:cstheme="minorHAnsi"/>
          <w:sz w:val="20"/>
          <w:szCs w:val="20"/>
        </w:rPr>
        <w:t>)</w:t>
      </w:r>
    </w:p>
    <w:sectPr w:rsidR="008D0F5F" w:rsidRPr="008D0F5F" w:rsidSect="009F0E71">
      <w:footerReference w:type="even" r:id="rId8"/>
      <w:footerReference w:type="default" r:id="rId9"/>
      <w:pgSz w:w="11900" w:h="16840"/>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54D" w:rsidRDefault="0034554D" w:rsidP="009F0E71">
      <w:r>
        <w:separator/>
      </w:r>
    </w:p>
  </w:endnote>
  <w:endnote w:type="continuationSeparator" w:id="0">
    <w:p w:rsidR="0034554D" w:rsidRDefault="0034554D" w:rsidP="009F0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Sans">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77297657"/>
      <w:docPartObj>
        <w:docPartGallery w:val="Page Numbers (Bottom of Page)"/>
        <w:docPartUnique/>
      </w:docPartObj>
    </w:sdtPr>
    <w:sdtEndPr>
      <w:rPr>
        <w:rStyle w:val="Numrodepage"/>
      </w:rPr>
    </w:sdtEndPr>
    <w:sdtContent>
      <w:p w:rsidR="009F0E71" w:rsidRDefault="009F0E71" w:rsidP="00F6427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F0E71" w:rsidRDefault="009F0E71" w:rsidP="009F0E7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522788303"/>
      <w:docPartObj>
        <w:docPartGallery w:val="Page Numbers (Bottom of Page)"/>
        <w:docPartUnique/>
      </w:docPartObj>
    </w:sdtPr>
    <w:sdtEndPr>
      <w:rPr>
        <w:rStyle w:val="Numrodepage"/>
      </w:rPr>
    </w:sdtEndPr>
    <w:sdtContent>
      <w:p w:rsidR="009F0E71" w:rsidRDefault="009F0E71" w:rsidP="00F6427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346796">
          <w:rPr>
            <w:rStyle w:val="Numrodepage"/>
            <w:noProof/>
          </w:rPr>
          <w:t>2</w:t>
        </w:r>
        <w:r>
          <w:rPr>
            <w:rStyle w:val="Numrodepage"/>
          </w:rPr>
          <w:fldChar w:fldCharType="end"/>
        </w:r>
      </w:p>
    </w:sdtContent>
  </w:sdt>
  <w:p w:rsidR="009F0E71" w:rsidRDefault="009F0E71" w:rsidP="009F0E7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54D" w:rsidRDefault="0034554D" w:rsidP="009F0E71">
      <w:r>
        <w:separator/>
      </w:r>
    </w:p>
  </w:footnote>
  <w:footnote w:type="continuationSeparator" w:id="0">
    <w:p w:rsidR="0034554D" w:rsidRDefault="0034554D" w:rsidP="009F0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731CF"/>
    <w:multiLevelType w:val="hybridMultilevel"/>
    <w:tmpl w:val="44840844"/>
    <w:lvl w:ilvl="0" w:tplc="60CE361C">
      <w:start w:val="1"/>
      <w:numFmt w:val="decimal"/>
      <w:lvlText w:val="%1."/>
      <w:lvlJc w:val="left"/>
      <w:pPr>
        <w:ind w:left="720" w:hanging="360"/>
      </w:pPr>
      <w:rPr>
        <w:rFonts w:asciiTheme="minorHAnsi" w:hAnsiTheme="minorHAnsi" w:cs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889130F"/>
    <w:multiLevelType w:val="hybridMultilevel"/>
    <w:tmpl w:val="8FA2CFA2"/>
    <w:lvl w:ilvl="0" w:tplc="285E054E">
      <w:start w:val="1"/>
      <w:numFmt w:val="decimal"/>
      <w:lvlText w:val="%1."/>
      <w:lvlJc w:val="left"/>
      <w:pPr>
        <w:ind w:left="720" w:hanging="360"/>
      </w:pPr>
      <w:rPr>
        <w:rFonts w:asciiTheme="minorHAnsi" w:hAnsiTheme="minorHAnsi" w:cstheme="minorHAnsi"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71"/>
    <w:rsid w:val="00002770"/>
    <w:rsid w:val="0008253E"/>
    <w:rsid w:val="000A7895"/>
    <w:rsid w:val="000C1E00"/>
    <w:rsid w:val="00261DDA"/>
    <w:rsid w:val="0034554D"/>
    <w:rsid w:val="00346796"/>
    <w:rsid w:val="0048184E"/>
    <w:rsid w:val="0061347C"/>
    <w:rsid w:val="0064441E"/>
    <w:rsid w:val="006678C8"/>
    <w:rsid w:val="00692A48"/>
    <w:rsid w:val="006B1136"/>
    <w:rsid w:val="006F2354"/>
    <w:rsid w:val="007023EE"/>
    <w:rsid w:val="00711F5D"/>
    <w:rsid w:val="00746DFB"/>
    <w:rsid w:val="00850A57"/>
    <w:rsid w:val="008D0F5F"/>
    <w:rsid w:val="00933DC1"/>
    <w:rsid w:val="00960352"/>
    <w:rsid w:val="009F0E71"/>
    <w:rsid w:val="00A11E7C"/>
    <w:rsid w:val="00A85DA9"/>
    <w:rsid w:val="00B81127"/>
    <w:rsid w:val="00CC74EF"/>
    <w:rsid w:val="00DB7882"/>
    <w:rsid w:val="00E03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E0B309F0-F201-164A-BDDF-AFA05400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E71"/>
  </w:style>
  <w:style w:type="paragraph" w:styleId="Titre1">
    <w:name w:val="heading 1"/>
    <w:basedOn w:val="Normal"/>
    <w:next w:val="Normal"/>
    <w:link w:val="Titre1Car"/>
    <w:uiPriority w:val="9"/>
    <w:qFormat/>
    <w:rsid w:val="009F0E7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0E71"/>
    <w:rPr>
      <w:rFonts w:asciiTheme="majorHAnsi" w:eastAsiaTheme="majorEastAsia" w:hAnsiTheme="majorHAnsi" w:cstheme="majorBidi"/>
      <w:color w:val="2F5496" w:themeColor="accent1" w:themeShade="BF"/>
      <w:sz w:val="32"/>
      <w:szCs w:val="32"/>
    </w:rPr>
  </w:style>
  <w:style w:type="paragraph" w:styleId="Pieddepage">
    <w:name w:val="footer"/>
    <w:basedOn w:val="Normal"/>
    <w:link w:val="PieddepageCar"/>
    <w:uiPriority w:val="99"/>
    <w:unhideWhenUsed/>
    <w:rsid w:val="009F0E71"/>
    <w:pPr>
      <w:tabs>
        <w:tab w:val="center" w:pos="4536"/>
        <w:tab w:val="right" w:pos="9072"/>
      </w:tabs>
    </w:pPr>
  </w:style>
  <w:style w:type="character" w:customStyle="1" w:styleId="PieddepageCar">
    <w:name w:val="Pied de page Car"/>
    <w:basedOn w:val="Policepardfaut"/>
    <w:link w:val="Pieddepage"/>
    <w:uiPriority w:val="99"/>
    <w:rsid w:val="009F0E71"/>
  </w:style>
  <w:style w:type="character" w:styleId="Numrodepage">
    <w:name w:val="page number"/>
    <w:basedOn w:val="Policepardfaut"/>
    <w:uiPriority w:val="99"/>
    <w:semiHidden/>
    <w:unhideWhenUsed/>
    <w:rsid w:val="009F0E71"/>
  </w:style>
  <w:style w:type="character" w:styleId="Numrodeligne">
    <w:name w:val="line number"/>
    <w:basedOn w:val="Policepardfaut"/>
    <w:uiPriority w:val="99"/>
    <w:semiHidden/>
    <w:unhideWhenUsed/>
    <w:rsid w:val="009F0E71"/>
  </w:style>
  <w:style w:type="paragraph" w:styleId="NormalWeb">
    <w:name w:val="Normal (Web)"/>
    <w:basedOn w:val="Normal"/>
    <w:uiPriority w:val="99"/>
    <w:unhideWhenUsed/>
    <w:rsid w:val="009F0E71"/>
    <w:pPr>
      <w:spacing w:before="100" w:beforeAutospacing="1" w:after="100" w:afterAutospacing="1"/>
    </w:pPr>
    <w:rPr>
      <w:rFonts w:ascii="Times New Roman" w:eastAsia="Times New Roman" w:hAnsi="Times New Roman" w:cs="Times New Roman"/>
      <w:lang w:val="en-GB" w:eastAsia="fr-FR"/>
    </w:rPr>
  </w:style>
  <w:style w:type="table" w:styleId="Grilledutableau">
    <w:name w:val="Table Grid"/>
    <w:basedOn w:val="TableauNormal"/>
    <w:uiPriority w:val="39"/>
    <w:rsid w:val="00B8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D0F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3581</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Ricci-Bonot</dc:creator>
  <cp:keywords/>
  <dc:description/>
  <cp:lastModifiedBy>Claire Ricci-Bonot</cp:lastModifiedBy>
  <cp:revision>2</cp:revision>
  <dcterms:created xsi:type="dcterms:W3CDTF">2021-02-22T09:04:00Z</dcterms:created>
  <dcterms:modified xsi:type="dcterms:W3CDTF">2021-02-22T09:04:00Z</dcterms:modified>
</cp:coreProperties>
</file>