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50E3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</w:rPr>
        <w:t>Supplementary Table 1</w:t>
      </w:r>
      <w:r>
        <w:rPr>
          <w:rFonts w:ascii="Times New Roman" w:eastAsia="DengXian" w:hAnsi="Times New Roman" w:cs="Times New Roman"/>
        </w:rPr>
        <w:t>.</w:t>
      </w:r>
      <w:r>
        <w:rPr>
          <w:rFonts w:ascii="Times New Roman" w:eastAsia="DengXi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Molecular </w:t>
      </w:r>
      <w:r>
        <w:rPr>
          <w:rFonts w:ascii="Times New Roman" w:hAnsi="Times New Roman" w:cs="Times New Roman" w:hint="eastAsia"/>
          <w:szCs w:val="21"/>
        </w:rPr>
        <w:t xml:space="preserve">and </w:t>
      </w:r>
      <w:r>
        <w:rPr>
          <w:rFonts w:ascii="Times New Roman" w:hAnsi="Times New Roman" w:cs="Times New Roman"/>
          <w:szCs w:val="21"/>
        </w:rPr>
        <w:t>patholog</w:t>
      </w:r>
      <w:r>
        <w:rPr>
          <w:rFonts w:ascii="Times New Roman" w:hAnsi="Times New Roman" w:cs="Times New Roman" w:hint="eastAsia"/>
          <w:szCs w:val="21"/>
        </w:rPr>
        <w:t>ical</w:t>
      </w:r>
      <w:r>
        <w:rPr>
          <w:rFonts w:ascii="Times New Roman" w:hAnsi="Times New Roman" w:cs="Times New Roman"/>
          <w:szCs w:val="21"/>
        </w:rPr>
        <w:t xml:space="preserve"> information of five DIPG cells.</w:t>
      </w:r>
    </w:p>
    <w:p w14:paraId="1664E29E" w14:textId="77777777" w:rsidR="003D4F08" w:rsidRPr="007D6F37" w:rsidRDefault="003D4F08" w:rsidP="003D4F08">
      <w:pPr>
        <w:spacing w:line="360" w:lineRule="auto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  <w:noProof/>
        </w:rPr>
        <w:drawing>
          <wp:inline distT="0" distB="0" distL="0" distR="0" wp14:anchorId="74B35FC2" wp14:editId="206D8652">
            <wp:extent cx="2629899" cy="10800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1" t="33213"/>
                    <a:stretch/>
                  </pic:blipFill>
                  <pic:spPr bwMode="auto">
                    <a:xfrm>
                      <a:off x="0" y="0"/>
                      <a:ext cx="2629899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568C2F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</w:p>
    <w:p w14:paraId="0E4CB72D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</w:rPr>
        <w:t>Supplementary Table 2</w:t>
      </w:r>
      <w:r>
        <w:rPr>
          <w:rFonts w:ascii="Times New Roman" w:eastAsia="DengXian" w:hAnsi="Times New Roman" w:cs="Times New Roman"/>
        </w:rPr>
        <w:t xml:space="preserve">. </w:t>
      </w:r>
      <w:r>
        <w:rPr>
          <w:rFonts w:ascii="Times New Roman" w:hAnsi="Times New Roman" w:cs="Times New Roman"/>
          <w:szCs w:val="21"/>
        </w:rPr>
        <w:t>IC50 value of DIPG cells treated with palbociclib or YF-PRJ8-1011.</w:t>
      </w:r>
    </w:p>
    <w:p w14:paraId="301BF37E" w14:textId="77777777" w:rsidR="003D4F08" w:rsidRPr="007D6F37" w:rsidRDefault="003D4F08" w:rsidP="003D4F08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7D6F37">
        <w:rPr>
          <w:rFonts w:ascii="Times New Roman" w:eastAsia="DengXian" w:hAnsi="Times New Roman" w:cs="Times New Roman"/>
          <w:noProof/>
        </w:rPr>
        <w:drawing>
          <wp:inline distT="0" distB="0" distL="0" distR="0" wp14:anchorId="24C6C08C" wp14:editId="77D57CA5">
            <wp:extent cx="3196895" cy="25200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t="14934"/>
                    <a:stretch/>
                  </pic:blipFill>
                  <pic:spPr bwMode="auto">
                    <a:xfrm>
                      <a:off x="0" y="0"/>
                      <a:ext cx="3196895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900D1" w14:textId="77777777" w:rsidR="003D4F08" w:rsidRPr="007D6F37" w:rsidRDefault="003D4F08" w:rsidP="003D4F08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7D6F37">
        <w:rPr>
          <w:rFonts w:ascii="Times New Roman" w:eastAsia="DengXian" w:hAnsi="Times New Roman" w:cs="Times New Roman"/>
          <w:b/>
          <w:bCs/>
          <w:sz w:val="24"/>
          <w:szCs w:val="24"/>
        </w:rPr>
        <w:br w:type="page"/>
      </w:r>
    </w:p>
    <w:p w14:paraId="608115CF" w14:textId="77777777" w:rsidR="003D4F08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bookmarkStart w:id="0" w:name="_Hlk112678557"/>
    </w:p>
    <w:p w14:paraId="532E95C4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</w:rPr>
        <w:t>Supplementary Table 3</w:t>
      </w:r>
      <w:r>
        <w:rPr>
          <w:rFonts w:ascii="Times New Roman" w:eastAsia="DengXian" w:hAnsi="Times New Roman" w:cs="Times New Roman"/>
        </w:rPr>
        <w:t xml:space="preserve">. </w:t>
      </w:r>
      <w:r>
        <w:rPr>
          <w:rFonts w:ascii="Times New Roman" w:hAnsi="Times New Roman" w:cs="Times New Roman"/>
          <w:szCs w:val="21"/>
        </w:rPr>
        <w:t xml:space="preserve">The </w:t>
      </w:r>
      <w:r w:rsidRPr="00EA1588">
        <w:rPr>
          <w:rFonts w:ascii="Times New Roman" w:hAnsi="Times New Roman" w:cs="Times New Roman"/>
          <w:szCs w:val="21"/>
        </w:rPr>
        <w:t>data on the pharmacokinetics of</w:t>
      </w:r>
      <w:r>
        <w:rPr>
          <w:rFonts w:ascii="Times New Roman" w:hAnsi="Times New Roman" w:cs="Times New Roman"/>
          <w:szCs w:val="21"/>
        </w:rPr>
        <w:t xml:space="preserve"> palbociclib in BALB/c mice.</w:t>
      </w:r>
    </w:p>
    <w:tbl>
      <w:tblPr>
        <w:tblStyle w:val="TableGrid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1337"/>
        <w:gridCol w:w="1330"/>
        <w:gridCol w:w="1337"/>
        <w:gridCol w:w="1572"/>
        <w:gridCol w:w="1441"/>
      </w:tblGrid>
      <w:tr w:rsidR="003D4F08" w:rsidRPr="007D6F37" w14:paraId="2D05A7ED" w14:textId="77777777" w:rsidTr="00F11342"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3D346BCD" w14:textId="77777777" w:rsidR="003D4F08" w:rsidRPr="007D6F37" w:rsidRDefault="003D4F08" w:rsidP="00F11342">
            <w:pPr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</w:pPr>
            <w:bookmarkStart w:id="1" w:name="_Hlk112667343"/>
            <w:bookmarkEnd w:id="0"/>
            <w:r w:rsidRPr="007D6F37"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  <w:t>Time Point (hr)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F186B05" w14:textId="77777777" w:rsidR="003D4F08" w:rsidRPr="007D6F37" w:rsidRDefault="003D4F08" w:rsidP="00F11342">
            <w:pPr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  <w:t>Average Conc. in Plasma (ng/mL)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14:paraId="06CE669A" w14:textId="77777777" w:rsidR="003D4F08" w:rsidRPr="007D6F37" w:rsidRDefault="003D4F08" w:rsidP="00F11342">
            <w:pPr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  <w:t>Average Conc. in Brain (ng/g)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742D5DF" w14:textId="77777777" w:rsidR="003D4F08" w:rsidRPr="007D6F37" w:rsidRDefault="003D4F08" w:rsidP="00F11342">
            <w:pPr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  <w:t>Average Conc. in CSF (ng/mL)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1A13A122" w14:textId="77777777" w:rsidR="003D4F08" w:rsidRPr="007D6F37" w:rsidRDefault="003D4F08" w:rsidP="00F11342">
            <w:pPr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  <w:t>Average Brain/Plasma Ratio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7E195603" w14:textId="77777777" w:rsidR="003D4F08" w:rsidRPr="007D6F37" w:rsidRDefault="003D4F08" w:rsidP="00F11342">
            <w:pPr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b/>
                <w:bCs/>
                <w:kern w:val="0"/>
                <w:sz w:val="15"/>
                <w:szCs w:val="15"/>
              </w:rPr>
              <w:t>Average CSF/Plasma Ratio</w:t>
            </w:r>
          </w:p>
        </w:tc>
      </w:tr>
      <w:tr w:rsidR="003D4F08" w:rsidRPr="007D6F37" w14:paraId="451FEEA1" w14:textId="77777777" w:rsidTr="00F11342">
        <w:tc>
          <w:tcPr>
            <w:tcW w:w="1289" w:type="dxa"/>
            <w:tcBorders>
              <w:top w:val="single" w:sz="4" w:space="0" w:color="auto"/>
            </w:tcBorders>
          </w:tcPr>
          <w:p w14:paraId="4D080C3C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 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48CA2B2B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5785 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14:paraId="0EE6F481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354 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4D3EB135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24.6 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14:paraId="79212EDE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0.0615 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090FFB14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0.00422 </w:t>
            </w:r>
          </w:p>
        </w:tc>
      </w:tr>
      <w:tr w:rsidR="003D4F08" w:rsidRPr="007D6F37" w14:paraId="1E605A23" w14:textId="77777777" w:rsidTr="00F11342">
        <w:tc>
          <w:tcPr>
            <w:tcW w:w="1289" w:type="dxa"/>
          </w:tcPr>
          <w:p w14:paraId="75127173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 </w:t>
            </w:r>
          </w:p>
        </w:tc>
        <w:tc>
          <w:tcPr>
            <w:tcW w:w="1337" w:type="dxa"/>
          </w:tcPr>
          <w:p w14:paraId="5F97363F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3660 </w:t>
            </w:r>
          </w:p>
        </w:tc>
        <w:tc>
          <w:tcPr>
            <w:tcW w:w="1330" w:type="dxa"/>
          </w:tcPr>
          <w:p w14:paraId="4708F743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363 </w:t>
            </w:r>
          </w:p>
        </w:tc>
        <w:tc>
          <w:tcPr>
            <w:tcW w:w="1337" w:type="dxa"/>
          </w:tcPr>
          <w:p w14:paraId="3E02A027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17.7 </w:t>
            </w:r>
          </w:p>
        </w:tc>
        <w:tc>
          <w:tcPr>
            <w:tcW w:w="1572" w:type="dxa"/>
          </w:tcPr>
          <w:p w14:paraId="05C6D7B5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0.0919 </w:t>
            </w:r>
          </w:p>
        </w:tc>
        <w:tc>
          <w:tcPr>
            <w:tcW w:w="1441" w:type="dxa"/>
          </w:tcPr>
          <w:p w14:paraId="384DDE92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0.00451 </w:t>
            </w:r>
          </w:p>
        </w:tc>
      </w:tr>
      <w:tr w:rsidR="003D4F08" w:rsidRPr="007D6F37" w14:paraId="0EE86EF0" w14:textId="77777777" w:rsidTr="00F11342">
        <w:tc>
          <w:tcPr>
            <w:tcW w:w="1289" w:type="dxa"/>
          </w:tcPr>
          <w:p w14:paraId="716EB50C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2 </w:t>
            </w:r>
          </w:p>
        </w:tc>
        <w:tc>
          <w:tcPr>
            <w:tcW w:w="1337" w:type="dxa"/>
          </w:tcPr>
          <w:p w14:paraId="3F248060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4780 </w:t>
            </w:r>
          </w:p>
        </w:tc>
        <w:tc>
          <w:tcPr>
            <w:tcW w:w="1330" w:type="dxa"/>
          </w:tcPr>
          <w:p w14:paraId="765DB5D1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568 </w:t>
            </w:r>
          </w:p>
        </w:tc>
        <w:tc>
          <w:tcPr>
            <w:tcW w:w="1337" w:type="dxa"/>
          </w:tcPr>
          <w:p w14:paraId="0415160E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11.6 </w:t>
            </w:r>
          </w:p>
        </w:tc>
        <w:tc>
          <w:tcPr>
            <w:tcW w:w="1572" w:type="dxa"/>
          </w:tcPr>
          <w:p w14:paraId="37FBC5C4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0.119 </w:t>
            </w:r>
          </w:p>
        </w:tc>
        <w:tc>
          <w:tcPr>
            <w:tcW w:w="1441" w:type="dxa"/>
          </w:tcPr>
          <w:p w14:paraId="50DED043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0.00254 </w:t>
            </w:r>
          </w:p>
        </w:tc>
      </w:tr>
      <w:tr w:rsidR="003D4F08" w:rsidRPr="007D6F37" w14:paraId="3D929E90" w14:textId="77777777" w:rsidTr="00F11342">
        <w:tc>
          <w:tcPr>
            <w:tcW w:w="1289" w:type="dxa"/>
          </w:tcPr>
          <w:p w14:paraId="05F4A371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4 </w:t>
            </w:r>
          </w:p>
        </w:tc>
        <w:tc>
          <w:tcPr>
            <w:tcW w:w="1337" w:type="dxa"/>
          </w:tcPr>
          <w:p w14:paraId="152EC6A6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2880 </w:t>
            </w:r>
          </w:p>
        </w:tc>
        <w:tc>
          <w:tcPr>
            <w:tcW w:w="1330" w:type="dxa"/>
          </w:tcPr>
          <w:p w14:paraId="3E87824E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421 </w:t>
            </w:r>
          </w:p>
        </w:tc>
        <w:tc>
          <w:tcPr>
            <w:tcW w:w="1337" w:type="dxa"/>
          </w:tcPr>
          <w:p w14:paraId="6F9EC66C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12.0 </w:t>
            </w:r>
          </w:p>
        </w:tc>
        <w:tc>
          <w:tcPr>
            <w:tcW w:w="1572" w:type="dxa"/>
          </w:tcPr>
          <w:p w14:paraId="392F0024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 </w:t>
            </w:r>
          </w:p>
        </w:tc>
        <w:tc>
          <w:tcPr>
            <w:tcW w:w="1441" w:type="dxa"/>
          </w:tcPr>
          <w:p w14:paraId="5B2535ED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0.00414 </w:t>
            </w:r>
          </w:p>
        </w:tc>
      </w:tr>
      <w:tr w:rsidR="003D4F08" w:rsidRPr="007D6F37" w14:paraId="16B4E67B" w14:textId="77777777" w:rsidTr="00F11342">
        <w:tc>
          <w:tcPr>
            <w:tcW w:w="1289" w:type="dxa"/>
          </w:tcPr>
          <w:p w14:paraId="3CD9CF82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8 </w:t>
            </w:r>
          </w:p>
        </w:tc>
        <w:tc>
          <w:tcPr>
            <w:tcW w:w="1337" w:type="dxa"/>
          </w:tcPr>
          <w:p w14:paraId="0AFA75DD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2670 </w:t>
            </w:r>
          </w:p>
        </w:tc>
        <w:tc>
          <w:tcPr>
            <w:tcW w:w="1330" w:type="dxa"/>
          </w:tcPr>
          <w:p w14:paraId="45884546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325 </w:t>
            </w:r>
          </w:p>
        </w:tc>
        <w:tc>
          <w:tcPr>
            <w:tcW w:w="1337" w:type="dxa"/>
          </w:tcPr>
          <w:p w14:paraId="17D66BCB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7.19 </w:t>
            </w:r>
          </w:p>
        </w:tc>
        <w:tc>
          <w:tcPr>
            <w:tcW w:w="1572" w:type="dxa"/>
          </w:tcPr>
          <w:p w14:paraId="17F20AAA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0.122 </w:t>
            </w:r>
          </w:p>
        </w:tc>
        <w:tc>
          <w:tcPr>
            <w:tcW w:w="1441" w:type="dxa"/>
          </w:tcPr>
          <w:p w14:paraId="3B8FCCE9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0.00266 </w:t>
            </w:r>
          </w:p>
        </w:tc>
      </w:tr>
      <w:tr w:rsidR="003D4F08" w:rsidRPr="007D6F37" w14:paraId="053C2F31" w14:textId="77777777" w:rsidTr="00F11342">
        <w:tc>
          <w:tcPr>
            <w:tcW w:w="1289" w:type="dxa"/>
            <w:tcBorders>
              <w:bottom w:val="single" w:sz="4" w:space="0" w:color="auto"/>
            </w:tcBorders>
          </w:tcPr>
          <w:p w14:paraId="34FABC60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24 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1219717D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865 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14:paraId="75238E3E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165 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7014C573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2.62 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67E7C064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0.197 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40CCA0A8" w14:textId="77777777" w:rsidR="003D4F08" w:rsidRPr="007D6F37" w:rsidRDefault="003D4F08" w:rsidP="00F11342">
            <w:pPr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 w:rsidRPr="007D6F37"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0.00175 </w:t>
            </w:r>
          </w:p>
        </w:tc>
      </w:tr>
      <w:bookmarkEnd w:id="1"/>
    </w:tbl>
    <w:p w14:paraId="70EB1C53" w14:textId="77777777" w:rsidR="003D4F08" w:rsidRDefault="003D4F08" w:rsidP="003D4F08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06AA9ED5" w14:textId="77777777" w:rsidR="003D4F08" w:rsidRDefault="003D4F08" w:rsidP="003D4F08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5A9BFC76" w14:textId="77777777" w:rsidR="003D4F08" w:rsidRDefault="003D4F08" w:rsidP="003D4F08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2D3125B7" w14:textId="77777777" w:rsidR="003D4F08" w:rsidRDefault="003D4F08" w:rsidP="003D4F08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14:paraId="5180B811" w14:textId="77777777" w:rsidR="003D4F08" w:rsidRDefault="003D4F08" w:rsidP="003D4F08">
      <w:pPr>
        <w:spacing w:line="360" w:lineRule="auto"/>
        <w:rPr>
          <w:rFonts w:ascii="Times New Roman" w:eastAsia="DengXian" w:hAnsi="Times New Roman" w:cs="Times New Roman"/>
        </w:rPr>
      </w:pPr>
      <w:bookmarkStart w:id="2" w:name="_Hlk112684279"/>
    </w:p>
    <w:p w14:paraId="5222552B" w14:textId="77777777" w:rsidR="003D4F08" w:rsidRPr="007D6F37" w:rsidRDefault="003D4F08" w:rsidP="003D4F08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7D6F37">
        <w:rPr>
          <w:rFonts w:ascii="Times New Roman" w:eastAsia="DengXian" w:hAnsi="Times New Roman" w:cs="Times New Roman"/>
        </w:rPr>
        <w:t>Supplementary Figure 1</w:t>
      </w:r>
      <w:r>
        <w:rPr>
          <w:rFonts w:ascii="Times New Roman" w:eastAsia="DengXian" w:hAnsi="Times New Roman" w:cs="Times New Roman"/>
        </w:rPr>
        <w:t xml:space="preserve">. </w:t>
      </w:r>
      <w:r w:rsidRPr="00170FBA">
        <w:rPr>
          <w:rFonts w:ascii="Times New Roman" w:hAnsi="Times New Roman" w:cs="Times New Roman"/>
          <w:szCs w:val="21"/>
          <w:vertAlign w:val="superscript"/>
        </w:rPr>
        <w:t>1</w:t>
      </w:r>
      <w:r w:rsidRPr="00EE1D24">
        <w:rPr>
          <w:rFonts w:ascii="Times New Roman" w:hAnsi="Times New Roman" w:cs="Times New Roman"/>
          <w:szCs w:val="21"/>
        </w:rPr>
        <w:t>H nuclear magnetic resonance (1H-NMR)</w:t>
      </w:r>
      <w:r w:rsidRPr="00B86087">
        <w:rPr>
          <w:rFonts w:ascii="Times New Roman" w:hAnsi="Times New Roman" w:cs="Times New Roman"/>
          <w:szCs w:val="21"/>
        </w:rPr>
        <w:t xml:space="preserve"> spectrum of YF-PRJ8-1011</w:t>
      </w:r>
      <w:r>
        <w:rPr>
          <w:rFonts w:ascii="Times New Roman" w:hAnsi="Times New Roman" w:cs="Times New Roman"/>
          <w:szCs w:val="21"/>
        </w:rPr>
        <w:t>.</w:t>
      </w:r>
    </w:p>
    <w:bookmarkEnd w:id="2"/>
    <w:p w14:paraId="0A2A292B" w14:textId="77777777" w:rsidR="003D4F08" w:rsidRPr="007D6F37" w:rsidRDefault="003D4F08" w:rsidP="003D4F08">
      <w:pPr>
        <w:rPr>
          <w:rFonts w:ascii="Times New Roman" w:eastAsia="DengXian" w:hAnsi="Times New Roman" w:cs="Times New Roman"/>
          <w:noProof/>
        </w:rPr>
      </w:pPr>
      <w:r w:rsidRPr="007D6F37">
        <w:rPr>
          <w:rFonts w:ascii="Times New Roman" w:eastAsia="DengXian" w:hAnsi="Times New Roman" w:cs="Times New Roman"/>
          <w:noProof/>
        </w:rPr>
        <w:drawing>
          <wp:inline distT="0" distB="0" distL="0" distR="0" wp14:anchorId="541BB236" wp14:editId="4590AD97">
            <wp:extent cx="5128895" cy="458533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A023C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</w:rPr>
        <w:br w:type="page"/>
      </w:r>
    </w:p>
    <w:p w14:paraId="79B46054" w14:textId="77777777" w:rsidR="003D4F08" w:rsidRPr="007D6F37" w:rsidRDefault="003D4F08" w:rsidP="003D4F08">
      <w:pPr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</w:rPr>
        <w:lastRenderedPageBreak/>
        <w:t>Supplementary Figure 2</w:t>
      </w:r>
      <w:r>
        <w:rPr>
          <w:rFonts w:ascii="Times New Roman" w:eastAsia="DengXian" w:hAnsi="Times New Roman" w:cs="Times New Roman"/>
        </w:rPr>
        <w:t xml:space="preserve">. Safety test of </w:t>
      </w:r>
      <w:r>
        <w:rPr>
          <w:rFonts w:ascii="Times New Roman" w:hAnsi="Times New Roman" w:cs="Times New Roman"/>
          <w:szCs w:val="21"/>
        </w:rPr>
        <w:t>YF-PRJ8-1011 in BALB/c mice.</w:t>
      </w:r>
    </w:p>
    <w:p w14:paraId="17E080FC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  <w:noProof/>
        </w:rPr>
        <w:drawing>
          <wp:inline distT="0" distB="0" distL="0" distR="0" wp14:anchorId="5A6049E1" wp14:editId="3AFF1647">
            <wp:extent cx="5274310" cy="6029452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1"/>
                    <a:stretch/>
                  </pic:blipFill>
                  <pic:spPr bwMode="auto">
                    <a:xfrm>
                      <a:off x="0" y="0"/>
                      <a:ext cx="5274310" cy="602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110CD" w14:textId="77777777" w:rsidR="003D4F08" w:rsidRPr="007D6F37" w:rsidRDefault="003D4F08" w:rsidP="003D4F08">
      <w:pPr>
        <w:widowControl/>
        <w:spacing w:line="360" w:lineRule="auto"/>
        <w:rPr>
          <w:rFonts w:ascii="Times New Roman" w:eastAsia="DengXian" w:hAnsi="Times New Roman" w:cs="Times New Roman"/>
          <w:szCs w:val="21"/>
        </w:rPr>
      </w:pPr>
    </w:p>
    <w:p w14:paraId="7BAE465C" w14:textId="77777777" w:rsidR="003D4F08" w:rsidRPr="007D6F37" w:rsidRDefault="003D4F08" w:rsidP="003D4F08">
      <w:pPr>
        <w:widowControl/>
        <w:spacing w:line="360" w:lineRule="auto"/>
        <w:rPr>
          <w:rFonts w:ascii="Times New Roman" w:eastAsia="DengXian" w:hAnsi="Times New Roman" w:cs="Times New Roman"/>
          <w:szCs w:val="21"/>
        </w:rPr>
      </w:pPr>
      <w:r w:rsidRPr="007D6F37">
        <w:rPr>
          <w:rFonts w:ascii="Times New Roman" w:eastAsia="DengXian" w:hAnsi="Times New Roman" w:cs="Times New Roman"/>
          <w:szCs w:val="21"/>
        </w:rPr>
        <w:t xml:space="preserve">(a) </w:t>
      </w:r>
      <w:r w:rsidRPr="007D6F37">
        <w:rPr>
          <w:rFonts w:ascii="Times New Roman" w:eastAsia="DengXian" w:hAnsi="Times New Roman" w:cs="Times New Roman" w:hint="eastAsia"/>
          <w:szCs w:val="21"/>
        </w:rPr>
        <w:t>C</w:t>
      </w:r>
      <w:r w:rsidRPr="007D6F37">
        <w:rPr>
          <w:rFonts w:ascii="Times New Roman" w:eastAsia="DengXian" w:hAnsi="Times New Roman" w:cs="Times New Roman"/>
          <w:szCs w:val="21"/>
        </w:rPr>
        <w:t>hange</w:t>
      </w:r>
      <w:r w:rsidRPr="007D6F37">
        <w:rPr>
          <w:rFonts w:ascii="Times New Roman" w:eastAsia="DengXian" w:hAnsi="Times New Roman" w:cs="Times New Roman" w:hint="eastAsia"/>
          <w:szCs w:val="21"/>
        </w:rPr>
        <w:t>s</w:t>
      </w:r>
      <w:r w:rsidRPr="007D6F37">
        <w:rPr>
          <w:rFonts w:ascii="Times New Roman" w:eastAsia="DengXian" w:hAnsi="Times New Roman" w:cs="Times New Roman"/>
          <w:szCs w:val="21"/>
        </w:rPr>
        <w:t xml:space="preserve"> </w:t>
      </w:r>
      <w:r w:rsidRPr="007D6F37">
        <w:rPr>
          <w:rFonts w:ascii="Times New Roman" w:eastAsia="DengXian" w:hAnsi="Times New Roman" w:cs="Times New Roman" w:hint="eastAsia"/>
          <w:szCs w:val="21"/>
        </w:rPr>
        <w:t>in body weight of</w:t>
      </w:r>
      <w:r w:rsidRPr="007D6F37">
        <w:rPr>
          <w:rFonts w:ascii="Times New Roman" w:eastAsia="DengXian" w:hAnsi="Times New Roman" w:cs="Times New Roman"/>
          <w:szCs w:val="21"/>
        </w:rPr>
        <w:t xml:space="preserve"> four female B6 mice in 14 days </w:t>
      </w:r>
      <w:r w:rsidRPr="007D6F37">
        <w:rPr>
          <w:rFonts w:ascii="Times New Roman" w:eastAsia="DengXian" w:hAnsi="Times New Roman" w:cs="Times New Roman" w:hint="eastAsia"/>
          <w:szCs w:val="21"/>
        </w:rPr>
        <w:t xml:space="preserve">of </w:t>
      </w:r>
      <w:r w:rsidRPr="007D6F37">
        <w:rPr>
          <w:rFonts w:ascii="Times New Roman" w:eastAsia="DengXian" w:hAnsi="Times New Roman" w:cs="Times New Roman"/>
          <w:szCs w:val="21"/>
        </w:rPr>
        <w:t>YF-PRJ8-1011</w:t>
      </w:r>
      <w:r w:rsidRPr="007D6F37">
        <w:rPr>
          <w:rFonts w:ascii="Times New Roman" w:eastAsia="DengXian" w:hAnsi="Times New Roman" w:cs="Times New Roman" w:hint="eastAsia"/>
          <w:szCs w:val="21"/>
        </w:rPr>
        <w:t xml:space="preserve"> treatment</w:t>
      </w:r>
      <w:r w:rsidRPr="007D6F37">
        <w:rPr>
          <w:rFonts w:ascii="Times New Roman" w:eastAsia="DengXian" w:hAnsi="Times New Roman" w:cs="Times New Roman"/>
          <w:szCs w:val="21"/>
        </w:rPr>
        <w:t xml:space="preserve"> at </w:t>
      </w:r>
      <w:r w:rsidRPr="007D6F37">
        <w:rPr>
          <w:rFonts w:ascii="Times New Roman" w:eastAsia="DengXian" w:hAnsi="Times New Roman" w:cs="Times New Roman" w:hint="eastAsia"/>
          <w:szCs w:val="21"/>
        </w:rPr>
        <w:t>a</w:t>
      </w:r>
      <w:r w:rsidRPr="007D6F37">
        <w:rPr>
          <w:rFonts w:ascii="Times New Roman" w:eastAsia="DengXian" w:hAnsi="Times New Roman" w:cs="Times New Roman"/>
          <w:szCs w:val="21"/>
        </w:rPr>
        <w:t xml:space="preserve"> dose of 50mg/kg, 100 mg/kg, 250 mg/kg</w:t>
      </w:r>
      <w:r w:rsidRPr="007D6F37">
        <w:rPr>
          <w:rFonts w:ascii="Times New Roman" w:eastAsia="DengXian" w:hAnsi="Times New Roman" w:cs="Times New Roman" w:hint="eastAsia"/>
          <w:szCs w:val="21"/>
        </w:rPr>
        <w:t xml:space="preserve"> and</w:t>
      </w:r>
      <w:r w:rsidRPr="007D6F37">
        <w:rPr>
          <w:rFonts w:ascii="Times New Roman" w:eastAsia="DengXian" w:hAnsi="Times New Roman" w:cs="Times New Roman"/>
          <w:szCs w:val="21"/>
        </w:rPr>
        <w:t xml:space="preserve"> 500 mg/kg (b) H&amp;E staining of heart, spleen, brain, liver, lung and kidney </w:t>
      </w:r>
      <w:r w:rsidRPr="007D6F37">
        <w:rPr>
          <w:rFonts w:ascii="Times New Roman" w:eastAsia="DengXian" w:hAnsi="Times New Roman" w:cs="Times New Roman" w:hint="eastAsia"/>
          <w:szCs w:val="21"/>
        </w:rPr>
        <w:t>in</w:t>
      </w:r>
      <w:r w:rsidRPr="007D6F37">
        <w:rPr>
          <w:rFonts w:ascii="Times New Roman" w:eastAsia="DengXian" w:hAnsi="Times New Roman" w:cs="Times New Roman"/>
          <w:szCs w:val="21"/>
        </w:rPr>
        <w:t xml:space="preserve"> B6 mice treated with 500mg/kg YF-PRJ8-1011 and no </w:t>
      </w:r>
      <w:bookmarkStart w:id="3" w:name="OLE_LINK301"/>
      <w:r w:rsidRPr="007D6F37">
        <w:rPr>
          <w:rFonts w:ascii="Times New Roman" w:eastAsia="DengXian" w:hAnsi="Times New Roman" w:cs="Times New Roman"/>
          <w:szCs w:val="21"/>
        </w:rPr>
        <w:t xml:space="preserve">acute </w:t>
      </w:r>
      <w:bookmarkEnd w:id="3"/>
      <w:r w:rsidRPr="007D6F37">
        <w:rPr>
          <w:rFonts w:ascii="Times New Roman" w:eastAsia="DengXian" w:hAnsi="Times New Roman" w:cs="Times New Roman" w:hint="eastAsia"/>
          <w:szCs w:val="21"/>
        </w:rPr>
        <w:t>organ damage</w:t>
      </w:r>
      <w:r w:rsidRPr="007D6F37">
        <w:rPr>
          <w:rFonts w:ascii="Times New Roman" w:eastAsia="DengXian" w:hAnsi="Times New Roman" w:cs="Times New Roman"/>
          <w:szCs w:val="21"/>
        </w:rPr>
        <w:t xml:space="preserve"> found</w:t>
      </w:r>
      <w:r w:rsidRPr="007D6F37">
        <w:rPr>
          <w:rFonts w:ascii="Times New Roman" w:eastAsia="DengXian" w:hAnsi="Times New Roman" w:cs="Times New Roman" w:hint="eastAsia"/>
          <w:szCs w:val="21"/>
        </w:rPr>
        <w:t>.</w:t>
      </w:r>
    </w:p>
    <w:p w14:paraId="67CE38F9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</w:rPr>
        <w:br w:type="page"/>
      </w:r>
    </w:p>
    <w:p w14:paraId="6D6C848B" w14:textId="77777777" w:rsidR="003D4F08" w:rsidRPr="007D6F37" w:rsidRDefault="003D4F08" w:rsidP="003D4F08">
      <w:pPr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</w:rPr>
        <w:lastRenderedPageBreak/>
        <w:t>Supplementary Figure 3</w:t>
      </w:r>
      <w:r>
        <w:rPr>
          <w:rFonts w:ascii="Times New Roman" w:eastAsia="DengXian" w:hAnsi="Times New Roman" w:cs="Times New Roman"/>
        </w:rPr>
        <w:t>.</w:t>
      </w:r>
      <w:r>
        <w:rPr>
          <w:rFonts w:ascii="Times New Roman" w:hAnsi="Times New Roman" w:cs="Times New Roman"/>
          <w:szCs w:val="21"/>
        </w:rPr>
        <w:t xml:space="preserve"> H&amp;E staining and immunohistochemi</w:t>
      </w:r>
      <w:r>
        <w:rPr>
          <w:rFonts w:ascii="Times New Roman" w:hAnsi="Times New Roman" w:cs="Times New Roman" w:hint="eastAsia"/>
          <w:szCs w:val="21"/>
        </w:rPr>
        <w:t xml:space="preserve">cal </w:t>
      </w:r>
      <w:r>
        <w:rPr>
          <w:rFonts w:ascii="Times New Roman" w:hAnsi="Times New Roman" w:cs="Times New Roman"/>
          <w:szCs w:val="21"/>
        </w:rPr>
        <w:t xml:space="preserve">(IHC) </w:t>
      </w:r>
      <w:r>
        <w:rPr>
          <w:rFonts w:ascii="Times New Roman" w:hAnsi="Times New Roman" w:cs="Times New Roman" w:hint="eastAsia"/>
          <w:szCs w:val="21"/>
        </w:rPr>
        <w:t>staining for p-R</w:t>
      </w:r>
      <w:r>
        <w:rPr>
          <w:rFonts w:ascii="Times New Roman" w:hAnsi="Times New Roman" w:cs="Times New Roman"/>
          <w:szCs w:val="21"/>
        </w:rPr>
        <w:t xml:space="preserve">b of the tumor. </w:t>
      </w:r>
    </w:p>
    <w:p w14:paraId="7725AB66" w14:textId="77777777" w:rsidR="003D4F08" w:rsidRPr="007D6F37" w:rsidRDefault="003D4F08" w:rsidP="003D4F08">
      <w:pPr>
        <w:widowControl/>
        <w:jc w:val="left"/>
        <w:rPr>
          <w:rFonts w:ascii="Times New Roman" w:eastAsia="DengXian" w:hAnsi="Times New Roman" w:cs="Times New Roman"/>
        </w:rPr>
      </w:pPr>
      <w:r w:rsidRPr="007D6F37">
        <w:rPr>
          <w:rFonts w:ascii="Times New Roman" w:eastAsia="DengXian" w:hAnsi="Times New Roman" w:cs="Times New Roman"/>
          <w:noProof/>
        </w:rPr>
        <w:drawing>
          <wp:inline distT="0" distB="0" distL="0" distR="0" wp14:anchorId="67067DF4" wp14:editId="7F1AE383">
            <wp:extent cx="5274310" cy="2356104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6"/>
                    <a:stretch/>
                  </pic:blipFill>
                  <pic:spPr bwMode="auto">
                    <a:xfrm>
                      <a:off x="0" y="0"/>
                      <a:ext cx="5274310" cy="2356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D5F43" w14:textId="77777777" w:rsidR="003D4F08" w:rsidRPr="007D6F37" w:rsidRDefault="003D4F08" w:rsidP="003D4F08">
      <w:pPr>
        <w:widowControl/>
        <w:spacing w:line="360" w:lineRule="auto"/>
        <w:rPr>
          <w:rFonts w:ascii="Times New Roman" w:eastAsia="DengXian" w:hAnsi="Times New Roman" w:cs="Times New Roman"/>
          <w:szCs w:val="21"/>
        </w:rPr>
      </w:pPr>
    </w:p>
    <w:p w14:paraId="16AC8D3F" w14:textId="77777777" w:rsidR="003D4F08" w:rsidRDefault="003D4F08" w:rsidP="003D4F08">
      <w:pPr>
        <w:widowControl/>
        <w:spacing w:line="360" w:lineRule="auto"/>
        <w:rPr>
          <w:rFonts w:ascii="Times New Roman" w:eastAsia="DengXian" w:hAnsi="Times New Roman" w:cs="Times New Roman"/>
          <w:szCs w:val="21"/>
        </w:rPr>
      </w:pPr>
      <w:r w:rsidRPr="007D6F37">
        <w:rPr>
          <w:rFonts w:ascii="Times New Roman" w:eastAsia="DengXian" w:hAnsi="Times New Roman" w:cs="Times New Roman"/>
          <w:szCs w:val="21"/>
        </w:rPr>
        <w:t>(</w:t>
      </w:r>
      <w:r w:rsidRPr="007D6F37">
        <w:rPr>
          <w:rFonts w:ascii="Times New Roman" w:eastAsia="DengXian" w:hAnsi="Times New Roman" w:cs="Times New Roman" w:hint="eastAsia"/>
          <w:szCs w:val="21"/>
        </w:rPr>
        <w:t>a</w:t>
      </w:r>
      <w:r w:rsidRPr="007D6F37">
        <w:rPr>
          <w:rFonts w:ascii="Times New Roman" w:eastAsia="DengXian" w:hAnsi="Times New Roman" w:cs="Times New Roman"/>
          <w:szCs w:val="21"/>
        </w:rPr>
        <w:t xml:space="preserve">) H&amp;E staining </w:t>
      </w:r>
      <w:r w:rsidRPr="007D6F37">
        <w:rPr>
          <w:rFonts w:ascii="Times New Roman" w:eastAsia="DengXian" w:hAnsi="Times New Roman" w:cs="Times New Roman" w:hint="eastAsia"/>
          <w:szCs w:val="21"/>
        </w:rPr>
        <w:t>of the</w:t>
      </w:r>
      <w:r w:rsidRPr="007D6F37">
        <w:rPr>
          <w:rFonts w:ascii="Times New Roman" w:eastAsia="DengXian" w:hAnsi="Times New Roman" w:cs="Times New Roman"/>
          <w:szCs w:val="21"/>
        </w:rPr>
        <w:t xml:space="preserve"> </w:t>
      </w:r>
      <w:bookmarkStart w:id="4" w:name="OLE_LINK298"/>
      <w:r w:rsidRPr="007D6F37">
        <w:rPr>
          <w:rFonts w:ascii="Times New Roman" w:eastAsia="DengXian" w:hAnsi="Times New Roman" w:cs="Times New Roman"/>
          <w:szCs w:val="21"/>
        </w:rPr>
        <w:t xml:space="preserve">brainstem of YF-PRJ8-1011 or vehicle treated mice </w:t>
      </w:r>
      <w:bookmarkEnd w:id="4"/>
      <w:r w:rsidRPr="007D6F37">
        <w:rPr>
          <w:rFonts w:ascii="Times New Roman" w:eastAsia="DengXian" w:hAnsi="Times New Roman" w:cs="Times New Roman"/>
          <w:szCs w:val="21"/>
        </w:rPr>
        <w:t>at the end of 14-day treatment (</w:t>
      </w:r>
      <w:r w:rsidRPr="007D6F37">
        <w:rPr>
          <w:rFonts w:ascii="Times New Roman" w:eastAsia="DengXian" w:hAnsi="Times New Roman" w:cs="Times New Roman" w:hint="eastAsia"/>
          <w:szCs w:val="21"/>
        </w:rPr>
        <w:t>b</w:t>
      </w:r>
      <w:r w:rsidRPr="007D6F37">
        <w:rPr>
          <w:rFonts w:ascii="Times New Roman" w:eastAsia="DengXian" w:hAnsi="Times New Roman" w:cs="Times New Roman"/>
          <w:szCs w:val="21"/>
        </w:rPr>
        <w:t xml:space="preserve">) </w:t>
      </w:r>
      <w:bookmarkStart w:id="5" w:name="OLE_LINK299"/>
      <w:r w:rsidRPr="007D6F37">
        <w:rPr>
          <w:rFonts w:ascii="Times New Roman" w:eastAsia="DengXian" w:hAnsi="Times New Roman" w:cs="Times New Roman" w:hint="eastAsia"/>
          <w:szCs w:val="21"/>
        </w:rPr>
        <w:t xml:space="preserve">The performance of </w:t>
      </w:r>
      <w:r w:rsidRPr="007D6F37">
        <w:rPr>
          <w:rFonts w:ascii="Times New Roman" w:eastAsia="DengXian" w:hAnsi="Times New Roman" w:cs="Times New Roman"/>
          <w:szCs w:val="21"/>
        </w:rPr>
        <w:t xml:space="preserve">the immunohistochemical (IHC) </w:t>
      </w:r>
      <w:r w:rsidRPr="007D6F37">
        <w:rPr>
          <w:rFonts w:ascii="Times New Roman" w:eastAsia="DengXian" w:hAnsi="Times New Roman" w:cs="Times New Roman" w:hint="eastAsia"/>
          <w:szCs w:val="21"/>
        </w:rPr>
        <w:t>p-Rb</w:t>
      </w:r>
      <w:r w:rsidRPr="007D6F37">
        <w:rPr>
          <w:rFonts w:ascii="Times New Roman" w:eastAsia="DengXian" w:hAnsi="Times New Roman" w:cs="Times New Roman"/>
          <w:szCs w:val="21"/>
        </w:rPr>
        <w:t xml:space="preserve"> staining </w:t>
      </w:r>
      <w:bookmarkEnd w:id="5"/>
      <w:r w:rsidRPr="007D6F37">
        <w:rPr>
          <w:rFonts w:ascii="Times New Roman" w:eastAsia="DengXian" w:hAnsi="Times New Roman" w:cs="Times New Roman" w:hint="eastAsia"/>
          <w:szCs w:val="21"/>
        </w:rPr>
        <w:t xml:space="preserve">on </w:t>
      </w:r>
      <w:bookmarkStart w:id="6" w:name="OLE_LINK297"/>
      <w:bookmarkStart w:id="7" w:name="OLE_LINK300"/>
      <w:r w:rsidRPr="007D6F37">
        <w:rPr>
          <w:rFonts w:ascii="Times New Roman" w:eastAsia="DengXian" w:hAnsi="Times New Roman" w:cs="Times New Roman"/>
          <w:szCs w:val="21"/>
        </w:rPr>
        <w:t>vehicle-</w:t>
      </w:r>
      <w:bookmarkEnd w:id="6"/>
      <w:r w:rsidRPr="007D6F37">
        <w:rPr>
          <w:rFonts w:ascii="Times New Roman" w:eastAsia="DengXian" w:hAnsi="Times New Roman" w:cs="Times New Roman" w:hint="eastAsia"/>
          <w:szCs w:val="21"/>
        </w:rPr>
        <w:t>treated</w:t>
      </w:r>
      <w:r w:rsidRPr="007D6F37">
        <w:rPr>
          <w:rFonts w:ascii="Times New Roman" w:eastAsia="DengXian" w:hAnsi="Times New Roman" w:cs="Times New Roman"/>
          <w:szCs w:val="21"/>
        </w:rPr>
        <w:t xml:space="preserve"> or YF-PRJ8-1011-treated</w:t>
      </w:r>
      <w:bookmarkEnd w:id="7"/>
      <w:r w:rsidRPr="007D6F37">
        <w:rPr>
          <w:rFonts w:ascii="Times New Roman" w:eastAsia="DengXian" w:hAnsi="Times New Roman" w:cs="Times New Roman"/>
          <w:szCs w:val="21"/>
        </w:rPr>
        <w:t xml:space="preserve"> mice at the end of 14-day treatment (H&amp;E and IHC, ×400).</w:t>
      </w:r>
    </w:p>
    <w:p w14:paraId="2C43AFBA" w14:textId="77777777" w:rsidR="00CA67E5" w:rsidRDefault="003D4F08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08"/>
    <w:rsid w:val="003D4F08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A0BC1"/>
  <w15:chartTrackingRefBased/>
  <w15:docId w15:val="{E7C1F940-29C6-4F77-B246-F2412238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0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F08"/>
    <w:pPr>
      <w:spacing w:after="0" w:line="240" w:lineRule="auto"/>
    </w:pPr>
    <w:rPr>
      <w:rFonts w:ascii="DengXian" w:eastAsia="DengXian" w:hAnsi="DengXi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222</Words>
  <Characters>1266</Characters>
  <Application>Microsoft Office Word</Application>
  <DocSecurity>0</DocSecurity>
  <Lines>10</Lines>
  <Paragraphs>2</Paragraphs>
  <ScaleCrop>false</ScaleCrop>
  <Company>Springer Nature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2023-03-13T05:41:00Z</dcterms:created>
  <dcterms:modified xsi:type="dcterms:W3CDTF">2023-03-13T05:41:00Z</dcterms:modified>
</cp:coreProperties>
</file>