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750" w:rsidRDefault="00F97750" w:rsidP="00BB76ED">
      <w:pPr>
        <w:ind w:firstLine="720"/>
        <w:rPr>
          <w:b/>
          <w:noProof/>
          <w:sz w:val="24"/>
        </w:rPr>
      </w:pPr>
      <w:r>
        <w:rPr>
          <w:noProof/>
        </w:rPr>
        <w:drawing>
          <wp:inline distT="0" distB="0" distL="0" distR="0" wp14:anchorId="1C49F4E3" wp14:editId="05D83D81">
            <wp:extent cx="5054919" cy="39471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3778" cy="396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6ED" w:rsidRPr="00BB76ED" w:rsidRDefault="00BB76ED" w:rsidP="00BB76ED">
      <w:pPr>
        <w:ind w:firstLine="720"/>
        <w:rPr>
          <w:b/>
          <w:noProof/>
        </w:rPr>
      </w:pPr>
    </w:p>
    <w:p w:rsidR="00BB76ED" w:rsidRDefault="00BB76ED" w:rsidP="00BB76ED">
      <w:pPr>
        <w:rPr>
          <w:noProof/>
        </w:rPr>
      </w:pPr>
      <w:r w:rsidRPr="00BB76ED">
        <w:rPr>
          <w:b/>
          <w:bCs/>
          <w:noProof/>
        </w:rPr>
        <w:t xml:space="preserve">Supplementary Figure 1: Alignment of SVA_67 VNTR allele sequences. </w:t>
      </w:r>
      <w:r w:rsidRPr="00BB76ED">
        <w:rPr>
          <w:noProof/>
        </w:rPr>
        <w:t xml:space="preserve">Four alleles of SVA_67 were identified by genotyping PCR. Excluding the SINE-R and poly-A tail, the different VNTR domains have a length of 128 bp (allele 1), 357 bp (allele 3) 485 bp (allele 4). Allele 2 was excluded from analysis. </w:t>
      </w:r>
    </w:p>
    <w:p w:rsidR="004E5B87" w:rsidRDefault="004E5B87" w:rsidP="00BB76ED">
      <w:pPr>
        <w:rPr>
          <w:noProof/>
        </w:rPr>
      </w:pPr>
    </w:p>
    <w:p w:rsidR="004E5B87" w:rsidRPr="00BB76ED" w:rsidRDefault="004E5B87" w:rsidP="004E5B87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2E9E303" wp14:editId="089DF0C4">
            <wp:extent cx="3185160" cy="255525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5437" cy="257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6ED" w:rsidRPr="004E5B87" w:rsidRDefault="004E5B87" w:rsidP="004E5B8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E5B87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Supplementary Figure </w:t>
      </w:r>
      <w:r w:rsidRPr="004E5B87">
        <w:rPr>
          <w:rFonts w:asciiTheme="minorHAnsi" w:hAnsiTheme="minorHAnsi" w:cstheme="minorHAnsi"/>
          <w:b/>
          <w:bCs/>
          <w:noProof/>
          <w:sz w:val="22"/>
          <w:szCs w:val="22"/>
        </w:rPr>
        <w:t>2</w:t>
      </w:r>
      <w:r w:rsidRPr="004E5B87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: </w:t>
      </w:r>
      <w:r w:rsidRPr="004E5B87">
        <w:rPr>
          <w:rFonts w:asciiTheme="minorHAnsi" w:hAnsiTheme="minorHAnsi" w:cstheme="minorHAnsi"/>
          <w:color w:val="000000" w:themeColor="text1"/>
          <w:kern w:val="24"/>
          <w:sz w:val="22"/>
          <w:szCs w:val="22"/>
        </w:rPr>
        <w:t>PCR and gel electrophoresis of SVA_67 from a subset of the PPMI cohort</w:t>
      </w:r>
      <w:r>
        <w:rPr>
          <w:rFonts w:asciiTheme="minorHAnsi" w:hAnsiTheme="minorHAnsi" w:cstheme="minorHAnsi"/>
          <w:color w:val="000000" w:themeColor="text1"/>
          <w:kern w:val="24"/>
          <w:sz w:val="22"/>
          <w:szCs w:val="22"/>
        </w:rPr>
        <w:t xml:space="preserve">. </w:t>
      </w:r>
      <w:r w:rsidRPr="004E5B87">
        <w:rPr>
          <w:rFonts w:asciiTheme="minorHAnsi" w:hAnsiTheme="minorHAnsi" w:cstheme="minorHAnsi"/>
          <w:color w:val="000000" w:themeColor="text1"/>
          <w:kern w:val="24"/>
          <w:sz w:val="22"/>
          <w:szCs w:val="22"/>
        </w:rPr>
        <w:t xml:space="preserve">Representative gel image with expected amplicon size for SVA_67 alleles and corresponding SVA_67 genotypes are shown. Four SVA_67 alleles were identified (numbered 1–4 to reflect increasing length). Allele 2 </w:t>
      </w:r>
      <w:r>
        <w:rPr>
          <w:rFonts w:asciiTheme="minorHAnsi" w:hAnsiTheme="minorHAnsi" w:cstheme="minorHAnsi"/>
          <w:color w:val="000000" w:themeColor="text1"/>
          <w:kern w:val="24"/>
          <w:sz w:val="22"/>
          <w:szCs w:val="22"/>
        </w:rPr>
        <w:t>is indicated by an asterisk.</w:t>
      </w:r>
    </w:p>
    <w:p w:rsidR="00F97750" w:rsidRDefault="00F97750" w:rsidP="0017150F">
      <w:pPr>
        <w:ind w:firstLine="720"/>
        <w:rPr>
          <w:b/>
          <w:noProof/>
          <w:sz w:val="24"/>
        </w:rPr>
      </w:pPr>
    </w:p>
    <w:p w:rsidR="00F97750" w:rsidRDefault="00F97750" w:rsidP="0017150F">
      <w:pPr>
        <w:ind w:firstLine="720"/>
        <w:rPr>
          <w:b/>
          <w:noProof/>
          <w:sz w:val="24"/>
        </w:rPr>
        <w:sectPr w:rsidR="00F9775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7150F" w:rsidRPr="0017150F" w:rsidRDefault="0017150F" w:rsidP="0017150F">
      <w:pPr>
        <w:ind w:firstLine="720"/>
        <w:rPr>
          <w:b/>
          <w:noProof/>
          <w:sz w:val="24"/>
        </w:rPr>
      </w:pPr>
      <w:r w:rsidRPr="0017150F">
        <w:rPr>
          <w:b/>
          <w:noProof/>
          <w:sz w:val="24"/>
        </w:rPr>
        <w:lastRenderedPageBreak/>
        <w:t>a</w:t>
      </w:r>
    </w:p>
    <w:p w:rsidR="0017150F" w:rsidRDefault="0017150F" w:rsidP="0017150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66BC6D2" wp14:editId="0FB73C03">
            <wp:extent cx="4564960" cy="236728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ANSL1BLANALYSIS.tif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50F" w:rsidRPr="0017150F" w:rsidRDefault="0017150F" w:rsidP="0017150F">
      <w:pPr>
        <w:ind w:firstLine="720"/>
        <w:rPr>
          <w:b/>
          <w:noProof/>
          <w:sz w:val="24"/>
        </w:rPr>
      </w:pPr>
      <w:r w:rsidRPr="0017150F">
        <w:rPr>
          <w:b/>
          <w:noProof/>
          <w:sz w:val="24"/>
        </w:rPr>
        <w:t>b</w:t>
      </w:r>
    </w:p>
    <w:p w:rsidR="0017150F" w:rsidRDefault="0017150F" w:rsidP="0017150F">
      <w:pPr>
        <w:jc w:val="center"/>
      </w:pPr>
      <w:r>
        <w:rPr>
          <w:noProof/>
        </w:rPr>
        <w:drawing>
          <wp:inline distT="0" distB="0" distL="0" distR="0" wp14:anchorId="0C9B4D8A" wp14:editId="3CFA633A">
            <wp:extent cx="4564960" cy="2367280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LEKHM1BLANALYSIS.tif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50F" w:rsidRPr="0017150F" w:rsidRDefault="0017150F" w:rsidP="0017150F">
      <w:pPr>
        <w:ind w:firstLine="720"/>
        <w:rPr>
          <w:b/>
          <w:sz w:val="24"/>
        </w:rPr>
      </w:pPr>
      <w:r w:rsidRPr="0017150F">
        <w:rPr>
          <w:b/>
          <w:sz w:val="24"/>
        </w:rPr>
        <w:t>c</w:t>
      </w:r>
    </w:p>
    <w:p w:rsidR="0017150F" w:rsidRDefault="0017150F" w:rsidP="0017150F">
      <w:pPr>
        <w:jc w:val="center"/>
      </w:pPr>
      <w:r>
        <w:rPr>
          <w:noProof/>
        </w:rPr>
        <w:drawing>
          <wp:inline distT="0" distB="0" distL="0" distR="0" wp14:anchorId="3B94FA61" wp14:editId="5D561DD9">
            <wp:extent cx="4564960" cy="236728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PTBLANALYSIS.tif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50F" w:rsidRDefault="0017150F" w:rsidP="0017150F">
      <w:pPr>
        <w:jc w:val="center"/>
      </w:pPr>
    </w:p>
    <w:p w:rsidR="0017150F" w:rsidRPr="00F97750" w:rsidRDefault="0017150F" w:rsidP="0017150F">
      <w:pPr>
        <w:rPr>
          <w:b/>
        </w:rPr>
      </w:pPr>
      <w:r w:rsidRPr="00F97750">
        <w:rPr>
          <w:b/>
        </w:rPr>
        <w:t xml:space="preserve">Supplementary Figure </w:t>
      </w:r>
      <w:r w:rsidR="004E5B87">
        <w:rPr>
          <w:b/>
        </w:rPr>
        <w:t>3</w:t>
      </w:r>
    </w:p>
    <w:p w:rsidR="0017150F" w:rsidRPr="0017150F" w:rsidRDefault="0017150F" w:rsidP="0017150F">
      <w:pPr>
        <w:rPr>
          <w:b/>
          <w:noProof/>
        </w:rPr>
      </w:pPr>
      <w:r>
        <w:rPr>
          <w:noProof/>
        </w:rPr>
        <w:lastRenderedPageBreak/>
        <w:tab/>
      </w:r>
      <w:r w:rsidRPr="0017150F">
        <w:rPr>
          <w:b/>
          <w:noProof/>
          <w:sz w:val="24"/>
        </w:rPr>
        <w:t>d</w:t>
      </w:r>
    </w:p>
    <w:p w:rsidR="0017150F" w:rsidRDefault="0017150F" w:rsidP="0017150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EC279D7" wp14:editId="75C9031F">
            <wp:extent cx="4564960" cy="236728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HR1BLANALYSIS.tif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150F" w:rsidRPr="0017150F" w:rsidRDefault="0017150F" w:rsidP="0017150F">
      <w:pPr>
        <w:ind w:firstLine="720"/>
        <w:rPr>
          <w:b/>
          <w:noProof/>
          <w:sz w:val="24"/>
        </w:rPr>
      </w:pPr>
      <w:r w:rsidRPr="0017150F">
        <w:rPr>
          <w:b/>
          <w:noProof/>
          <w:sz w:val="24"/>
        </w:rPr>
        <w:t>e</w:t>
      </w:r>
    </w:p>
    <w:p w:rsidR="00F97750" w:rsidRDefault="0017150F" w:rsidP="0017150F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564960" cy="2374900"/>
            <wp:effectExtent l="0" t="0" r="762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L17ABLANALYSIS.tif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46"/>
                    <a:stretch/>
                  </pic:blipFill>
                  <pic:spPr bwMode="auto">
                    <a:xfrm>
                      <a:off x="0" y="0"/>
                      <a:ext cx="4565540" cy="2375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7750" w:rsidRPr="00F97750" w:rsidRDefault="00F97750" w:rsidP="00F97750">
      <w:pPr>
        <w:ind w:firstLine="720"/>
        <w:rPr>
          <w:b/>
          <w:noProof/>
          <w:sz w:val="24"/>
        </w:rPr>
      </w:pPr>
      <w:r w:rsidRPr="00F97750">
        <w:rPr>
          <w:b/>
          <w:noProof/>
          <w:sz w:val="24"/>
        </w:rPr>
        <w:t>f</w:t>
      </w:r>
    </w:p>
    <w:p w:rsidR="0017150F" w:rsidRDefault="0017150F" w:rsidP="0017150F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564960" cy="236728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L17BBLANALYSIS.tif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7750" w:rsidRDefault="00F97750" w:rsidP="0017150F">
      <w:pPr>
        <w:jc w:val="center"/>
        <w:rPr>
          <w:noProof/>
        </w:rPr>
      </w:pPr>
    </w:p>
    <w:p w:rsidR="00F97750" w:rsidRPr="00F97750" w:rsidRDefault="00F97750" w:rsidP="00F97750">
      <w:pPr>
        <w:rPr>
          <w:b/>
        </w:rPr>
      </w:pPr>
      <w:r w:rsidRPr="00F97750">
        <w:rPr>
          <w:b/>
        </w:rPr>
        <w:t xml:space="preserve">Supplementary Figure </w:t>
      </w:r>
      <w:r w:rsidR="004E5B87">
        <w:rPr>
          <w:b/>
        </w:rPr>
        <w:t>3</w:t>
      </w:r>
      <w:bookmarkStart w:id="0" w:name="_GoBack"/>
      <w:bookmarkEnd w:id="0"/>
    </w:p>
    <w:p w:rsidR="00F97750" w:rsidRPr="00F97750" w:rsidRDefault="00F97750" w:rsidP="00F97750">
      <w:pPr>
        <w:ind w:firstLine="720"/>
        <w:rPr>
          <w:b/>
          <w:sz w:val="24"/>
        </w:rPr>
      </w:pPr>
      <w:r w:rsidRPr="00F97750">
        <w:rPr>
          <w:b/>
          <w:sz w:val="24"/>
        </w:rPr>
        <w:lastRenderedPageBreak/>
        <w:t>g</w:t>
      </w:r>
    </w:p>
    <w:p w:rsidR="00832921" w:rsidRDefault="0017150F" w:rsidP="0017150F">
      <w:pPr>
        <w:jc w:val="center"/>
      </w:pPr>
      <w:r>
        <w:rPr>
          <w:noProof/>
        </w:rPr>
        <w:drawing>
          <wp:inline distT="0" distB="0" distL="0" distR="0">
            <wp:extent cx="4564960" cy="2367280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SFBLANALYSIS.tif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49"/>
                    <a:stretch/>
                  </pic:blipFill>
                  <pic:spPr bwMode="auto">
                    <a:xfrm>
                      <a:off x="0" y="0"/>
                      <a:ext cx="4565540" cy="2367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7750" w:rsidRPr="00F97750" w:rsidRDefault="00F97750" w:rsidP="00F97750">
      <w:pPr>
        <w:jc w:val="both"/>
        <w:rPr>
          <w:b/>
        </w:rPr>
      </w:pPr>
      <w:r w:rsidRPr="00F97750">
        <w:rPr>
          <w:b/>
        </w:rPr>
        <w:t xml:space="preserve">Supplementary Figure </w:t>
      </w:r>
      <w:r w:rsidR="004E5B87">
        <w:rPr>
          <w:b/>
        </w:rPr>
        <w:t>3</w:t>
      </w:r>
      <w:r>
        <w:rPr>
          <w:b/>
        </w:rPr>
        <w:t xml:space="preserve">: </w:t>
      </w:r>
      <w:r w:rsidRPr="00F97750">
        <w:rPr>
          <w:b/>
        </w:rPr>
        <w:t>Association of SVA_67 allele genotype with</w:t>
      </w:r>
      <w:r>
        <w:rPr>
          <w:b/>
        </w:rPr>
        <w:t xml:space="preserve"> </w:t>
      </w:r>
      <w:r w:rsidRPr="00F97750">
        <w:rPr>
          <w:b/>
        </w:rPr>
        <w:t>expression</w:t>
      </w:r>
      <w:r>
        <w:rPr>
          <w:b/>
        </w:rPr>
        <w:t xml:space="preserve"> of </w:t>
      </w:r>
      <w:r w:rsidRPr="00F97750">
        <w:rPr>
          <w:b/>
          <w:i/>
        </w:rPr>
        <w:t>KANSL1</w:t>
      </w:r>
      <w:r>
        <w:rPr>
          <w:b/>
        </w:rPr>
        <w:t xml:space="preserve"> (a), </w:t>
      </w:r>
      <w:r w:rsidRPr="00F97750">
        <w:rPr>
          <w:b/>
          <w:i/>
        </w:rPr>
        <w:t>PLEKHM1</w:t>
      </w:r>
      <w:r>
        <w:rPr>
          <w:b/>
        </w:rPr>
        <w:t xml:space="preserve"> (b), </w:t>
      </w:r>
      <w:r w:rsidRPr="00F97750">
        <w:rPr>
          <w:b/>
          <w:i/>
        </w:rPr>
        <w:t>MAPT</w:t>
      </w:r>
      <w:r>
        <w:rPr>
          <w:b/>
        </w:rPr>
        <w:t xml:space="preserve"> (c), </w:t>
      </w:r>
      <w:r w:rsidRPr="00F97750">
        <w:rPr>
          <w:b/>
          <w:i/>
        </w:rPr>
        <w:t>CRHR1</w:t>
      </w:r>
      <w:r>
        <w:rPr>
          <w:b/>
        </w:rPr>
        <w:t xml:space="preserve"> (d), </w:t>
      </w:r>
      <w:r w:rsidRPr="00F97750">
        <w:rPr>
          <w:b/>
          <w:i/>
        </w:rPr>
        <w:t>ARL17A</w:t>
      </w:r>
      <w:r>
        <w:rPr>
          <w:b/>
        </w:rPr>
        <w:t xml:space="preserve"> (e), </w:t>
      </w:r>
      <w:r w:rsidRPr="00F97750">
        <w:rPr>
          <w:b/>
          <w:i/>
        </w:rPr>
        <w:t>ARL17B</w:t>
      </w:r>
      <w:r>
        <w:rPr>
          <w:b/>
        </w:rPr>
        <w:t xml:space="preserve"> (f) and </w:t>
      </w:r>
      <w:r w:rsidRPr="00F97750">
        <w:rPr>
          <w:b/>
          <w:i/>
        </w:rPr>
        <w:t>NSF</w:t>
      </w:r>
      <w:r>
        <w:rPr>
          <w:b/>
        </w:rPr>
        <w:t xml:space="preserve"> (g)</w:t>
      </w:r>
      <w:r w:rsidRPr="00F97750">
        <w:rPr>
          <w:b/>
        </w:rPr>
        <w:t xml:space="preserve"> using datapoints from Baseline (0 months). </w:t>
      </w:r>
      <w:r w:rsidRPr="00F97750">
        <w:t>Statistica</w:t>
      </w:r>
      <w:r>
        <w:t>l</w:t>
      </w:r>
      <w:r w:rsidRPr="00F97750">
        <w:t>l</w:t>
      </w:r>
      <w:r>
        <w:t>y</w:t>
      </w:r>
      <w:r w:rsidRPr="00F97750">
        <w:t xml:space="preserve"> significant differences between SVA_67 allele genotypes were calculated using the non-parametric Kruskal-Wallis test. The Wilcoxon test was applied to calculate pairwise comparisons between group levels with corrections for multiple testing (FDR correction) indicated as asterisks. *</w:t>
      </w:r>
      <w:r w:rsidRPr="00F97750">
        <w:rPr>
          <w:i/>
          <w:iCs/>
        </w:rPr>
        <w:t>P</w:t>
      </w:r>
      <w:r w:rsidRPr="00F97750">
        <w:t>&lt;0.05, **</w:t>
      </w:r>
      <w:r w:rsidRPr="00F97750">
        <w:rPr>
          <w:i/>
          <w:iCs/>
        </w:rPr>
        <w:t>P</w:t>
      </w:r>
      <w:r w:rsidRPr="00F97750">
        <w:t>&lt;0.01, ***</w:t>
      </w:r>
      <w:r w:rsidRPr="00F97750">
        <w:rPr>
          <w:i/>
          <w:iCs/>
        </w:rPr>
        <w:t>P</w:t>
      </w:r>
      <w:r w:rsidRPr="00F97750">
        <w:t xml:space="preserve">&lt;0.001.  </w:t>
      </w:r>
    </w:p>
    <w:p w:rsidR="00F97750" w:rsidRDefault="00F97750" w:rsidP="00F97750"/>
    <w:sectPr w:rsidR="00F977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0F"/>
    <w:rsid w:val="0017150F"/>
    <w:rsid w:val="004E5B87"/>
    <w:rsid w:val="00832921"/>
    <w:rsid w:val="00AE6143"/>
    <w:rsid w:val="00BB76ED"/>
    <w:rsid w:val="00F9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6A567"/>
  <w15:chartTrackingRefBased/>
  <w15:docId w15:val="{C5D8DBD7-7433-4B1F-8042-DCC0BD934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5B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2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187</Words>
  <Characters>1067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Froehlich, Alexander</dc:creator>
  <cp:keywords/>
  <dc:description/>
  <cp:lastModifiedBy>Froehlich, Alexander</cp:lastModifiedBy>
  <cp:revision>2</cp:revision>
  <dcterms:created xsi:type="dcterms:W3CDTF">2023-02-24T02:21:00Z</dcterms:created>
  <dcterms:modified xsi:type="dcterms:W3CDTF">2023-03-02T07:43:00Z</dcterms:modified>
</cp:coreProperties>
</file>