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6F16DF" w14:textId="1A08628E" w:rsidR="004F0624" w:rsidRPr="003437DB" w:rsidRDefault="00D25E2D" w:rsidP="00260D4C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3437D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Supplemental informatio</w:t>
      </w:r>
      <w:r w:rsidR="00314A60" w:rsidRPr="003437D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n</w:t>
      </w:r>
    </w:p>
    <w:p w14:paraId="357B9E60" w14:textId="77777777" w:rsidR="003437DB" w:rsidRDefault="003437DB" w:rsidP="00AE7889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4F83C9E" w14:textId="3ED611F4" w:rsidR="006E3328" w:rsidRDefault="006E3328" w:rsidP="00AE7889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Animals</w:t>
      </w:r>
    </w:p>
    <w:p w14:paraId="623A38A3" w14:textId="1BCA73AC" w:rsidR="006E3328" w:rsidRDefault="006E3328" w:rsidP="00AE788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All animal experiments were performed in accordance with procedures approved by the ethics committee of Animal experiments of </w:t>
      </w:r>
      <w:r>
        <w:rPr>
          <w:rFonts w:ascii="Times New Roman" w:hAnsi="Times New Roman" w:cs="Times New Roman"/>
          <w:i/>
          <w:iCs/>
          <w:sz w:val="24"/>
          <w:szCs w:val="24"/>
        </w:rPr>
        <w:t>Huazhong University of Science &amp; Technology</w:t>
      </w:r>
      <w:r>
        <w:rPr>
          <w:rFonts w:ascii="Times New Roman" w:hAnsi="Times New Roman" w:cs="Times New Roman"/>
          <w:i/>
          <w:iCs/>
          <w:color w:val="C45911" w:themeColor="accent2" w:themeShade="BF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Mice were allocated to experimental groups randomly. 8-week male C57BL/6J mice were purchased from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GemPharmatech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Company (Nanjing, China) and used in the study. Mice with a targeted deletion of </w:t>
      </w:r>
      <w:r w:rsidRPr="002F15E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Sort1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adipose tissues (Adiponectin-Cre </w:t>
      </w:r>
      <w:r w:rsidRPr="002F15E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Sort1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fl/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fl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were generated by crossing the </w:t>
      </w:r>
      <w:r w:rsidRPr="002F15E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Sort1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fl/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fl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mice with transgenic mice expressing Cre-recombinase under the control of the adiponectin promoter (Adiponectin-Cre). Littermates expressing no Cre (WT mice) were used as a control group throughout the experiments. Mice were kept at 22</w:t>
      </w:r>
      <w:r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℃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room temperature under a 12-hour light/dark cycle with free access to food and water. For thermoneutral environment, mice were kept at 30</w:t>
      </w:r>
      <w:r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℃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a temperature-controlled chamber. For studies with speciﬁc diets, 5-week-old C57BL/6J were given high fat (60% fat, Research Diet, Cat# D12492) diet for a total period of 10-14 weeks to generate </w:t>
      </w:r>
      <w:r w:rsidR="004807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HFD-indued obesity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mice before other experiments. For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sortilin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inhibition studies, mice were given AF38469 5-10μg/day/mouse in their drinking water. Water was changed weekly</w:t>
      </w:r>
      <w:r w:rsidR="00896DB6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/>
      </w:r>
      <w:r w:rsidR="00896DB6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ADDIN EN.CITE &lt;EndNote&gt;&lt;Cite&gt;&lt;Author&gt;Rhost&lt;/Author&gt;&lt;Year&gt;2018&lt;/Year&gt;&lt;RecNum&gt;65&lt;/RecNum&gt;&lt;DisplayText&gt;(Rhost et al., 2018)&lt;/DisplayText&gt;&lt;record&gt;&lt;rec-number&gt;65&lt;/rec-number&gt;&lt;foreign-keys&gt;&lt;key app="EN" db-id="955a5zxfnzzrekeft02pr99ud22ttz9dzwwf" timestamp="1666950453"&gt;65&lt;/key&gt;&lt;/foreign-keys&gt;&lt;ref-type name="Journal Article"&gt;17&lt;/ref-type&gt;&lt;contributors&gt;&lt;authors&gt;&lt;author&gt;Rhost, Sara&lt;/author&gt;&lt;author&gt;Hughes, Éamon&lt;/author&gt;&lt;author&gt;Harrison, Hannah&lt;/author&gt;&lt;author&gt;Rafnsdottir, Svanheidur&lt;/author&gt;&lt;author&gt;Jacobsson, Hanna&lt;/author&gt;&lt;author&gt;Gregersson, Pernilla&lt;/author&gt;&lt;author&gt;Magnusson, Ylva&lt;/author&gt;&lt;author&gt;Fitzpatrick, Paul&lt;/author&gt;&lt;author&gt;Andersson, Daniel&lt;/author&gt;&lt;author&gt;Berger, Karoline %J Breast Cancer Research&lt;/author&gt;&lt;/authors&gt;&lt;/contributors&gt;&lt;titles&gt;&lt;title&gt;Sortilin inhibition limits secretion-induced progranulin-dependent breast cancer progression and cancer stem cell expansion&lt;/title&gt;&lt;/titles&gt;&lt;pages&gt;1-15&lt;/pages&gt;&lt;volume&gt;20&lt;/volume&gt;&lt;number&gt;1&lt;/number&gt;&lt;dates&gt;&lt;year&gt;2018&lt;/year&gt;&lt;/dates&gt;&lt;isbn&gt;1465-542X&lt;/isbn&gt;&lt;urls&gt;&lt;/urls&gt;&lt;/record&gt;&lt;/Cite&gt;&lt;/EndNote&gt;</w:instrText>
      </w:r>
      <w:r w:rsidR="00896DB6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="00896DB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(Rhost et al., 2018)</w:t>
      </w:r>
      <w:r w:rsidR="00896DB6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0C447C7" w14:textId="77777777" w:rsidR="003437DB" w:rsidRDefault="003437DB" w:rsidP="00AE788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E9BAABD" w14:textId="77777777" w:rsidR="006E3328" w:rsidRPr="004F14BE" w:rsidRDefault="006E3328" w:rsidP="00AE7889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F14B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Human samples</w:t>
      </w:r>
    </w:p>
    <w:p w14:paraId="1FC75964" w14:textId="7BF38E65" w:rsidR="003437DB" w:rsidRDefault="006E3328" w:rsidP="00AE788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F14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Human samples consisting </w:t>
      </w:r>
      <w:r w:rsidR="00F04981" w:rsidRPr="004F14BE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6F16AC" w:rsidRPr="004F14BE">
        <w:rPr>
          <w:rFonts w:ascii="Times New Roman" w:hAnsi="Times New Roman" w:cs="Times New Roman"/>
          <w:color w:val="000000" w:themeColor="text1"/>
          <w:sz w:val="24"/>
          <w:szCs w:val="24"/>
        </w:rPr>
        <w:t>ubcutaneous fat near the spine</w:t>
      </w:r>
      <w:r w:rsidR="004807DD" w:rsidRPr="004F14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807DD" w:rsidRPr="004F14B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and</w:t>
      </w:r>
      <w:r w:rsidR="004807DD" w:rsidRPr="004F14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omental fat</w:t>
      </w:r>
      <w:r w:rsidRPr="004F14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from 14 individuals with obesity and 16 lean individuals receiving laparoscopic surgery in Tongji Hospital in 2022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Approval No:TJ-IRB20220975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). Informed consent was obtained from each individual and individuals’ clinical biochemical data were extracted from medical records. Biopsies were immediately snap frozen in liquid nitrogen and stored at -80</w:t>
      </w:r>
      <w:r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℃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until analyses. The age, sex and body mass index of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each individual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4394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were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provided in </w:t>
      </w:r>
      <w:r>
        <w:rPr>
          <w:rFonts w:ascii="Times New Roman" w:hAnsi="Times New Roman" w:cs="Times New Roman"/>
          <w:sz w:val="24"/>
          <w:szCs w:val="24"/>
        </w:rPr>
        <w:t>Table S2.</w:t>
      </w:r>
    </w:p>
    <w:p w14:paraId="49AAC375" w14:textId="77777777" w:rsidR="003437DB" w:rsidRPr="003437DB" w:rsidRDefault="003437DB" w:rsidP="00AE788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68AE63F" w14:textId="4B587698" w:rsidR="006E3328" w:rsidRPr="00AE7889" w:rsidRDefault="003437DB" w:rsidP="00AE7889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M</w:t>
      </w:r>
      <w:r w:rsidRPr="00AE788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ethod details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</w:p>
    <w:p w14:paraId="29AFDC79" w14:textId="68CDA08E" w:rsidR="006E3328" w:rsidRDefault="006E3328" w:rsidP="00AE7889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Mouse </w:t>
      </w:r>
      <w:r w:rsidR="006F16AC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and</w:t>
      </w:r>
      <w:r w:rsidR="006F16A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6F16AC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human</w:t>
      </w:r>
      <w:r w:rsidR="006F16A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SVF isolation and cell differentiation</w:t>
      </w:r>
    </w:p>
    <w:p w14:paraId="5AA9E2C6" w14:textId="02C9230A" w:rsidR="006E3328" w:rsidRDefault="006F16AC" w:rsidP="00AE788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F14BE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Pr="004F14B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ous</w:t>
      </w:r>
      <w:r w:rsidRPr="004F14BE">
        <w:rPr>
          <w:rFonts w:ascii="Times New Roman" w:hAnsi="Times New Roman" w:cs="Times New Roman"/>
          <w:color w:val="000000" w:themeColor="text1"/>
          <w:sz w:val="24"/>
          <w:szCs w:val="24"/>
        </w:rPr>
        <w:t>e b</w:t>
      </w:r>
      <w:r w:rsidR="006E3328" w:rsidRPr="004F14BE">
        <w:rPr>
          <w:rFonts w:ascii="Times New Roman" w:hAnsi="Times New Roman" w:cs="Times New Roman"/>
          <w:color w:val="000000" w:themeColor="text1"/>
          <w:sz w:val="24"/>
          <w:szCs w:val="24"/>
        </w:rPr>
        <w:t>rown and inguinal adipose tissue</w:t>
      </w:r>
      <w:r w:rsidRPr="004F14BE">
        <w:rPr>
          <w:rFonts w:ascii="Times New Roman" w:hAnsi="Times New Roman" w:cs="Times New Roman"/>
          <w:color w:val="000000" w:themeColor="text1"/>
          <w:sz w:val="24"/>
          <w:szCs w:val="24"/>
        </w:rPr>
        <w:t>s from 8-10 weeks old C57/BL6J male mice and human</w:t>
      </w:r>
      <w:r w:rsidR="009130BE" w:rsidRPr="004F14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subcutaneous fat near the spine</w:t>
      </w:r>
      <w:r w:rsidRPr="004F14B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6E3328" w:rsidRPr="004F14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</w:t>
      </w:r>
      <w:r w:rsidR="006E33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ere dissected, minced and digested in DMEM with 10 mg/ml BSA and 1 mg/mL </w:t>
      </w:r>
      <w:r w:rsidR="009439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type I </w:t>
      </w:r>
      <w:r w:rsidR="006E3328">
        <w:rPr>
          <w:rFonts w:ascii="Times New Roman" w:hAnsi="Times New Roman" w:cs="Times New Roman"/>
          <w:color w:val="000000" w:themeColor="text1"/>
          <w:sz w:val="24"/>
          <w:szCs w:val="24"/>
        </w:rPr>
        <w:t>collagenase for 40 min at 37</w:t>
      </w:r>
      <w:r w:rsidR="006E3328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℃</w:t>
      </w:r>
      <w:r w:rsidR="006E3328">
        <w:rPr>
          <w:rFonts w:ascii="Times New Roman" w:hAnsi="Times New Roman" w:cs="Times New Roman"/>
          <w:color w:val="000000" w:themeColor="text1"/>
          <w:sz w:val="24"/>
          <w:szCs w:val="24"/>
        </w:rPr>
        <w:t>. The digested solution was ﬁltered through 70</w:t>
      </w:r>
      <w:r w:rsidR="00896DB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E3328">
        <w:rPr>
          <w:rFonts w:ascii="Times New Roman" w:hAnsi="Times New Roman" w:cs="Times New Roman"/>
          <w:color w:val="000000" w:themeColor="text1"/>
          <w:sz w:val="24"/>
          <w:szCs w:val="24"/>
        </w:rPr>
        <w:t>um cell strainer</w:t>
      </w:r>
      <w:r w:rsidR="00943949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6E3328">
        <w:rPr>
          <w:rFonts w:ascii="Times New Roman" w:hAnsi="Times New Roman" w:cs="Times New Roman"/>
          <w:color w:val="000000" w:themeColor="text1"/>
          <w:sz w:val="24"/>
          <w:szCs w:val="24"/>
        </w:rPr>
        <w:t>, centrifuged at 1000 rpm for 5 min and the red blood cells were lysed by ACK buffer. SVF pellet was then suspended in the appropriate buffer and were immortalized by using the SV40 Large T antigen according to the cell immortalization protocol</w:t>
      </w:r>
      <w:r w:rsidR="006E3328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/>
      </w:r>
      <w:r w:rsidR="006E3328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ADDIN EN.CITE &lt;EndNote&gt;&lt;Cite&gt;&lt;Author&gt;Shinoda&lt;/Author&gt;&lt;Year&gt;2015&lt;/Year&gt;&lt;RecNum&gt;59&lt;/RecNum&gt;&lt;DisplayText&gt;(Shinoda et al., 2015)&lt;/DisplayText&gt;&lt;record&gt;&lt;rec-number&gt;59&lt;/rec-number&gt;&lt;foreign-keys&gt;&lt;key app="EN" db-id="955a5zxfnzzrekeft02pr99ud22ttz9dzwwf" timestamp="1666949459"&gt;59&lt;/key&gt;&lt;/foreign-keys&gt;&lt;ref-type name="Journal Article"&gt;17&lt;/ref-type&gt;&lt;contributors&gt;&lt;authors&gt;&lt;author&gt;Shinoda, Kosaku&lt;/author&gt;&lt;author&gt;Luijten, Ineke HN&lt;/author&gt;&lt;author&gt;Hasegawa, Yutaka&lt;/author&gt;&lt;author&gt;Hong, Haemin&lt;/author&gt;&lt;author&gt;Sonne, Si B&lt;/author&gt;&lt;author&gt;Kim, Miae&lt;/author&gt;&lt;author&gt;Xue, Ruidan&lt;/author&gt;&lt;author&gt;Chondronikola, Maria&lt;/author&gt;&lt;author&gt;Cypess, Aaron M&lt;/author&gt;&lt;author&gt;Tseng, Yu-Hua %J Nature medicine&lt;/author&gt;&lt;/authors&gt;&lt;/contributors&gt;&lt;titles&gt;&lt;title&gt;Genetic and functional characterization of clonally derived adult human brown adipocytes&lt;/title&gt;&lt;/titles&gt;&lt;pages&gt;389-394&lt;/pages&gt;&lt;volume&gt;21&lt;/volume&gt;&lt;number&gt;4&lt;/number&gt;&lt;dates&gt;&lt;year&gt;2015&lt;/year&gt;&lt;/dates&gt;&lt;isbn&gt;1546-170X&lt;/isbn&gt;&lt;urls&gt;&lt;/urls&gt;&lt;/record&gt;&lt;/Cite&gt;&lt;/EndNote&gt;</w:instrText>
      </w:r>
      <w:r w:rsidR="006E3328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="006E3328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(Shinoda et al., 2015)</w:t>
      </w:r>
      <w:r w:rsidR="006E3328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="006E33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Immortalized preadipocytes were induced to differentiate to adipocytes in differentiation medium supplemented with 1um T3, 1mM rosiglitazone, 5mg/ml insulin, 0.5mM IBMX, 2mg/ml dexamethasone and 0.125mM Indomethacin for two days and subsequently cultured in maintenance medium supplemented with 1um T3, 1 mM rosiglitazone and 5 mg/ml insulin. The maintenance medium was changed every two days and mature adipocytes were collected on </w:t>
      </w:r>
      <w:r w:rsidR="009439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eighth </w:t>
      </w:r>
      <w:r w:rsidR="006E33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day. </w:t>
      </w:r>
    </w:p>
    <w:p w14:paraId="426DB772" w14:textId="2AE644D0" w:rsidR="006E3328" w:rsidRDefault="006E3328" w:rsidP="003437DB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shRNA virus infection, preadipocytes were seeded in plate and then transfected with lentivirus and control virus at 50-60% confluence. After 14-16hours, the solution </w:t>
      </w:r>
      <w:r w:rsidR="009439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would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be changed, and the cells </w:t>
      </w:r>
      <w:r w:rsidR="009439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would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be differentiated after 100% confluence.</w:t>
      </w:r>
    </w:p>
    <w:p w14:paraId="747C9A42" w14:textId="77777777" w:rsidR="003437DB" w:rsidRDefault="003437DB" w:rsidP="00AE7889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6237160" w14:textId="62446251" w:rsidR="006E3328" w:rsidRDefault="006E3328" w:rsidP="00AE7889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Metabolic analysis in mice</w:t>
      </w:r>
    </w:p>
    <w:p w14:paraId="18C12500" w14:textId="77777777" w:rsidR="006E3328" w:rsidRDefault="006E3328" w:rsidP="00AE788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Mice (4-5 weeks) were fed with chow diet or HFD for indicated time. Oxygen consumption, food intake and locomotor activity were measured in Comprehensive Lab Animal Monitoring System (CLAMS, Columbus Instruments).</w:t>
      </w:r>
    </w:p>
    <w:p w14:paraId="44B54286" w14:textId="77777777" w:rsidR="006E3328" w:rsidRDefault="006E3328" w:rsidP="003437DB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For cold exposure, mice were housed at 4</w:t>
      </w:r>
      <w:r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℃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core temperature were measured at indicated time. For glucose tolerance test, mice were fasted overnight and injected intraperitoneally with a glucose solution in saline (1.25 g/kg body weight). For insulin tolerance test, mice received an intraperitoneal injection of insulin at 1.25U/kg body weights. Blood glucose levels were measured at 0, 15, 30, 60, 90 and 120 mins after injection with an automated reader (Bayer).</w:t>
      </w:r>
    </w:p>
    <w:p w14:paraId="78C5DA21" w14:textId="77777777" w:rsidR="006E3328" w:rsidRDefault="006E3328" w:rsidP="003437DB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 measure liver triglyceride contents, liver tissues were homogenized in 5% NP40 in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PBS. Tissue lysates were centrifuged, and the supernatant liquid were obtained, and triglyceride levels were determined by Triglycerides kit and normalized to liver protein content using BCA protein assay kit.</w:t>
      </w:r>
    </w:p>
    <w:p w14:paraId="3211110B" w14:textId="77777777" w:rsidR="003437DB" w:rsidRDefault="003437DB" w:rsidP="00AE7889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94E20D1" w14:textId="6B36D833" w:rsidR="006E3328" w:rsidRDefault="006E3328" w:rsidP="00AE7889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Serum lipid analysis</w:t>
      </w:r>
    </w:p>
    <w:p w14:paraId="254DE372" w14:textId="77777777" w:rsidR="006E3328" w:rsidRDefault="006E3328" w:rsidP="00AE788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Serum parameters were measured via colorimetric assays with commercially available kits including serum triglyceride (TG), total cholesterol (TC), high-density lipoprotein cholesterol (HDL), low-density lipoprotein cholesterol (LDL), Alanine aminotransferase (ALT) and Aspartate Aminotransferase (AST).</w:t>
      </w:r>
    </w:p>
    <w:p w14:paraId="2B1983A0" w14:textId="77777777" w:rsidR="003437DB" w:rsidRDefault="003437DB" w:rsidP="00AE7889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81B4702" w14:textId="53C797DB" w:rsidR="006E3328" w:rsidRDefault="006E3328" w:rsidP="00AE7889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Local delivery of adeno-associated virus (AAV) in adipose tissues</w:t>
      </w:r>
    </w:p>
    <w:p w14:paraId="097FF338" w14:textId="6E162D97" w:rsidR="006E3328" w:rsidRDefault="006E3328" w:rsidP="00AE788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Adeno-associated virus (AAV) vector-mediated </w:t>
      </w:r>
      <w:r w:rsidR="004B038D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depletion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mouse Sort1 active form (shRNA targeting Sort1) and scrambled control (GFP) were constructed, ampliﬁed, and puriﬁed by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Genechem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(Shanghai, China). Mice were anesthetized with Isoﬂurane. </w:t>
      </w:r>
      <w:r w:rsidR="008B2D6A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8B2D6A" w:rsidRPr="00335FE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μ</w:t>
      </w:r>
      <w:r w:rsidR="008B2D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 </w:t>
      </w:r>
      <w:r w:rsidR="008B2D6A" w:rsidRPr="008B2D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r w:rsidR="008B2D6A">
        <w:rPr>
          <w:rFonts w:ascii="Times New Roman" w:hAnsi="Times New Roman" w:cs="Times New Roman"/>
          <w:color w:val="000000" w:themeColor="text1"/>
          <w:sz w:val="24"/>
          <w:szCs w:val="24"/>
        </w:rPr>
        <w:t>Sort1</w:t>
      </w:r>
      <w:r w:rsidR="008B2D6A" w:rsidRPr="008B2D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-shRNA-AAV or </w:t>
      </w:r>
      <w:r w:rsidR="008B2D6A">
        <w:rPr>
          <w:rFonts w:ascii="Times New Roman" w:hAnsi="Times New Roman" w:cs="Times New Roman"/>
          <w:color w:val="000000" w:themeColor="text1"/>
          <w:sz w:val="24"/>
          <w:szCs w:val="24"/>
        </w:rPr>
        <w:t>GFP</w:t>
      </w:r>
      <w:r w:rsidR="008B2D6A" w:rsidRPr="008B2D6A">
        <w:rPr>
          <w:rFonts w:ascii="Times New Roman" w:hAnsi="Times New Roman" w:cs="Times New Roman"/>
          <w:color w:val="000000" w:themeColor="text1"/>
          <w:sz w:val="24"/>
          <w:szCs w:val="24"/>
        </w:rPr>
        <w:t>-AAV (Serotype 8, 10</w:t>
      </w:r>
      <w:r w:rsidR="008B2D6A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11</w:t>
      </w:r>
      <w:r w:rsidR="008B2D6A" w:rsidRPr="008B2D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GC/ml) </w:t>
      </w:r>
      <w:r w:rsidR="004B038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were </w:t>
      </w:r>
      <w:r w:rsidR="008B2D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slowly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injected into the inguinal fat pads of mice</w:t>
      </w:r>
      <w:r w:rsidR="008B2D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B2D6A" w:rsidRPr="008B2D6A">
        <w:rPr>
          <w:rFonts w:ascii="Times New Roman" w:hAnsi="Times New Roman" w:cs="Times New Roman"/>
          <w:color w:val="000000" w:themeColor="text1"/>
          <w:sz w:val="24"/>
          <w:szCs w:val="24"/>
        </w:rPr>
        <w:t>using a 10</w:t>
      </w:r>
      <w:r w:rsidR="00870552" w:rsidRPr="0044747A">
        <w:rPr>
          <w:rFonts w:ascii="Times New Roman" w:hAnsi="Times New Roman" w:cs="Times New Roman" w:hint="eastAsia"/>
          <w:sz w:val="24"/>
          <w:szCs w:val="24"/>
        </w:rPr>
        <w:t>μ</w:t>
      </w:r>
      <w:r w:rsidR="008B2D6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l</w:t>
      </w:r>
      <w:r w:rsidR="008B2D6A" w:rsidRPr="008B2D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-Hamilton syringe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ADDIN EN.CITE &lt;EndNote&gt;&lt;Cite&gt;&lt;Author&gt;Li&lt;/Author&gt;&lt;Year&gt;2021&lt;/Year&gt;&lt;RecNum&gt;66&lt;/RecNum&gt;&lt;DisplayText&gt;(Li et al., 2021)&lt;/DisplayText&gt;&lt;record&gt;&lt;rec-number&gt;66&lt;/rec-number&gt;&lt;foreign-keys&gt;&lt;key app="EN" db-id="955a5zxfnzzrekeft02pr99ud22ttz9dzwwf" timestamp="1666950516"&gt;66&lt;/key&gt;&lt;/foreign-keys&gt;&lt;ref-type name="Journal Article"&gt;17&lt;/ref-type&gt;&lt;contributors&gt;&lt;authors&gt;&lt;author&gt;Li, Jin&lt;/author&gt;&lt;author&gt;Li, Erwei&lt;/author&gt;&lt;author&gt;Czepielewski, Rafael S&lt;/author&gt;&lt;author&gt;Chi, Jingyi&lt;/author&gt;&lt;author&gt;Guo, Xiao&lt;/author&gt;&lt;author&gt;Han, Yong-Hyun&lt;/author&gt;&lt;author&gt;Wang, Daqing&lt;/author&gt;&lt;author&gt;Wang, Luhong&lt;/author&gt;&lt;author&gt;Hu, Bo&lt;/author&gt;&lt;author&gt;Dawes, Brian %J Cell metabolism&lt;/author&gt;&lt;/authors&gt;&lt;/contributors&gt;&lt;titles&gt;&lt;title&gt;Neurotensin is an anti-thermogenic peptide produced by lymphatic endothelial cells&lt;/title&gt;&lt;/titles&gt;&lt;pages&gt;1449-1465. e6&lt;/pages&gt;&lt;volume&gt;33&lt;/volume&gt;&lt;number&gt;7&lt;/number&gt;&lt;dates&gt;&lt;year&gt;2021&lt;/year&gt;&lt;/dates&gt;&lt;isbn&gt;1550-4131&lt;/isbn&gt;&lt;urls&gt;&lt;/urls&gt;&lt;/record&gt;&lt;/Cite&gt;&lt;/EndNote&gt;</w:instrTex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(Li et al., 2021)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Experiments were performed </w:t>
      </w:r>
      <w:r w:rsidR="008705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eighth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week after injection. Mice were monitored for changes in body weight, fat mass, cold tolerance, and oxygen consumption, then mice were sacriﬁced and tissues were dissected for further analysis.</w:t>
      </w:r>
    </w:p>
    <w:p w14:paraId="59051301" w14:textId="77777777" w:rsidR="003437DB" w:rsidRDefault="003437DB" w:rsidP="00AE7889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CA25682" w14:textId="0CDB6D84" w:rsidR="006E3328" w:rsidRDefault="006E3328" w:rsidP="00AE7889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Histological analysis</w:t>
      </w:r>
    </w:p>
    <w:p w14:paraId="4ADD5E51" w14:textId="0241ECFC" w:rsidR="006E3328" w:rsidRDefault="006E3328" w:rsidP="00AE788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Dissected adipose and liver tissues were ﬁxed in 4% neutral buffered formalin and embedded in parafﬁn. 5mm tissue sections were stained with Hematoxylin and eosin according to manufacturer’s instructions. The images were acquired by optical microscope using a </w:t>
      </w:r>
      <w:r w:rsidR="008705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20x </w:t>
      </w:r>
      <w:r w:rsidR="0087055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or</w:t>
      </w:r>
      <w:r w:rsidR="008705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40x objective. </w:t>
      </w:r>
    </w:p>
    <w:p w14:paraId="2FBEF152" w14:textId="77777777" w:rsidR="003437DB" w:rsidRDefault="003437DB" w:rsidP="00AE7889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9781FE5" w14:textId="32B6F417" w:rsidR="006E3328" w:rsidRDefault="006E3328" w:rsidP="00AE7889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Seahorse</w:t>
      </w:r>
    </w:p>
    <w:p w14:paraId="006C5F33" w14:textId="77777777" w:rsidR="006E3328" w:rsidRDefault="006E3328" w:rsidP="00AE788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Cellular OCR was measured using a XF96 Analyzer (Seahorse Bioscience). Preadipocytes were transfected with shSort1 virus or scramble control for 48hours and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then plated at 4000 cells/well in XF 96-well microplates (Seahorse Bioscience) following trypsin digestion. The adherent cells were differentiated for 5-6days and then treated with DMSO or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Triacsin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 for 24 h. Adipocytes were incubated in pre-warmed assay medium (XF base medium with 25 mM glucose, 1 mM sodium pyruvate, 2 mM L-glutamine) for 1 h without CO2 before oxygen consumption analysis. Mitochondrial stress test was measured by injecting the ATP synthase inhibitor oligomycin (4 mM), the mitochondrial uncoupler carbonyl cyanide4-(triﬂuoromethoxy) phenylhydrazone (FCCP 2 mM), and the electron transport inhibitor rotenone and antimycin A (1 mM) sequentially. The OCR were adjusted by protein amount.</w:t>
      </w:r>
    </w:p>
    <w:p w14:paraId="6F82427D" w14:textId="77777777" w:rsidR="003437DB" w:rsidRDefault="003437DB" w:rsidP="00AE7889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88CD42F" w14:textId="4B3C9DE5" w:rsidR="006E3328" w:rsidRDefault="006E3328" w:rsidP="00AE7889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siRNA transfection</w:t>
      </w:r>
    </w:p>
    <w:p w14:paraId="1E558218" w14:textId="63DFE8E6" w:rsidR="00AE7889" w:rsidRDefault="006E3328" w:rsidP="00AE788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siRNA was designed and synthesized by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GenePharma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(Shanghai, China). siRNA was transfected into differentiated adipocytes using Lipofectamine2000 Transfection Reagent according to the manufacturer’s protocol. The protein expression analysis was determined by </w:t>
      </w:r>
      <w:r w:rsidR="00D6216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immunoblotting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after 48 h.</w:t>
      </w:r>
    </w:p>
    <w:p w14:paraId="20872421" w14:textId="77777777" w:rsidR="003437DB" w:rsidRDefault="003437DB" w:rsidP="00AE7889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1D3A513" w14:textId="733DAF9E" w:rsidR="006E3328" w:rsidRDefault="006E3328" w:rsidP="00AE7889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RNA Extraction and quantitative PCR</w:t>
      </w:r>
    </w:p>
    <w:p w14:paraId="7F709461" w14:textId="691E228D" w:rsidR="006E3328" w:rsidRDefault="006E3328" w:rsidP="00AE788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Total RNA was extracted from cultured cells or tissues with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RNAiso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Plus, and 1 mg total RNA was reverse transcribed to cDNA using the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HiScript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II Q RT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SuperMix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according to the manufacturers’ instructions. Quantitative Real-time PCR was performed using the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ChamQ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Universal SYBR qPCR Master Mix on the </w:t>
      </w:r>
      <w:proofErr w:type="spellStart"/>
      <w:r w:rsidRPr="00A90F24">
        <w:rPr>
          <w:rFonts w:ascii="Times New Roman" w:hAnsi="Times New Roman" w:cs="Times New Roman"/>
          <w:color w:val="000000" w:themeColor="text1"/>
          <w:sz w:val="24"/>
          <w:szCs w:val="24"/>
        </w:rPr>
        <w:t>Thermo</w:t>
      </w:r>
      <w:proofErr w:type="spellEnd"/>
      <w:r w:rsidRPr="00A90F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Fisher Scientific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QuantStudio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1. Experiments were repeated three times and gene expression levels were calculated using the delta Ct method, after normalization to 36B4 or 18s rRNA expression. Sequences of primers used for real-time PCR </w:t>
      </w:r>
      <w:r w:rsidR="00D6216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were</w:t>
      </w:r>
      <w:r w:rsidR="00D6216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listed in Table S1. </w:t>
      </w:r>
    </w:p>
    <w:p w14:paraId="3F1BA935" w14:textId="77777777" w:rsidR="003437DB" w:rsidRDefault="003437DB" w:rsidP="00AE7889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CF93C36" w14:textId="7B81D6D5" w:rsidR="006E3328" w:rsidRDefault="006E3328" w:rsidP="00AE7889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Immunoﬂuorescence</w:t>
      </w:r>
    </w:p>
    <w:p w14:paraId="2087978B" w14:textId="77777777" w:rsidR="006E3328" w:rsidRDefault="006E3328" w:rsidP="00AE788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Immortalized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pre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adipocytes were cultured on coverslip in 6-well plates and fully differentiated, ﬁxed, permeabilized, and incubated respectively with primary antibodies against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Sortilin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, ACSL1, UCP1, LAMP1, EEA1 and TOM20 overnight at 4</w:t>
      </w:r>
      <w:r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℃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Cells were washed and incubated with goat anti-mouse Alexa Fluor 594 and goat anti-rabbit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Alexa Fluor 488 for 1 h at room temperature. DAPI was used to visualize the nuclei. Images were taken by using a Leica confocal microscope and processed using ImageJ.</w:t>
      </w:r>
    </w:p>
    <w:p w14:paraId="16906227" w14:textId="77777777" w:rsidR="003437DB" w:rsidRDefault="003437DB" w:rsidP="00AE7889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CCD849E" w14:textId="23372B99" w:rsidR="006E3328" w:rsidRDefault="006E3328" w:rsidP="00AE7889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Immunoprecipitation. </w:t>
      </w:r>
    </w:p>
    <w:p w14:paraId="43656210" w14:textId="105E62F5" w:rsidR="006E3328" w:rsidRDefault="006E3328" w:rsidP="00E44D0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Pierce Classic Magnetic IP/Co-IP Kit was used for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Sortilin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immunoprecipitation. Fresh beiges were lysed with IP lysis buﬀer. </w:t>
      </w:r>
      <w:r w:rsidR="00E44D07" w:rsidRPr="00E44D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Cell lysates were scraped and collected into one vial and centrifuged (14,000 </w:t>
      </w:r>
      <w:r w:rsidR="007430BD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g</w:t>
      </w:r>
      <w:r w:rsidR="00E44D07" w:rsidRPr="00E44D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4 °C for 2 min) to remove debris</w:t>
      </w:r>
      <w:r w:rsidR="00E44D0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  <w:r w:rsidR="00E44D07" w:rsidRPr="00E44D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proofErr w:type="gramStart"/>
      <w:r w:rsidR="007430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supernatant 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protein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sample (500µg) was immunoprecipitated with 10µg anti-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sortilin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antibody or anti-ACSL1 antibody overnight at 4°C. Subsequently, 20-40µL of fully suspended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proteinA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/G magnetic beads were added and incubated at room temperature for 1 h. The complexes that bound to the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proteinA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/G conjugate were washed and resolved in the SDS-AGE loading buﬀer and subjected to Western blotting.</w:t>
      </w:r>
    </w:p>
    <w:p w14:paraId="21B91FE8" w14:textId="77777777" w:rsidR="003437DB" w:rsidRDefault="003437DB" w:rsidP="00AE7889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36FD04A" w14:textId="3C123647" w:rsidR="006E3328" w:rsidRDefault="006E3328" w:rsidP="00AE7889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Oil Red O staining and quantitative analysis</w:t>
      </w:r>
    </w:p>
    <w:p w14:paraId="13965D82" w14:textId="77777777" w:rsidR="006E3328" w:rsidRDefault="006E3328" w:rsidP="00AE788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Cells were ﬁxed with 10% paraformaldehyde and washed twice with PBS and rinsed with 60% isopropanol, then stained with a ﬁltered Oil Red O working solution for 20 min at room temperature. Wash cells twice with PBS and then for photograph.</w:t>
      </w:r>
    </w:p>
    <w:p w14:paraId="4F1D6CD6" w14:textId="77777777" w:rsidR="003437DB" w:rsidRDefault="003437DB" w:rsidP="00AE7889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A8E07AA" w14:textId="5609C027" w:rsidR="006E3328" w:rsidRDefault="007430BD" w:rsidP="00AE7889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Immunoblotting</w:t>
      </w:r>
    </w:p>
    <w:p w14:paraId="05C8CA85" w14:textId="4264FCCC" w:rsidR="006E3328" w:rsidRDefault="006E3328" w:rsidP="00AE788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Cells or fat tissues were lysed in RIPA buffer (25 mM Tris/HCl pH7.6, 150 mM NaCl, 1% NP-40, 1% sodium deoxycholate, 0.1%SDS) with 1 mM DTT and protease and phosphatase inhibitor cocktail (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Thermo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Fisher Scientiﬁc). After centrifuging the lysates at 14000 g for 15 min, the supernatant was used for protein quantiﬁcation using BCA protein assay kits.</w:t>
      </w:r>
    </w:p>
    <w:p w14:paraId="030E07EB" w14:textId="77777777" w:rsidR="006E3328" w:rsidRDefault="006E3328" w:rsidP="00AE788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C526D4E" w14:textId="7E1423B5" w:rsidR="006E3328" w:rsidRPr="00226DA2" w:rsidRDefault="003437DB" w:rsidP="00AE7889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226DA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tatistical analysis</w:t>
      </w:r>
    </w:p>
    <w:p w14:paraId="4956F282" w14:textId="064C3117" w:rsidR="00896DB6" w:rsidRPr="0044747A" w:rsidRDefault="006E3328" w:rsidP="00192FD5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Averaged values are shown as mean ± SEMs. Statistical analyses were performed with Prism software version 8.4.3 (GraphPad Software). Comparisons of two groups were made by conducting Student’s t tests. </w:t>
      </w:r>
      <w:r w:rsidRPr="009D4ED8">
        <w:rPr>
          <w:rFonts w:ascii="Times New Roman" w:hAnsi="Times New Roman" w:cs="Times New Roman"/>
          <w:color w:val="000000" w:themeColor="text1"/>
          <w:sz w:val="24"/>
          <w:szCs w:val="24"/>
        </w:rPr>
        <w:t>ANCOVA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9D4ED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was used to analyze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body weight, glucose and </w:t>
      </w:r>
      <w:r w:rsidRPr="009D4ED8">
        <w:rPr>
          <w:rFonts w:ascii="Times New Roman" w:hAnsi="Times New Roman" w:cs="Times New Roman"/>
          <w:color w:val="000000" w:themeColor="text1"/>
          <w:sz w:val="24"/>
          <w:szCs w:val="24"/>
        </w:rPr>
        <w:t>oxygen consumption data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429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more than two groups, we evaluated the </w:t>
      </w:r>
      <w:r w:rsidRPr="00342907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data with two-way ANOVA (Holm-</w:t>
      </w:r>
      <w:proofErr w:type="spellStart"/>
      <w:r w:rsidRPr="00342907">
        <w:rPr>
          <w:rFonts w:ascii="Times New Roman" w:hAnsi="Times New Roman" w:cs="Times New Roman"/>
          <w:color w:val="000000" w:themeColor="text1"/>
          <w:sz w:val="24"/>
          <w:szCs w:val="24"/>
        </w:rPr>
        <w:t>Sidak’s</w:t>
      </w:r>
      <w:proofErr w:type="spellEnd"/>
      <w:r w:rsidRPr="003429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multiple comparisons) test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AC37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Differences were considered statistically signiﬁcant if p &lt; 0.05 (*); p &lt; 0.01 (**) or p &lt; 0.001 (***). The statistical methods of each experiment </w:t>
      </w:r>
      <w:r w:rsidR="00AC37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were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indicated in the ﬁgure legends. Data from animal experiments were collected in a blinded fashion. All in vitro experiments were replicated at least three independent times.</w:t>
      </w:r>
    </w:p>
    <w:p w14:paraId="11A1FFFE" w14:textId="77777777" w:rsidR="003437DB" w:rsidRDefault="003437DB" w:rsidP="00192F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817CCCE" w14:textId="36E53153" w:rsidR="00896DB6" w:rsidRPr="003437DB" w:rsidRDefault="00896DB6" w:rsidP="00192FD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437DB">
        <w:rPr>
          <w:rFonts w:ascii="Times New Roman" w:hAnsi="Times New Roman" w:cs="Times New Roman" w:hint="eastAsia"/>
          <w:b/>
          <w:bCs/>
          <w:sz w:val="24"/>
          <w:szCs w:val="24"/>
        </w:rPr>
        <w:t>Re</w:t>
      </w:r>
      <w:r w:rsidRPr="003437DB">
        <w:rPr>
          <w:rFonts w:ascii="Times New Roman" w:hAnsi="Times New Roman" w:cs="Times New Roman"/>
          <w:b/>
          <w:bCs/>
          <w:sz w:val="24"/>
          <w:szCs w:val="24"/>
        </w:rPr>
        <w:t>ference</w:t>
      </w:r>
    </w:p>
    <w:p w14:paraId="70A9ABE9" w14:textId="77777777" w:rsidR="00896DB6" w:rsidRPr="00896DB6" w:rsidRDefault="00896DB6" w:rsidP="00896DB6">
      <w:pPr>
        <w:pStyle w:val="EndNoteBibliography"/>
      </w:pP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Pr="00896DB6">
        <w:t xml:space="preserve">Li, J., Li, E., Czepielewski, R.S., Chi, J., Guo, X., Han, Y.-H., Wang, D., Wang, L., Hu, B., and Dawes, B.J.C.m. (2021). Neurotensin is an anti-thermogenic peptide produced by lymphatic endothelial cells. </w:t>
      </w:r>
      <w:r w:rsidRPr="00896DB6">
        <w:rPr>
          <w:i/>
        </w:rPr>
        <w:t xml:space="preserve"> 33</w:t>
      </w:r>
      <w:r w:rsidRPr="00896DB6">
        <w:t>, 1449-1465. e1446.</w:t>
      </w:r>
    </w:p>
    <w:p w14:paraId="1DD1A285" w14:textId="77777777" w:rsidR="00896DB6" w:rsidRPr="00896DB6" w:rsidRDefault="00896DB6" w:rsidP="00896DB6">
      <w:pPr>
        <w:pStyle w:val="EndNoteBibliography"/>
      </w:pPr>
      <w:r w:rsidRPr="00896DB6">
        <w:t xml:space="preserve">Rhost, S., Hughes, É., Harrison, H., Rafnsdottir, S., Jacobsson, H., Gregersson, P., Magnusson, Y., Fitzpatrick, P., Andersson, D., and Berger, K.J.B.C.R. (2018). Sortilin inhibition limits secretion-induced progranulin-dependent breast cancer progression and cancer stem cell expansion. </w:t>
      </w:r>
      <w:r w:rsidRPr="00896DB6">
        <w:rPr>
          <w:i/>
        </w:rPr>
        <w:t xml:space="preserve"> 20</w:t>
      </w:r>
      <w:r w:rsidRPr="00896DB6">
        <w:t>, 1-15.</w:t>
      </w:r>
    </w:p>
    <w:p w14:paraId="73B50369" w14:textId="77777777" w:rsidR="00896DB6" w:rsidRPr="00896DB6" w:rsidRDefault="00896DB6" w:rsidP="00896DB6">
      <w:pPr>
        <w:pStyle w:val="EndNoteBibliography"/>
      </w:pPr>
      <w:r w:rsidRPr="00896DB6">
        <w:t xml:space="preserve">Shinoda, K., Luijten, I.H., Hasegawa, Y., Hong, H., Sonne, S.B., Kim, M., Xue, R., Chondronikola, M., Cypess, A.M., and Tseng, Y.-H.J.N.m. (2015). Genetic and functional characterization of clonally derived adult human brown adipocytes. </w:t>
      </w:r>
      <w:r w:rsidRPr="00896DB6">
        <w:rPr>
          <w:i/>
        </w:rPr>
        <w:t xml:space="preserve"> 21</w:t>
      </w:r>
      <w:r w:rsidRPr="00896DB6">
        <w:t>, 389-394.</w:t>
      </w:r>
    </w:p>
    <w:p w14:paraId="55AFA276" w14:textId="16C93CB5" w:rsidR="008865C8" w:rsidRPr="00192FD5" w:rsidRDefault="00896DB6" w:rsidP="00192F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8865C8" w:rsidRPr="00192F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5A2E0D" w14:textId="77777777" w:rsidR="00607561" w:rsidRDefault="00607561" w:rsidP="00843771">
      <w:r>
        <w:separator/>
      </w:r>
    </w:p>
  </w:endnote>
  <w:endnote w:type="continuationSeparator" w:id="0">
    <w:p w14:paraId="69769C08" w14:textId="77777777" w:rsidR="00607561" w:rsidRDefault="00607561" w:rsidP="008437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C15579" w14:textId="77777777" w:rsidR="00607561" w:rsidRDefault="00607561" w:rsidP="00843771">
      <w:r>
        <w:separator/>
      </w:r>
    </w:p>
  </w:footnote>
  <w:footnote w:type="continuationSeparator" w:id="0">
    <w:p w14:paraId="0923F9CD" w14:textId="77777777" w:rsidR="00607561" w:rsidRDefault="00607561" w:rsidP="008437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15BBC"/>
    <w:multiLevelType w:val="hybridMultilevel"/>
    <w:tmpl w:val="1568B35E"/>
    <w:lvl w:ilvl="0" w:tplc="D0D4E020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</w:lvl>
    <w:lvl w:ilvl="1" w:tplc="A8D22648" w:tentative="1">
      <w:start w:val="1"/>
      <w:numFmt w:val="upperLetter"/>
      <w:lvlText w:val="(%2)"/>
      <w:lvlJc w:val="left"/>
      <w:pPr>
        <w:tabs>
          <w:tab w:val="num" w:pos="1440"/>
        </w:tabs>
        <w:ind w:left="1440" w:hanging="360"/>
      </w:pPr>
    </w:lvl>
    <w:lvl w:ilvl="2" w:tplc="DAD6D024" w:tentative="1">
      <w:start w:val="1"/>
      <w:numFmt w:val="upperLetter"/>
      <w:lvlText w:val="(%3)"/>
      <w:lvlJc w:val="left"/>
      <w:pPr>
        <w:tabs>
          <w:tab w:val="num" w:pos="2160"/>
        </w:tabs>
        <w:ind w:left="2160" w:hanging="360"/>
      </w:pPr>
    </w:lvl>
    <w:lvl w:ilvl="3" w:tplc="739A554C" w:tentative="1">
      <w:start w:val="1"/>
      <w:numFmt w:val="upperLetter"/>
      <w:lvlText w:val="(%4)"/>
      <w:lvlJc w:val="left"/>
      <w:pPr>
        <w:tabs>
          <w:tab w:val="num" w:pos="2880"/>
        </w:tabs>
        <w:ind w:left="2880" w:hanging="360"/>
      </w:pPr>
    </w:lvl>
    <w:lvl w:ilvl="4" w:tplc="BBFC4694" w:tentative="1">
      <w:start w:val="1"/>
      <w:numFmt w:val="upperLetter"/>
      <w:lvlText w:val="(%5)"/>
      <w:lvlJc w:val="left"/>
      <w:pPr>
        <w:tabs>
          <w:tab w:val="num" w:pos="3600"/>
        </w:tabs>
        <w:ind w:left="3600" w:hanging="360"/>
      </w:pPr>
    </w:lvl>
    <w:lvl w:ilvl="5" w:tplc="E990E752" w:tentative="1">
      <w:start w:val="1"/>
      <w:numFmt w:val="upperLetter"/>
      <w:lvlText w:val="(%6)"/>
      <w:lvlJc w:val="left"/>
      <w:pPr>
        <w:tabs>
          <w:tab w:val="num" w:pos="4320"/>
        </w:tabs>
        <w:ind w:left="4320" w:hanging="360"/>
      </w:pPr>
    </w:lvl>
    <w:lvl w:ilvl="6" w:tplc="C89C7C68" w:tentative="1">
      <w:start w:val="1"/>
      <w:numFmt w:val="upperLetter"/>
      <w:lvlText w:val="(%7)"/>
      <w:lvlJc w:val="left"/>
      <w:pPr>
        <w:tabs>
          <w:tab w:val="num" w:pos="5040"/>
        </w:tabs>
        <w:ind w:left="5040" w:hanging="360"/>
      </w:pPr>
    </w:lvl>
    <w:lvl w:ilvl="7" w:tplc="32EE3F50" w:tentative="1">
      <w:start w:val="1"/>
      <w:numFmt w:val="upperLetter"/>
      <w:lvlText w:val="(%8)"/>
      <w:lvlJc w:val="left"/>
      <w:pPr>
        <w:tabs>
          <w:tab w:val="num" w:pos="5760"/>
        </w:tabs>
        <w:ind w:left="5760" w:hanging="360"/>
      </w:pPr>
    </w:lvl>
    <w:lvl w:ilvl="8" w:tplc="53AC4E74" w:tentative="1">
      <w:start w:val="1"/>
      <w:numFmt w:val="upp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A027AD"/>
    <w:multiLevelType w:val="hybridMultilevel"/>
    <w:tmpl w:val="7DC69B94"/>
    <w:lvl w:ilvl="0" w:tplc="1A245C08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</w:lvl>
    <w:lvl w:ilvl="1" w:tplc="375ACEC4" w:tentative="1">
      <w:start w:val="1"/>
      <w:numFmt w:val="upperLetter"/>
      <w:lvlText w:val="(%2)"/>
      <w:lvlJc w:val="left"/>
      <w:pPr>
        <w:tabs>
          <w:tab w:val="num" w:pos="1440"/>
        </w:tabs>
        <w:ind w:left="1440" w:hanging="360"/>
      </w:pPr>
    </w:lvl>
    <w:lvl w:ilvl="2" w:tplc="C4D6D3F2" w:tentative="1">
      <w:start w:val="1"/>
      <w:numFmt w:val="upperLetter"/>
      <w:lvlText w:val="(%3)"/>
      <w:lvlJc w:val="left"/>
      <w:pPr>
        <w:tabs>
          <w:tab w:val="num" w:pos="2160"/>
        </w:tabs>
        <w:ind w:left="2160" w:hanging="360"/>
      </w:pPr>
    </w:lvl>
    <w:lvl w:ilvl="3" w:tplc="9BBAA24A" w:tentative="1">
      <w:start w:val="1"/>
      <w:numFmt w:val="upperLetter"/>
      <w:lvlText w:val="(%4)"/>
      <w:lvlJc w:val="left"/>
      <w:pPr>
        <w:tabs>
          <w:tab w:val="num" w:pos="2880"/>
        </w:tabs>
        <w:ind w:left="2880" w:hanging="360"/>
      </w:pPr>
    </w:lvl>
    <w:lvl w:ilvl="4" w:tplc="58542A7A" w:tentative="1">
      <w:start w:val="1"/>
      <w:numFmt w:val="upperLetter"/>
      <w:lvlText w:val="(%5)"/>
      <w:lvlJc w:val="left"/>
      <w:pPr>
        <w:tabs>
          <w:tab w:val="num" w:pos="3600"/>
        </w:tabs>
        <w:ind w:left="3600" w:hanging="360"/>
      </w:pPr>
    </w:lvl>
    <w:lvl w:ilvl="5" w:tplc="D834C99C" w:tentative="1">
      <w:start w:val="1"/>
      <w:numFmt w:val="upperLetter"/>
      <w:lvlText w:val="(%6)"/>
      <w:lvlJc w:val="left"/>
      <w:pPr>
        <w:tabs>
          <w:tab w:val="num" w:pos="4320"/>
        </w:tabs>
        <w:ind w:left="4320" w:hanging="360"/>
      </w:pPr>
    </w:lvl>
    <w:lvl w:ilvl="6" w:tplc="E8105EC0" w:tentative="1">
      <w:start w:val="1"/>
      <w:numFmt w:val="upperLetter"/>
      <w:lvlText w:val="(%7)"/>
      <w:lvlJc w:val="left"/>
      <w:pPr>
        <w:tabs>
          <w:tab w:val="num" w:pos="5040"/>
        </w:tabs>
        <w:ind w:left="5040" w:hanging="360"/>
      </w:pPr>
    </w:lvl>
    <w:lvl w:ilvl="7" w:tplc="82266E68" w:tentative="1">
      <w:start w:val="1"/>
      <w:numFmt w:val="upperLetter"/>
      <w:lvlText w:val="(%8)"/>
      <w:lvlJc w:val="left"/>
      <w:pPr>
        <w:tabs>
          <w:tab w:val="num" w:pos="5760"/>
        </w:tabs>
        <w:ind w:left="5760" w:hanging="360"/>
      </w:pPr>
    </w:lvl>
    <w:lvl w:ilvl="8" w:tplc="FD3A3FEC" w:tentative="1">
      <w:start w:val="1"/>
      <w:numFmt w:val="upp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D4603E4"/>
    <w:multiLevelType w:val="hybridMultilevel"/>
    <w:tmpl w:val="F1781E1A"/>
    <w:lvl w:ilvl="0" w:tplc="295C39E2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</w:lvl>
    <w:lvl w:ilvl="1" w:tplc="0450C866" w:tentative="1">
      <w:start w:val="1"/>
      <w:numFmt w:val="upperLetter"/>
      <w:lvlText w:val="(%2)"/>
      <w:lvlJc w:val="left"/>
      <w:pPr>
        <w:tabs>
          <w:tab w:val="num" w:pos="1440"/>
        </w:tabs>
        <w:ind w:left="1440" w:hanging="360"/>
      </w:pPr>
    </w:lvl>
    <w:lvl w:ilvl="2" w:tplc="990CD432" w:tentative="1">
      <w:start w:val="1"/>
      <w:numFmt w:val="upperLetter"/>
      <w:lvlText w:val="(%3)"/>
      <w:lvlJc w:val="left"/>
      <w:pPr>
        <w:tabs>
          <w:tab w:val="num" w:pos="2160"/>
        </w:tabs>
        <w:ind w:left="2160" w:hanging="360"/>
      </w:pPr>
    </w:lvl>
    <w:lvl w:ilvl="3" w:tplc="070816CA" w:tentative="1">
      <w:start w:val="1"/>
      <w:numFmt w:val="upperLetter"/>
      <w:lvlText w:val="(%4)"/>
      <w:lvlJc w:val="left"/>
      <w:pPr>
        <w:tabs>
          <w:tab w:val="num" w:pos="2880"/>
        </w:tabs>
        <w:ind w:left="2880" w:hanging="360"/>
      </w:pPr>
    </w:lvl>
    <w:lvl w:ilvl="4" w:tplc="9D960024" w:tentative="1">
      <w:start w:val="1"/>
      <w:numFmt w:val="upperLetter"/>
      <w:lvlText w:val="(%5)"/>
      <w:lvlJc w:val="left"/>
      <w:pPr>
        <w:tabs>
          <w:tab w:val="num" w:pos="3600"/>
        </w:tabs>
        <w:ind w:left="3600" w:hanging="360"/>
      </w:pPr>
    </w:lvl>
    <w:lvl w:ilvl="5" w:tplc="A10CB878" w:tentative="1">
      <w:start w:val="1"/>
      <w:numFmt w:val="upperLetter"/>
      <w:lvlText w:val="(%6)"/>
      <w:lvlJc w:val="left"/>
      <w:pPr>
        <w:tabs>
          <w:tab w:val="num" w:pos="4320"/>
        </w:tabs>
        <w:ind w:left="4320" w:hanging="360"/>
      </w:pPr>
    </w:lvl>
    <w:lvl w:ilvl="6" w:tplc="41EC5C0E" w:tentative="1">
      <w:start w:val="1"/>
      <w:numFmt w:val="upperLetter"/>
      <w:lvlText w:val="(%7)"/>
      <w:lvlJc w:val="left"/>
      <w:pPr>
        <w:tabs>
          <w:tab w:val="num" w:pos="5040"/>
        </w:tabs>
        <w:ind w:left="5040" w:hanging="360"/>
      </w:pPr>
    </w:lvl>
    <w:lvl w:ilvl="7" w:tplc="1D2CA028" w:tentative="1">
      <w:start w:val="1"/>
      <w:numFmt w:val="upperLetter"/>
      <w:lvlText w:val="(%8)"/>
      <w:lvlJc w:val="left"/>
      <w:pPr>
        <w:tabs>
          <w:tab w:val="num" w:pos="5760"/>
        </w:tabs>
        <w:ind w:left="5760" w:hanging="360"/>
      </w:pPr>
    </w:lvl>
    <w:lvl w:ilvl="8" w:tplc="9A80BADC" w:tentative="1">
      <w:start w:val="1"/>
      <w:numFmt w:val="upp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B721B46"/>
    <w:multiLevelType w:val="hybridMultilevel"/>
    <w:tmpl w:val="DF1605C6"/>
    <w:lvl w:ilvl="0" w:tplc="8E6E85F0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38C4B92"/>
    <w:multiLevelType w:val="hybridMultilevel"/>
    <w:tmpl w:val="C9569EF0"/>
    <w:lvl w:ilvl="0" w:tplc="DE26FAE8">
      <w:start w:val="5"/>
      <w:numFmt w:val="upperLetter"/>
      <w:lvlText w:val="(%1)"/>
      <w:lvlJc w:val="left"/>
      <w:pPr>
        <w:tabs>
          <w:tab w:val="num" w:pos="720"/>
        </w:tabs>
        <w:ind w:left="720" w:hanging="360"/>
      </w:pPr>
    </w:lvl>
    <w:lvl w:ilvl="1" w:tplc="266C6362" w:tentative="1">
      <w:start w:val="1"/>
      <w:numFmt w:val="upperLetter"/>
      <w:lvlText w:val="(%2)"/>
      <w:lvlJc w:val="left"/>
      <w:pPr>
        <w:tabs>
          <w:tab w:val="num" w:pos="1440"/>
        </w:tabs>
        <w:ind w:left="1440" w:hanging="360"/>
      </w:pPr>
    </w:lvl>
    <w:lvl w:ilvl="2" w:tplc="FE2A3994" w:tentative="1">
      <w:start w:val="1"/>
      <w:numFmt w:val="upperLetter"/>
      <w:lvlText w:val="(%3)"/>
      <w:lvlJc w:val="left"/>
      <w:pPr>
        <w:tabs>
          <w:tab w:val="num" w:pos="2160"/>
        </w:tabs>
        <w:ind w:left="2160" w:hanging="360"/>
      </w:pPr>
    </w:lvl>
    <w:lvl w:ilvl="3" w:tplc="50E834A6" w:tentative="1">
      <w:start w:val="1"/>
      <w:numFmt w:val="upperLetter"/>
      <w:lvlText w:val="(%4)"/>
      <w:lvlJc w:val="left"/>
      <w:pPr>
        <w:tabs>
          <w:tab w:val="num" w:pos="2880"/>
        </w:tabs>
        <w:ind w:left="2880" w:hanging="360"/>
      </w:pPr>
    </w:lvl>
    <w:lvl w:ilvl="4" w:tplc="3B6E655E" w:tentative="1">
      <w:start w:val="1"/>
      <w:numFmt w:val="upperLetter"/>
      <w:lvlText w:val="(%5)"/>
      <w:lvlJc w:val="left"/>
      <w:pPr>
        <w:tabs>
          <w:tab w:val="num" w:pos="3600"/>
        </w:tabs>
        <w:ind w:left="3600" w:hanging="360"/>
      </w:pPr>
    </w:lvl>
    <w:lvl w:ilvl="5" w:tplc="52F6FEA8" w:tentative="1">
      <w:start w:val="1"/>
      <w:numFmt w:val="upperLetter"/>
      <w:lvlText w:val="(%6)"/>
      <w:lvlJc w:val="left"/>
      <w:pPr>
        <w:tabs>
          <w:tab w:val="num" w:pos="4320"/>
        </w:tabs>
        <w:ind w:left="4320" w:hanging="360"/>
      </w:pPr>
    </w:lvl>
    <w:lvl w:ilvl="6" w:tplc="06DA2A42" w:tentative="1">
      <w:start w:val="1"/>
      <w:numFmt w:val="upperLetter"/>
      <w:lvlText w:val="(%7)"/>
      <w:lvlJc w:val="left"/>
      <w:pPr>
        <w:tabs>
          <w:tab w:val="num" w:pos="5040"/>
        </w:tabs>
        <w:ind w:left="5040" w:hanging="360"/>
      </w:pPr>
    </w:lvl>
    <w:lvl w:ilvl="7" w:tplc="A63E1DFE" w:tentative="1">
      <w:start w:val="1"/>
      <w:numFmt w:val="upperLetter"/>
      <w:lvlText w:val="(%8)"/>
      <w:lvlJc w:val="left"/>
      <w:pPr>
        <w:tabs>
          <w:tab w:val="num" w:pos="5760"/>
        </w:tabs>
        <w:ind w:left="5760" w:hanging="360"/>
      </w:pPr>
    </w:lvl>
    <w:lvl w:ilvl="8" w:tplc="22242454" w:tentative="1">
      <w:start w:val="1"/>
      <w:numFmt w:val="upp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BA5601A"/>
    <w:multiLevelType w:val="hybridMultilevel"/>
    <w:tmpl w:val="14D8F740"/>
    <w:lvl w:ilvl="0" w:tplc="9992EB50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CF1255A"/>
    <w:multiLevelType w:val="hybridMultilevel"/>
    <w:tmpl w:val="1D9C3130"/>
    <w:lvl w:ilvl="0" w:tplc="A95845FA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F897471"/>
    <w:multiLevelType w:val="hybridMultilevel"/>
    <w:tmpl w:val="5ADE79C0"/>
    <w:lvl w:ilvl="0" w:tplc="338840D8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</w:lvl>
    <w:lvl w:ilvl="1" w:tplc="234EB7B0" w:tentative="1">
      <w:start w:val="1"/>
      <w:numFmt w:val="upperLetter"/>
      <w:lvlText w:val="(%2)"/>
      <w:lvlJc w:val="left"/>
      <w:pPr>
        <w:tabs>
          <w:tab w:val="num" w:pos="1440"/>
        </w:tabs>
        <w:ind w:left="1440" w:hanging="360"/>
      </w:pPr>
    </w:lvl>
    <w:lvl w:ilvl="2" w:tplc="76089378" w:tentative="1">
      <w:start w:val="1"/>
      <w:numFmt w:val="upperLetter"/>
      <w:lvlText w:val="(%3)"/>
      <w:lvlJc w:val="left"/>
      <w:pPr>
        <w:tabs>
          <w:tab w:val="num" w:pos="2160"/>
        </w:tabs>
        <w:ind w:left="2160" w:hanging="360"/>
      </w:pPr>
    </w:lvl>
    <w:lvl w:ilvl="3" w:tplc="C4E87F18" w:tentative="1">
      <w:start w:val="1"/>
      <w:numFmt w:val="upperLetter"/>
      <w:lvlText w:val="(%4)"/>
      <w:lvlJc w:val="left"/>
      <w:pPr>
        <w:tabs>
          <w:tab w:val="num" w:pos="2880"/>
        </w:tabs>
        <w:ind w:left="2880" w:hanging="360"/>
      </w:pPr>
    </w:lvl>
    <w:lvl w:ilvl="4" w:tplc="2C7CF03A" w:tentative="1">
      <w:start w:val="1"/>
      <w:numFmt w:val="upperLetter"/>
      <w:lvlText w:val="(%5)"/>
      <w:lvlJc w:val="left"/>
      <w:pPr>
        <w:tabs>
          <w:tab w:val="num" w:pos="3600"/>
        </w:tabs>
        <w:ind w:left="3600" w:hanging="360"/>
      </w:pPr>
    </w:lvl>
    <w:lvl w:ilvl="5" w:tplc="7C0A2642" w:tentative="1">
      <w:start w:val="1"/>
      <w:numFmt w:val="upperLetter"/>
      <w:lvlText w:val="(%6)"/>
      <w:lvlJc w:val="left"/>
      <w:pPr>
        <w:tabs>
          <w:tab w:val="num" w:pos="4320"/>
        </w:tabs>
        <w:ind w:left="4320" w:hanging="360"/>
      </w:pPr>
    </w:lvl>
    <w:lvl w:ilvl="6" w:tplc="2D324124" w:tentative="1">
      <w:start w:val="1"/>
      <w:numFmt w:val="upperLetter"/>
      <w:lvlText w:val="(%7)"/>
      <w:lvlJc w:val="left"/>
      <w:pPr>
        <w:tabs>
          <w:tab w:val="num" w:pos="5040"/>
        </w:tabs>
        <w:ind w:left="5040" w:hanging="360"/>
      </w:pPr>
    </w:lvl>
    <w:lvl w:ilvl="7" w:tplc="937EB48E" w:tentative="1">
      <w:start w:val="1"/>
      <w:numFmt w:val="upperLetter"/>
      <w:lvlText w:val="(%8)"/>
      <w:lvlJc w:val="left"/>
      <w:pPr>
        <w:tabs>
          <w:tab w:val="num" w:pos="5760"/>
        </w:tabs>
        <w:ind w:left="5760" w:hanging="360"/>
      </w:pPr>
    </w:lvl>
    <w:lvl w:ilvl="8" w:tplc="4906C5AC" w:tentative="1">
      <w:start w:val="1"/>
      <w:numFmt w:val="upperLetter"/>
      <w:lvlText w:val="(%9)"/>
      <w:lvlJc w:val="left"/>
      <w:pPr>
        <w:tabs>
          <w:tab w:val="num" w:pos="6480"/>
        </w:tabs>
        <w:ind w:left="6480" w:hanging="360"/>
      </w:pPr>
    </w:lvl>
  </w:abstractNum>
  <w:num w:numId="1" w16cid:durableId="1458252418">
    <w:abstractNumId w:val="0"/>
  </w:num>
  <w:num w:numId="2" w16cid:durableId="1205757190">
    <w:abstractNumId w:val="6"/>
  </w:num>
  <w:num w:numId="3" w16cid:durableId="951783210">
    <w:abstractNumId w:val="2"/>
  </w:num>
  <w:num w:numId="4" w16cid:durableId="1758095381">
    <w:abstractNumId w:val="3"/>
  </w:num>
  <w:num w:numId="5" w16cid:durableId="444691949">
    <w:abstractNumId w:val="1"/>
  </w:num>
  <w:num w:numId="6" w16cid:durableId="1539975716">
    <w:abstractNumId w:val="7"/>
  </w:num>
  <w:num w:numId="7" w16cid:durableId="1895578756">
    <w:abstractNumId w:val="5"/>
  </w:num>
  <w:num w:numId="8" w16cid:durableId="9075018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ell Metabolism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55a5zxfnzzrekeft02pr99ud22ttz9dzwwf&quot;&gt;My EndNote Library&lt;record-ids&gt;&lt;item&gt;59&lt;/item&gt;&lt;item&gt;65&lt;/item&gt;&lt;item&gt;66&lt;/item&gt;&lt;/record-ids&gt;&lt;/item&gt;&lt;/Libraries&gt;"/>
  </w:docVars>
  <w:rsids>
    <w:rsidRoot w:val="00092380"/>
    <w:rsid w:val="0000007B"/>
    <w:rsid w:val="00075862"/>
    <w:rsid w:val="00092380"/>
    <w:rsid w:val="00163278"/>
    <w:rsid w:val="00192FD5"/>
    <w:rsid w:val="001F2270"/>
    <w:rsid w:val="00201EDC"/>
    <w:rsid w:val="00236761"/>
    <w:rsid w:val="00260D4C"/>
    <w:rsid w:val="00271609"/>
    <w:rsid w:val="00284778"/>
    <w:rsid w:val="002B2C55"/>
    <w:rsid w:val="002C60F5"/>
    <w:rsid w:val="00314A60"/>
    <w:rsid w:val="00316B58"/>
    <w:rsid w:val="00335FEC"/>
    <w:rsid w:val="003437DB"/>
    <w:rsid w:val="003447F7"/>
    <w:rsid w:val="00356CBA"/>
    <w:rsid w:val="003A0372"/>
    <w:rsid w:val="00436B59"/>
    <w:rsid w:val="004439CD"/>
    <w:rsid w:val="0044747A"/>
    <w:rsid w:val="0046179A"/>
    <w:rsid w:val="004807DD"/>
    <w:rsid w:val="004965A0"/>
    <w:rsid w:val="004B038D"/>
    <w:rsid w:val="004D4907"/>
    <w:rsid w:val="004F0624"/>
    <w:rsid w:val="004F14BE"/>
    <w:rsid w:val="00565E2B"/>
    <w:rsid w:val="005E20A0"/>
    <w:rsid w:val="00607561"/>
    <w:rsid w:val="00630636"/>
    <w:rsid w:val="006454F7"/>
    <w:rsid w:val="006E3328"/>
    <w:rsid w:val="006F16AC"/>
    <w:rsid w:val="007430BD"/>
    <w:rsid w:val="0081096E"/>
    <w:rsid w:val="00811AB5"/>
    <w:rsid w:val="00841FCB"/>
    <w:rsid w:val="00843771"/>
    <w:rsid w:val="00870552"/>
    <w:rsid w:val="008770C8"/>
    <w:rsid w:val="00883976"/>
    <w:rsid w:val="008865C8"/>
    <w:rsid w:val="00896DB6"/>
    <w:rsid w:val="008B2D6A"/>
    <w:rsid w:val="009130BE"/>
    <w:rsid w:val="00943949"/>
    <w:rsid w:val="00991943"/>
    <w:rsid w:val="009A47E2"/>
    <w:rsid w:val="009B1D55"/>
    <w:rsid w:val="009B7EA8"/>
    <w:rsid w:val="009C0D38"/>
    <w:rsid w:val="009D2F14"/>
    <w:rsid w:val="009D50CC"/>
    <w:rsid w:val="00A22261"/>
    <w:rsid w:val="00AC37D2"/>
    <w:rsid w:val="00AE7889"/>
    <w:rsid w:val="00B07E78"/>
    <w:rsid w:val="00B2451D"/>
    <w:rsid w:val="00B868B4"/>
    <w:rsid w:val="00C524E9"/>
    <w:rsid w:val="00D02673"/>
    <w:rsid w:val="00D25E2D"/>
    <w:rsid w:val="00D60799"/>
    <w:rsid w:val="00D61F83"/>
    <w:rsid w:val="00D62163"/>
    <w:rsid w:val="00D712CB"/>
    <w:rsid w:val="00D96E93"/>
    <w:rsid w:val="00DB40D9"/>
    <w:rsid w:val="00DE4FD1"/>
    <w:rsid w:val="00DF6DEB"/>
    <w:rsid w:val="00E04277"/>
    <w:rsid w:val="00E44D07"/>
    <w:rsid w:val="00E608C6"/>
    <w:rsid w:val="00EA1170"/>
    <w:rsid w:val="00F04981"/>
    <w:rsid w:val="00F3600E"/>
    <w:rsid w:val="00F75237"/>
    <w:rsid w:val="00FB7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B3821B"/>
  <w15:chartTrackingRefBased/>
  <w15:docId w15:val="{8F647F80-C923-4E07-A316-F2A09DB28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37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843771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8437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43771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236761"/>
    <w:pPr>
      <w:ind w:firstLineChars="200" w:firstLine="420"/>
    </w:pPr>
  </w:style>
  <w:style w:type="paragraph" w:styleId="NoSpacing">
    <w:name w:val="No Spacing"/>
    <w:uiPriority w:val="1"/>
    <w:qFormat/>
    <w:rsid w:val="00192FD5"/>
    <w:pPr>
      <w:widowControl w:val="0"/>
      <w:jc w:val="both"/>
    </w:pPr>
  </w:style>
  <w:style w:type="table" w:styleId="TableGrid">
    <w:name w:val="Table Grid"/>
    <w:basedOn w:val="TableNormal"/>
    <w:uiPriority w:val="39"/>
    <w:rsid w:val="008865C8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356CBA"/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EndNoteBibliographyTitle">
    <w:name w:val="EndNote Bibliography Title"/>
    <w:basedOn w:val="Normal"/>
    <w:link w:val="EndNoteBibliographyTitle0"/>
    <w:rsid w:val="00896DB6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896DB6"/>
    <w:rPr>
      <w:rFonts w:ascii="DengXian" w:eastAsia="DengXian" w:hAnsi="DengXian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896DB6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896DB6"/>
    <w:rPr>
      <w:rFonts w:ascii="DengXian" w:eastAsia="DengXian" w:hAnsi="DengXian"/>
      <w:noProof/>
      <w:sz w:val="20"/>
    </w:rPr>
  </w:style>
  <w:style w:type="paragraph" w:styleId="Revision">
    <w:name w:val="Revision"/>
    <w:hidden/>
    <w:uiPriority w:val="99"/>
    <w:semiHidden/>
    <w:rsid w:val="00314A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87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5335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6046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05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3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18740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0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63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3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9656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78615">
          <w:marLeft w:val="53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33864">
          <w:marLeft w:val="53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10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7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107677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536275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9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5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6</Pages>
  <Words>2036</Words>
  <Characters>11610</Characters>
  <Application>Microsoft Office Word</Application>
  <DocSecurity>0</DocSecurity>
  <Lines>96</Lines>
  <Paragraphs>27</Paragraphs>
  <ScaleCrop>false</ScaleCrop>
  <Company/>
  <LinksUpToDate>false</LinksUpToDate>
  <CharactersWithSpaces>13619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果果</dc:creator>
  <cp:keywords/>
  <dc:description/>
  <cp:lastModifiedBy>Chen Yong</cp:lastModifiedBy>
  <cp:revision>55</cp:revision>
  <dcterms:created xsi:type="dcterms:W3CDTF">2022-12-10T12:43:00Z</dcterms:created>
  <dcterms:modified xsi:type="dcterms:W3CDTF">2023-02-18T19:25:00Z</dcterms:modified>
</cp:coreProperties>
</file>