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Fig. 1.  pCO2 levels in the blood before, during, and after hyperventilation. The total number of points per animal depended on its condition - some experiments were decided to finish earlier. pCO2 levels are normalized against the first measurement.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1200" cy="38227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Fig. 2.  Distribution of EMG signal per animal.</w:t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1200" cy="54229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42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Supplemental Fig. 3. Experiment outside of the MRI chamber. The start and end of normoventilation are denoted by vertical lines. Dots are the EMG score calculated every 1s. 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354330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80400" y="2008350"/>
                          <a:ext cx="5731200" cy="3543300"/>
                          <a:chOff x="2480400" y="2008350"/>
                          <a:chExt cx="5731200" cy="3543300"/>
                        </a:xfrm>
                      </wpg:grpSpPr>
                      <wpg:grpSp>
                        <wpg:cNvGrpSpPr/>
                        <wpg:grpSpPr>
                          <a:xfrm>
                            <a:off x="2480400" y="2008350"/>
                            <a:ext cx="5731200" cy="3543300"/>
                            <a:chOff x="2480400" y="2008350"/>
                            <a:chExt cx="5731200" cy="3543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80400" y="2008350"/>
                              <a:ext cx="5731200" cy="3543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80400" y="2008350"/>
                              <a:ext cx="5731200" cy="3543300"/>
                              <a:chOff x="152400" y="152400"/>
                              <a:chExt cx="6667500" cy="41148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52400" y="152400"/>
                                <a:ext cx="6667500" cy="411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52400" y="152400"/>
                                <a:ext cx="6667500" cy="411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CnPr/>
                            <wps:spPr>
                              <a:xfrm>
                                <a:off x="1755275" y="679125"/>
                                <a:ext cx="0" cy="2482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089425" y="679125"/>
                                <a:ext cx="0" cy="2482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3543300"/>
                <wp:effectExtent b="0" l="0" r="0" 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543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Supplemental Fig. 4. Normalized values for EMG score, inorganic phosphate levels, and pCO</w:t>
      </w:r>
      <w:r w:rsidDel="00000000" w:rsidR="00000000" w:rsidRPr="00000000">
        <w:rPr>
          <w:b w:val="1"/>
          <w:vertAlign w:val="subscript"/>
          <w:rtl w:val="0"/>
        </w:rPr>
        <w:t xml:space="preserve">2 </w:t>
      </w:r>
      <w:r w:rsidDel="00000000" w:rsidR="00000000" w:rsidRPr="00000000">
        <w:rPr>
          <w:b w:val="1"/>
          <w:rtl w:val="0"/>
        </w:rPr>
        <w:t xml:space="preserve">for each animal separately. The beginning and end of hyperventilation are marked in vertical 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36195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1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