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7EBCCF" w14:textId="77777777" w:rsidR="0059082E" w:rsidRPr="000256B6" w:rsidRDefault="0059082E" w:rsidP="0059082E">
      <w:pPr>
        <w:autoSpaceDE w:val="0"/>
        <w:autoSpaceDN w:val="0"/>
        <w:adjustRightInd w:val="0"/>
        <w:spacing w:beforeLines="50" w:before="120" w:line="360" w:lineRule="auto"/>
        <w:rPr>
          <w:rFonts w:ascii="Times New Roman" w:hAnsi="Times New Roman" w:cs="Times New Roman"/>
          <w:b/>
          <w:bCs/>
        </w:rPr>
      </w:pPr>
      <w:r w:rsidRPr="000256B6">
        <w:rPr>
          <w:rFonts w:ascii="Times New Roman" w:hAnsi="Times New Roman" w:cs="Times New Roman"/>
          <w:b/>
          <w:bCs/>
        </w:rPr>
        <w:t xml:space="preserve">Table 1 | </w:t>
      </w:r>
      <w:r w:rsidRPr="000256B6">
        <w:rPr>
          <w:rFonts w:ascii="Times New Roman" w:hAnsi="Times New Roman" w:cs="Times New Roman"/>
          <w:b/>
          <w:bCs/>
          <w:color w:val="000000" w:themeColor="text1"/>
          <w:kern w:val="0"/>
          <w:szCs w:val="21"/>
        </w:rPr>
        <w:t xml:space="preserve">Optimization of reaction conditions for </w:t>
      </w:r>
      <w:bookmarkStart w:id="0" w:name="OLE_LINK1"/>
      <w:r w:rsidRPr="000256B6">
        <w:rPr>
          <w:rFonts w:ascii="Times New Roman" w:hAnsi="Times New Roman" w:cs="Times New Roman"/>
          <w:b/>
          <w:bCs/>
          <w:color w:val="000000" w:themeColor="text1"/>
          <w:kern w:val="0"/>
          <w:szCs w:val="21"/>
        </w:rPr>
        <w:t>C-H/C-S activation</w:t>
      </w:r>
      <w:bookmarkEnd w:id="0"/>
      <w:r w:rsidRPr="000256B6">
        <w:rPr>
          <w:rFonts w:ascii="Times New Roman" w:hAnsi="Times New Roman" w:cs="Times New Roman"/>
          <w:b/>
          <w:bCs/>
          <w:color w:val="000000" w:themeColor="text1"/>
          <w:kern w:val="0"/>
          <w:szCs w:val="21"/>
        </w:rPr>
        <w:t xml:space="preserve"> reaction</w:t>
      </w:r>
      <w:r w:rsidRPr="000256B6">
        <w:rPr>
          <w:rFonts w:ascii="Times New Roman" w:hAnsi="Times New Roman" w:cs="Times New Roman"/>
          <w:color w:val="000000" w:themeColor="text1"/>
          <w:kern w:val="0"/>
          <w:szCs w:val="21"/>
          <w:vertAlign w:val="superscript"/>
        </w:rPr>
        <w:t>a</w:t>
      </w:r>
    </w:p>
    <w:p w14:paraId="041E403F" w14:textId="77777777" w:rsidR="0059082E" w:rsidRPr="000256B6" w:rsidRDefault="0059082E" w:rsidP="0059082E">
      <w:pPr>
        <w:autoSpaceDE w:val="0"/>
        <w:autoSpaceDN w:val="0"/>
        <w:adjustRightInd w:val="0"/>
        <w:spacing w:after="240"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  <w:r w:rsidRPr="000256B6">
        <w:rPr>
          <w:kern w:val="0"/>
        </w:rPr>
        <w:object w:dxaOrig="10525" w:dyaOrig="2164" w14:anchorId="361F3D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1.8pt;height:57.6pt;mso-position-vertical:absolute" o:ole="">
            <v:imagedata r:id="rId4" o:title=""/>
          </v:shape>
          <o:OLEObject Type="Embed" ProgID="ChemDraw.Document.6.0" ShapeID="_x0000_i1025" DrawAspect="Content" ObjectID="_1740317827" r:id="rId5"/>
        </w:object>
      </w:r>
    </w:p>
    <w:tbl>
      <w:tblPr>
        <w:tblStyle w:val="ListTable6Colorful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50"/>
        <w:gridCol w:w="1944"/>
        <w:gridCol w:w="2268"/>
        <w:gridCol w:w="1559"/>
        <w:gridCol w:w="1276"/>
      </w:tblGrid>
      <w:tr w:rsidR="0059082E" w:rsidRPr="000256B6" w14:paraId="79DFC7EE" w14:textId="77777777" w:rsidTr="00412C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17936BB5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bookmarkStart w:id="1" w:name="OLE_LINK5"/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Entry</w:t>
            </w:r>
          </w:p>
        </w:tc>
        <w:tc>
          <w:tcPr>
            <w:tcW w:w="1944" w:type="dxa"/>
          </w:tcPr>
          <w:p w14:paraId="0D97C8C9" w14:textId="77777777" w:rsidR="0059082E" w:rsidRPr="000256B6" w:rsidRDefault="0059082E" w:rsidP="00412CF6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Thioether Source</w:t>
            </w:r>
          </w:p>
        </w:tc>
        <w:tc>
          <w:tcPr>
            <w:tcW w:w="2268" w:type="dxa"/>
          </w:tcPr>
          <w:p w14:paraId="12FE8C2E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[Pd] (mol%)</w:t>
            </w:r>
          </w:p>
        </w:tc>
        <w:tc>
          <w:tcPr>
            <w:tcW w:w="1559" w:type="dxa"/>
          </w:tcPr>
          <w:p w14:paraId="4A548D4A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[Cu] (mol%)</w:t>
            </w:r>
          </w:p>
        </w:tc>
        <w:tc>
          <w:tcPr>
            <w:tcW w:w="1276" w:type="dxa"/>
          </w:tcPr>
          <w:p w14:paraId="28BD1BC9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vertAlign w:val="superscript"/>
              </w:rPr>
            </w:pP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Yield</w:t>
            </w: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vertAlign w:val="superscript"/>
              </w:rPr>
              <w:t>b</w:t>
            </w: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 xml:space="preserve"> (%)</w:t>
            </w:r>
          </w:p>
        </w:tc>
      </w:tr>
      <w:tr w:rsidR="0059082E" w:rsidRPr="000256B6" w14:paraId="0C11E442" w14:textId="77777777" w:rsidTr="00412C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1905F478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1944" w:type="dxa"/>
          </w:tcPr>
          <w:p w14:paraId="14804E94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1a</w:t>
            </w:r>
          </w:p>
        </w:tc>
        <w:tc>
          <w:tcPr>
            <w:tcW w:w="2268" w:type="dxa"/>
          </w:tcPr>
          <w:p w14:paraId="195332F9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Herrmann’s Cat. (5)</w:t>
            </w:r>
          </w:p>
        </w:tc>
        <w:tc>
          <w:tcPr>
            <w:tcW w:w="1559" w:type="dxa"/>
          </w:tcPr>
          <w:p w14:paraId="27D73E92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None</w:t>
            </w:r>
          </w:p>
        </w:tc>
        <w:tc>
          <w:tcPr>
            <w:tcW w:w="1276" w:type="dxa"/>
          </w:tcPr>
          <w:p w14:paraId="07881ECA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45</w:t>
            </w:r>
          </w:p>
        </w:tc>
      </w:tr>
      <w:tr w:rsidR="0059082E" w:rsidRPr="000256B6" w14:paraId="14C976CD" w14:textId="77777777" w:rsidTr="00412C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256E6649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2</w:t>
            </w:r>
          </w:p>
        </w:tc>
        <w:tc>
          <w:tcPr>
            <w:tcW w:w="1944" w:type="dxa"/>
          </w:tcPr>
          <w:p w14:paraId="1756BBBD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1a</w:t>
            </w:r>
          </w:p>
        </w:tc>
        <w:tc>
          <w:tcPr>
            <w:tcW w:w="2268" w:type="dxa"/>
          </w:tcPr>
          <w:p w14:paraId="756D047E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Herrmann’s Cat. (5)</w:t>
            </w:r>
          </w:p>
        </w:tc>
        <w:tc>
          <w:tcPr>
            <w:tcW w:w="1559" w:type="dxa"/>
          </w:tcPr>
          <w:p w14:paraId="725256DF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CuI (20)</w:t>
            </w:r>
          </w:p>
        </w:tc>
        <w:tc>
          <w:tcPr>
            <w:tcW w:w="1276" w:type="dxa"/>
          </w:tcPr>
          <w:p w14:paraId="5BDBA804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78</w:t>
            </w:r>
          </w:p>
        </w:tc>
      </w:tr>
      <w:tr w:rsidR="0059082E" w:rsidRPr="000256B6" w14:paraId="60C6F94D" w14:textId="77777777" w:rsidTr="00412C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0FDF45AE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3</w:t>
            </w:r>
          </w:p>
        </w:tc>
        <w:tc>
          <w:tcPr>
            <w:tcW w:w="1944" w:type="dxa"/>
          </w:tcPr>
          <w:p w14:paraId="0380E853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1a</w:t>
            </w:r>
          </w:p>
        </w:tc>
        <w:tc>
          <w:tcPr>
            <w:tcW w:w="2268" w:type="dxa"/>
          </w:tcPr>
          <w:p w14:paraId="035D6FE7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Pd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(dba)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3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(5)</w:t>
            </w:r>
          </w:p>
        </w:tc>
        <w:tc>
          <w:tcPr>
            <w:tcW w:w="1559" w:type="dxa"/>
          </w:tcPr>
          <w:p w14:paraId="329AA9CA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CuI (20)</w:t>
            </w:r>
          </w:p>
        </w:tc>
        <w:tc>
          <w:tcPr>
            <w:tcW w:w="1276" w:type="dxa"/>
          </w:tcPr>
          <w:p w14:paraId="72707F0D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91 (85)</w:t>
            </w:r>
            <w:r w:rsidRPr="000256B6">
              <w:rPr>
                <w:rFonts w:ascii="Times New Roman" w:hAnsi="Times New Roman" w:cs="Times New Roman" w:hint="eastAsia"/>
                <w:kern w:val="0"/>
                <w:sz w:val="24"/>
                <w:szCs w:val="24"/>
                <w:vertAlign w:val="superscript"/>
              </w:rPr>
              <w:t>c</w:t>
            </w:r>
          </w:p>
        </w:tc>
      </w:tr>
      <w:tr w:rsidR="0059082E" w:rsidRPr="000256B6" w14:paraId="40AB0409" w14:textId="77777777" w:rsidTr="00412C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4C56E83F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4</w:t>
            </w:r>
          </w:p>
        </w:tc>
        <w:tc>
          <w:tcPr>
            <w:tcW w:w="1944" w:type="dxa"/>
          </w:tcPr>
          <w:p w14:paraId="3D189A98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1a</w:t>
            </w:r>
          </w:p>
        </w:tc>
        <w:tc>
          <w:tcPr>
            <w:tcW w:w="2268" w:type="dxa"/>
          </w:tcPr>
          <w:p w14:paraId="73EF8DA9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 w:hint="eastAsia"/>
                <w:sz w:val="24"/>
                <w:szCs w:val="24"/>
              </w:rPr>
              <w:t>Pd(</w:t>
            </w:r>
            <w:r w:rsidRPr="000256B6">
              <w:rPr>
                <w:rFonts w:ascii="Times New Roman" w:hAnsi="Times New Roman" w:cs="Times New Roman"/>
                <w:sz w:val="24"/>
                <w:szCs w:val="24"/>
              </w:rPr>
              <w:t>MeCN)</w:t>
            </w:r>
            <w:r w:rsidRPr="000256B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256B6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 w:rsidRPr="000256B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(10)</w:t>
            </w:r>
          </w:p>
        </w:tc>
        <w:tc>
          <w:tcPr>
            <w:tcW w:w="1559" w:type="dxa"/>
          </w:tcPr>
          <w:p w14:paraId="481A816F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CuI (20)</w:t>
            </w:r>
          </w:p>
        </w:tc>
        <w:tc>
          <w:tcPr>
            <w:tcW w:w="1276" w:type="dxa"/>
          </w:tcPr>
          <w:p w14:paraId="3BE44EAD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8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59082E" w:rsidRPr="000256B6" w14:paraId="7DA2A25B" w14:textId="77777777" w:rsidTr="00412C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7BC6A827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5</w:t>
            </w:r>
          </w:p>
        </w:tc>
        <w:tc>
          <w:tcPr>
            <w:tcW w:w="1944" w:type="dxa"/>
          </w:tcPr>
          <w:p w14:paraId="0F2DED09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1a</w:t>
            </w:r>
          </w:p>
        </w:tc>
        <w:tc>
          <w:tcPr>
            <w:tcW w:w="2268" w:type="dxa"/>
          </w:tcPr>
          <w:p w14:paraId="6FEB3853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sz w:val="24"/>
                <w:szCs w:val="24"/>
              </w:rPr>
              <w:t>Pd(P</w:t>
            </w:r>
            <w:r w:rsidRPr="000256B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t</w:t>
            </w:r>
            <w:r w:rsidRPr="000256B6">
              <w:rPr>
                <w:rFonts w:ascii="Times New Roman" w:hAnsi="Times New Roman" w:cs="Times New Roman"/>
                <w:sz w:val="24"/>
                <w:szCs w:val="24"/>
              </w:rPr>
              <w:t>Bu</w:t>
            </w:r>
            <w:r w:rsidRPr="000256B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256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256B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(10)</w:t>
            </w:r>
          </w:p>
        </w:tc>
        <w:tc>
          <w:tcPr>
            <w:tcW w:w="1559" w:type="dxa"/>
          </w:tcPr>
          <w:p w14:paraId="2DDCC1FD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CuI (20)</w:t>
            </w:r>
          </w:p>
        </w:tc>
        <w:tc>
          <w:tcPr>
            <w:tcW w:w="1276" w:type="dxa"/>
          </w:tcPr>
          <w:p w14:paraId="090AC7E0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7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59082E" w:rsidRPr="000256B6" w14:paraId="417C720E" w14:textId="77777777" w:rsidTr="00412C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633B6FEC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6</w:t>
            </w:r>
          </w:p>
        </w:tc>
        <w:tc>
          <w:tcPr>
            <w:tcW w:w="1944" w:type="dxa"/>
          </w:tcPr>
          <w:p w14:paraId="7A419C1A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1a</w:t>
            </w:r>
          </w:p>
        </w:tc>
        <w:tc>
          <w:tcPr>
            <w:tcW w:w="2268" w:type="dxa"/>
          </w:tcPr>
          <w:p w14:paraId="420E9CD0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Pd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(dba)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3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(2)</w:t>
            </w:r>
          </w:p>
        </w:tc>
        <w:tc>
          <w:tcPr>
            <w:tcW w:w="1559" w:type="dxa"/>
          </w:tcPr>
          <w:p w14:paraId="45A2ABB5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CuI (20)</w:t>
            </w:r>
          </w:p>
        </w:tc>
        <w:tc>
          <w:tcPr>
            <w:tcW w:w="1276" w:type="dxa"/>
          </w:tcPr>
          <w:p w14:paraId="0CA217EC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98</w:t>
            </w:r>
          </w:p>
        </w:tc>
      </w:tr>
      <w:tr w:rsidR="0059082E" w:rsidRPr="000256B6" w14:paraId="6B6D90B9" w14:textId="77777777" w:rsidTr="00412C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5E305B33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944" w:type="dxa"/>
          </w:tcPr>
          <w:p w14:paraId="0027A4C0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 w:hint="eastAsia"/>
                <w:b/>
                <w:bCs/>
                <w:kern w:val="0"/>
                <w:sz w:val="24"/>
                <w:szCs w:val="24"/>
              </w:rPr>
              <w:t>1a</w:t>
            </w:r>
          </w:p>
        </w:tc>
        <w:tc>
          <w:tcPr>
            <w:tcW w:w="2268" w:type="dxa"/>
          </w:tcPr>
          <w:p w14:paraId="0BE7F879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Pd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(dba)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3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(0.5)</w:t>
            </w:r>
          </w:p>
        </w:tc>
        <w:tc>
          <w:tcPr>
            <w:tcW w:w="1559" w:type="dxa"/>
          </w:tcPr>
          <w:p w14:paraId="5D33FF91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CuI (20)</w:t>
            </w:r>
          </w:p>
        </w:tc>
        <w:tc>
          <w:tcPr>
            <w:tcW w:w="1276" w:type="dxa"/>
          </w:tcPr>
          <w:p w14:paraId="2EE03C14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9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59082E" w:rsidRPr="000256B6" w14:paraId="51ED7C8E" w14:textId="77777777" w:rsidTr="00412C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6555F1A8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8</w:t>
            </w:r>
          </w:p>
        </w:tc>
        <w:tc>
          <w:tcPr>
            <w:tcW w:w="1944" w:type="dxa"/>
          </w:tcPr>
          <w:p w14:paraId="2D249BF7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1b</w:t>
            </w:r>
          </w:p>
        </w:tc>
        <w:tc>
          <w:tcPr>
            <w:tcW w:w="2268" w:type="dxa"/>
          </w:tcPr>
          <w:p w14:paraId="708015B7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Pd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(dba)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3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(5)</w:t>
            </w:r>
          </w:p>
        </w:tc>
        <w:tc>
          <w:tcPr>
            <w:tcW w:w="1559" w:type="dxa"/>
          </w:tcPr>
          <w:p w14:paraId="7CCDF627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CuI (20)</w:t>
            </w:r>
          </w:p>
        </w:tc>
        <w:tc>
          <w:tcPr>
            <w:tcW w:w="1276" w:type="dxa"/>
          </w:tcPr>
          <w:p w14:paraId="04692CEF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4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</w:tr>
      <w:tr w:rsidR="0059082E" w:rsidRPr="000256B6" w14:paraId="1E36980B" w14:textId="77777777" w:rsidTr="00412C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1ED0221D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9</w:t>
            </w:r>
          </w:p>
        </w:tc>
        <w:tc>
          <w:tcPr>
            <w:tcW w:w="1944" w:type="dxa"/>
          </w:tcPr>
          <w:p w14:paraId="31B973CD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1b</w:t>
            </w:r>
          </w:p>
        </w:tc>
        <w:tc>
          <w:tcPr>
            <w:tcW w:w="2268" w:type="dxa"/>
          </w:tcPr>
          <w:p w14:paraId="329C3AF8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 w:hint="eastAsia"/>
                <w:sz w:val="24"/>
                <w:szCs w:val="24"/>
              </w:rPr>
              <w:t>Pd(</w:t>
            </w:r>
            <w:r w:rsidRPr="000256B6">
              <w:rPr>
                <w:rFonts w:ascii="Times New Roman" w:hAnsi="Times New Roman" w:cs="Times New Roman"/>
                <w:sz w:val="24"/>
                <w:szCs w:val="24"/>
              </w:rPr>
              <w:t>MeCN)</w:t>
            </w:r>
            <w:r w:rsidRPr="000256B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256B6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 w:rsidRPr="000256B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256B6">
              <w:rPr>
                <w:rFonts w:ascii="Times New Roman" w:hAnsi="Times New Roman" w:cs="Times New Roman"/>
                <w:sz w:val="24"/>
                <w:szCs w:val="24"/>
              </w:rPr>
              <w:t xml:space="preserve"> (10)</w:t>
            </w:r>
          </w:p>
        </w:tc>
        <w:tc>
          <w:tcPr>
            <w:tcW w:w="1559" w:type="dxa"/>
          </w:tcPr>
          <w:p w14:paraId="2E8EF81D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CuI (20)</w:t>
            </w:r>
          </w:p>
        </w:tc>
        <w:tc>
          <w:tcPr>
            <w:tcW w:w="1276" w:type="dxa"/>
          </w:tcPr>
          <w:p w14:paraId="3DD136F8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7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7</w:t>
            </w:r>
          </w:p>
        </w:tc>
      </w:tr>
      <w:tr w:rsidR="0059082E" w:rsidRPr="000256B6" w14:paraId="2132F459" w14:textId="77777777" w:rsidTr="00412C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2F73B092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10</w:t>
            </w:r>
          </w:p>
        </w:tc>
        <w:tc>
          <w:tcPr>
            <w:tcW w:w="1944" w:type="dxa"/>
          </w:tcPr>
          <w:p w14:paraId="04498AF6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1b</w:t>
            </w:r>
          </w:p>
        </w:tc>
        <w:tc>
          <w:tcPr>
            <w:tcW w:w="2268" w:type="dxa"/>
          </w:tcPr>
          <w:p w14:paraId="1464C282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sz w:val="24"/>
                <w:szCs w:val="24"/>
              </w:rPr>
              <w:t>Pd(P</w:t>
            </w:r>
            <w:r w:rsidRPr="000256B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t</w:t>
            </w:r>
            <w:r w:rsidRPr="000256B6">
              <w:rPr>
                <w:rFonts w:ascii="Times New Roman" w:hAnsi="Times New Roman" w:cs="Times New Roman"/>
                <w:sz w:val="24"/>
                <w:szCs w:val="24"/>
              </w:rPr>
              <w:t>Bu</w:t>
            </w:r>
            <w:r w:rsidRPr="000256B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256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256B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256B6">
              <w:rPr>
                <w:rFonts w:ascii="Times New Roman" w:hAnsi="Times New Roman" w:cs="Times New Roman"/>
                <w:sz w:val="24"/>
                <w:szCs w:val="24"/>
              </w:rPr>
              <w:t xml:space="preserve"> (10)</w:t>
            </w:r>
          </w:p>
        </w:tc>
        <w:tc>
          <w:tcPr>
            <w:tcW w:w="1559" w:type="dxa"/>
          </w:tcPr>
          <w:p w14:paraId="78869F1C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sz w:val="24"/>
                <w:szCs w:val="24"/>
              </w:rPr>
              <w:t>CuI (20)</w:t>
            </w:r>
          </w:p>
        </w:tc>
        <w:tc>
          <w:tcPr>
            <w:tcW w:w="1276" w:type="dxa"/>
          </w:tcPr>
          <w:p w14:paraId="5F92E39D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</w:pPr>
            <w:r w:rsidRPr="000256B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8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8 (86)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c</w:t>
            </w:r>
          </w:p>
        </w:tc>
      </w:tr>
      <w:tr w:rsidR="0059082E" w:rsidRPr="000256B6" w14:paraId="135D57F8" w14:textId="77777777" w:rsidTr="00412C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</w:tcPr>
          <w:p w14:paraId="3AD4CCE7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11</w:t>
            </w:r>
          </w:p>
        </w:tc>
        <w:tc>
          <w:tcPr>
            <w:tcW w:w="1944" w:type="dxa"/>
          </w:tcPr>
          <w:p w14:paraId="10C59A34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1b</w:t>
            </w:r>
          </w:p>
        </w:tc>
        <w:tc>
          <w:tcPr>
            <w:tcW w:w="2268" w:type="dxa"/>
          </w:tcPr>
          <w:p w14:paraId="07B98008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sz w:val="24"/>
                <w:szCs w:val="24"/>
              </w:rPr>
              <w:t>Pd(P</w:t>
            </w:r>
            <w:r w:rsidRPr="000256B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t</w:t>
            </w:r>
            <w:r w:rsidRPr="000256B6">
              <w:rPr>
                <w:rFonts w:ascii="Times New Roman" w:hAnsi="Times New Roman" w:cs="Times New Roman"/>
                <w:sz w:val="24"/>
                <w:szCs w:val="24"/>
              </w:rPr>
              <w:t>Bu</w:t>
            </w:r>
            <w:r w:rsidRPr="000256B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256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256B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256B6">
              <w:rPr>
                <w:rFonts w:ascii="Times New Roman" w:hAnsi="Times New Roman" w:cs="Times New Roman"/>
                <w:sz w:val="24"/>
                <w:szCs w:val="24"/>
              </w:rPr>
              <w:t xml:space="preserve"> (5)</w:t>
            </w:r>
          </w:p>
        </w:tc>
        <w:tc>
          <w:tcPr>
            <w:tcW w:w="1559" w:type="dxa"/>
          </w:tcPr>
          <w:p w14:paraId="72715CCA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sz w:val="24"/>
                <w:szCs w:val="24"/>
              </w:rPr>
              <w:t>CuI (20)</w:t>
            </w:r>
          </w:p>
        </w:tc>
        <w:tc>
          <w:tcPr>
            <w:tcW w:w="1276" w:type="dxa"/>
          </w:tcPr>
          <w:p w14:paraId="02019FD5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7</w:t>
            </w:r>
          </w:p>
        </w:tc>
      </w:tr>
    </w:tbl>
    <w:p w14:paraId="7F04714D" w14:textId="77777777" w:rsidR="0059082E" w:rsidRPr="000256B6" w:rsidRDefault="0059082E" w:rsidP="0059082E">
      <w:pPr>
        <w:autoSpaceDE w:val="0"/>
        <w:autoSpaceDN w:val="0"/>
        <w:adjustRightInd w:val="0"/>
        <w:spacing w:afterLines="50" w:after="120"/>
        <w:rPr>
          <w:rFonts w:ascii="Times New Roman" w:eastAsia="苹方-简" w:hAnsi="Times New Roman" w:cs="Times New Roman"/>
          <w:szCs w:val="21"/>
        </w:rPr>
      </w:pPr>
      <w:bookmarkStart w:id="2" w:name="OLE_LINK7"/>
      <w:bookmarkEnd w:id="1"/>
      <w:r w:rsidRPr="000256B6">
        <w:rPr>
          <w:rFonts w:ascii="Times New Roman" w:eastAsia="苹方-简" w:hAnsi="Times New Roman" w:cs="Times New Roman"/>
          <w:szCs w:val="21"/>
          <w:vertAlign w:val="superscript"/>
        </w:rPr>
        <w:t>a</w:t>
      </w:r>
      <w:bookmarkStart w:id="3" w:name="_Hlk104120840"/>
      <w:r w:rsidRPr="000256B6">
        <w:rPr>
          <w:rFonts w:ascii="Times New Roman" w:eastAsia="苹方-简" w:hAnsi="Times New Roman" w:cs="Times New Roman"/>
          <w:szCs w:val="21"/>
        </w:rPr>
        <w:t xml:space="preserve">Reaction conditions: </w:t>
      </w:r>
      <w:r w:rsidRPr="000256B6">
        <w:rPr>
          <w:rFonts w:ascii="Times New Roman" w:eastAsia="苹方-简" w:hAnsi="Times New Roman" w:cs="Times New Roman"/>
          <w:b/>
          <w:bCs/>
          <w:szCs w:val="21"/>
        </w:rPr>
        <w:t xml:space="preserve">1a </w:t>
      </w:r>
      <w:r w:rsidRPr="000256B6">
        <w:rPr>
          <w:rFonts w:ascii="Times New Roman" w:eastAsia="苹方-简" w:hAnsi="Times New Roman" w:cs="Times New Roman"/>
          <w:szCs w:val="21"/>
        </w:rPr>
        <w:t>or</w:t>
      </w:r>
      <w:r w:rsidRPr="000256B6">
        <w:rPr>
          <w:rFonts w:ascii="Times New Roman" w:eastAsia="苹方-简" w:hAnsi="Times New Roman" w:cs="Times New Roman"/>
          <w:b/>
          <w:bCs/>
          <w:szCs w:val="21"/>
        </w:rPr>
        <w:t xml:space="preserve"> 1b</w:t>
      </w:r>
      <w:r w:rsidRPr="000256B6">
        <w:rPr>
          <w:rFonts w:ascii="Times New Roman" w:eastAsia="苹方-简" w:hAnsi="Times New Roman" w:cs="Times New Roman"/>
          <w:szCs w:val="21"/>
        </w:rPr>
        <w:t xml:space="preserve"> (1.0 equiv, 0.20 mmol), </w:t>
      </w:r>
      <w:r w:rsidRPr="000256B6">
        <w:rPr>
          <w:rFonts w:ascii="Times New Roman" w:eastAsia="苹方-简" w:hAnsi="Times New Roman" w:cs="Times New Roman"/>
          <w:b/>
          <w:bCs/>
          <w:szCs w:val="21"/>
        </w:rPr>
        <w:t>2</w:t>
      </w:r>
      <w:r w:rsidRPr="000256B6">
        <w:rPr>
          <w:rFonts w:ascii="Times New Roman" w:eastAsia="苹方-简" w:hAnsi="Times New Roman" w:cs="Times New Roman"/>
          <w:szCs w:val="21"/>
        </w:rPr>
        <w:t xml:space="preserve"> (1.0 equiv</w:t>
      </w:r>
      <w:r w:rsidRPr="000256B6">
        <w:rPr>
          <w:rFonts w:ascii="Times New Roman" w:eastAsia="苹方-简" w:hAnsi="Times New Roman" w:cs="Times New Roman" w:hint="eastAsia"/>
          <w:szCs w:val="21"/>
        </w:rPr>
        <w:t>,</w:t>
      </w:r>
      <w:r w:rsidRPr="000256B6">
        <w:rPr>
          <w:rFonts w:ascii="Times New Roman" w:eastAsia="苹方-简" w:hAnsi="Times New Roman" w:cs="Times New Roman"/>
          <w:szCs w:val="21"/>
        </w:rPr>
        <w:t xml:space="preserve"> 0.20 mmol), [P</w:t>
      </w:r>
      <w:r w:rsidRPr="000256B6">
        <w:rPr>
          <w:rFonts w:ascii="Times New Roman" w:eastAsia="苹方-简" w:hAnsi="Times New Roman" w:cs="Times New Roman" w:hint="eastAsia"/>
          <w:szCs w:val="21"/>
        </w:rPr>
        <w:t>d</w:t>
      </w:r>
      <w:r w:rsidRPr="000256B6">
        <w:rPr>
          <w:rFonts w:ascii="Times New Roman" w:eastAsia="苹方-简" w:hAnsi="Times New Roman" w:cs="Times New Roman"/>
          <w:szCs w:val="21"/>
        </w:rPr>
        <w:t xml:space="preserve">] (4-10 mol%), [Cu] (20 mol%), </w:t>
      </w:r>
      <w:r w:rsidRPr="000256B6">
        <w:rPr>
          <w:rFonts w:ascii="Times New Roman" w:eastAsia="苹方-简" w:hAnsi="Times New Roman" w:cs="Times New Roman" w:hint="eastAsia"/>
          <w:szCs w:val="21"/>
        </w:rPr>
        <w:t>dcype</w:t>
      </w:r>
      <w:r w:rsidRPr="000256B6">
        <w:rPr>
          <w:rFonts w:ascii="Times New Roman" w:eastAsia="苹方-简" w:hAnsi="Times New Roman" w:cs="Times New Roman"/>
          <w:szCs w:val="21"/>
        </w:rPr>
        <w:t xml:space="preserve"> ([Pd]</w:t>
      </w:r>
      <w:r w:rsidRPr="000256B6">
        <w:rPr>
          <w:rFonts w:ascii="Times New Roman" w:eastAsia="苹方-简" w:hAnsi="Times New Roman" w:cs="Times New Roman" w:hint="eastAsia"/>
          <w:szCs w:val="21"/>
        </w:rPr>
        <w:t>:</w:t>
      </w:r>
      <w:r w:rsidRPr="000256B6">
        <w:rPr>
          <w:rFonts w:ascii="Times New Roman" w:eastAsia="苹方-简" w:hAnsi="Times New Roman" w:cs="Times New Roman"/>
          <w:szCs w:val="21"/>
        </w:rPr>
        <w:t xml:space="preserve"> [P] = 1: 2), KO</w:t>
      </w:r>
      <w:r w:rsidRPr="000256B6">
        <w:rPr>
          <w:rFonts w:ascii="Times New Roman" w:eastAsia="苹方-简" w:hAnsi="Times New Roman" w:cs="Times New Roman"/>
          <w:i/>
          <w:iCs/>
          <w:szCs w:val="21"/>
          <w:vertAlign w:val="superscript"/>
        </w:rPr>
        <w:t>t</w:t>
      </w:r>
      <w:r w:rsidRPr="000256B6">
        <w:rPr>
          <w:rFonts w:ascii="Times New Roman" w:eastAsia="苹方-简" w:hAnsi="Times New Roman" w:cs="Times New Roman"/>
          <w:szCs w:val="21"/>
        </w:rPr>
        <w:t>Bu (</w:t>
      </w:r>
      <w:r w:rsidRPr="000256B6">
        <w:rPr>
          <w:rFonts w:ascii="Times New Roman" w:eastAsia="苹方-简" w:hAnsi="Times New Roman" w:cs="Times New Roman"/>
          <w:b/>
          <w:bCs/>
          <w:szCs w:val="21"/>
        </w:rPr>
        <w:t>1a</w:t>
      </w:r>
      <w:r w:rsidRPr="000256B6">
        <w:rPr>
          <w:rFonts w:ascii="Times New Roman" w:eastAsia="苹方-简" w:hAnsi="Times New Roman" w:cs="Times New Roman"/>
          <w:szCs w:val="21"/>
        </w:rPr>
        <w:t>, 5</w:t>
      </w:r>
      <w:r w:rsidRPr="000256B6">
        <w:rPr>
          <w:rFonts w:ascii="Times New Roman" w:eastAsia="苹方-简" w:hAnsi="Times New Roman" w:cs="Times New Roman" w:hint="eastAsia"/>
          <w:szCs w:val="21"/>
        </w:rPr>
        <w:t>.</w:t>
      </w:r>
      <w:r w:rsidRPr="000256B6">
        <w:rPr>
          <w:rFonts w:ascii="Times New Roman" w:eastAsia="苹方-简" w:hAnsi="Times New Roman" w:cs="Times New Roman"/>
          <w:szCs w:val="21"/>
        </w:rPr>
        <w:t xml:space="preserve">0 equiv; </w:t>
      </w:r>
      <w:r w:rsidRPr="000256B6">
        <w:rPr>
          <w:rFonts w:ascii="Times New Roman" w:eastAsia="苹方-简" w:hAnsi="Times New Roman" w:cs="Times New Roman"/>
          <w:b/>
          <w:bCs/>
          <w:szCs w:val="21"/>
        </w:rPr>
        <w:t>1b</w:t>
      </w:r>
      <w:r w:rsidRPr="000256B6">
        <w:rPr>
          <w:rFonts w:ascii="Times New Roman" w:eastAsia="苹方-简" w:hAnsi="Times New Roman" w:cs="Times New Roman"/>
          <w:szCs w:val="21"/>
        </w:rPr>
        <w:t>, 3.</w:t>
      </w:r>
      <w:r w:rsidRPr="000256B6">
        <w:rPr>
          <w:rFonts w:ascii="Times New Roman" w:eastAsia="苹方-简" w:hAnsi="Times New Roman" w:cs="Times New Roman" w:hint="eastAsia"/>
          <w:szCs w:val="21"/>
        </w:rPr>
        <w:t>0</w:t>
      </w:r>
      <w:r w:rsidRPr="000256B6">
        <w:rPr>
          <w:rFonts w:ascii="Times New Roman" w:eastAsia="苹方-简" w:hAnsi="Times New Roman" w:cs="Times New Roman"/>
          <w:szCs w:val="21"/>
        </w:rPr>
        <w:t xml:space="preserve"> equiv), toluene (2.0 mL), 24 h under </w:t>
      </w:r>
      <w:r w:rsidRPr="000256B6">
        <w:rPr>
          <w:rFonts w:ascii="Times New Roman" w:hAnsi="Times New Roman" w:cs="Times New Roman"/>
          <w:color w:val="000000" w:themeColor="text1"/>
          <w:kern w:val="0"/>
          <w:szCs w:val="21"/>
        </w:rPr>
        <w:t>nitrogen atmosphere</w:t>
      </w:r>
      <w:r w:rsidRPr="000256B6">
        <w:rPr>
          <w:rFonts w:ascii="Times New Roman" w:eastAsia="苹方-简" w:hAnsi="Times New Roman" w:cs="Times New Roman"/>
          <w:szCs w:val="21"/>
        </w:rPr>
        <w:t>.</w:t>
      </w:r>
      <w:bookmarkEnd w:id="3"/>
      <w:r w:rsidRPr="000256B6">
        <w:rPr>
          <w:rFonts w:ascii="Times New Roman" w:eastAsia="苹方-简" w:hAnsi="Times New Roman" w:cs="Times New Roman" w:hint="eastAsia"/>
          <w:szCs w:val="21"/>
        </w:rPr>
        <w:t xml:space="preserve"> </w:t>
      </w:r>
      <w:r w:rsidRPr="000256B6">
        <w:rPr>
          <w:rFonts w:ascii="Times New Roman" w:eastAsia="苹方-简" w:hAnsi="Times New Roman" w:cs="Times New Roman"/>
          <w:szCs w:val="21"/>
          <w:vertAlign w:val="superscript"/>
        </w:rPr>
        <w:t>b</w:t>
      </w:r>
      <w:r w:rsidRPr="000256B6">
        <w:rPr>
          <w:rFonts w:ascii="Times New Roman" w:eastAsia="苹方-简" w:hAnsi="Times New Roman" w:cs="Times New Roman"/>
          <w:szCs w:val="21"/>
        </w:rPr>
        <w:t>Yields were determined by GC using anthracene as an internal standard.</w:t>
      </w:r>
      <w:r w:rsidRPr="000256B6">
        <w:rPr>
          <w:rFonts w:ascii="Times New Roman" w:eastAsia="苹方-简" w:hAnsi="Times New Roman" w:cs="Times New Roman" w:hint="eastAsia"/>
          <w:szCs w:val="21"/>
        </w:rPr>
        <w:t xml:space="preserve"> </w:t>
      </w:r>
      <w:r w:rsidRPr="000256B6">
        <w:rPr>
          <w:rFonts w:ascii="Times New Roman" w:eastAsia="苹方-简" w:hAnsi="Times New Roman" w:cs="Times New Roman" w:hint="eastAsia"/>
          <w:szCs w:val="21"/>
          <w:vertAlign w:val="superscript"/>
        </w:rPr>
        <w:t>c</w:t>
      </w:r>
      <w:r w:rsidRPr="000256B6">
        <w:rPr>
          <w:rFonts w:ascii="Times New Roman" w:eastAsia="苹方-简" w:hAnsi="Times New Roman" w:cs="Times New Roman"/>
          <w:szCs w:val="21"/>
        </w:rPr>
        <w:t>Isolated yields.</w:t>
      </w:r>
    </w:p>
    <w:bookmarkEnd w:id="2"/>
    <w:p w14:paraId="749F4E19" w14:textId="687B8E42" w:rsidR="001760E5" w:rsidRDefault="0059082E"/>
    <w:p w14:paraId="64BE88DC" w14:textId="77777777" w:rsidR="0059082E" w:rsidRPr="000256B6" w:rsidRDefault="0059082E" w:rsidP="0059082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  <w:r w:rsidRPr="000256B6">
        <w:rPr>
          <w:rFonts w:ascii="Times New Roman" w:hAnsi="Times New Roman" w:cs="Times New Roman"/>
          <w:b/>
          <w:bCs/>
          <w:color w:val="000000" w:themeColor="text1"/>
          <w:kern w:val="0"/>
          <w:szCs w:val="21"/>
        </w:rPr>
        <w:t>Table 2 | Optimization of C–H/C–S polycondensation reaction conditions</w:t>
      </w:r>
      <w:r w:rsidRPr="000256B6">
        <w:rPr>
          <w:rFonts w:ascii="Times New Roman" w:hAnsi="Times New Roman" w:cs="Times New Roman"/>
          <w:color w:val="000000" w:themeColor="text1"/>
          <w:kern w:val="0"/>
          <w:szCs w:val="21"/>
          <w:vertAlign w:val="superscript"/>
        </w:rPr>
        <w:t>a</w:t>
      </w:r>
    </w:p>
    <w:p w14:paraId="7C954346" w14:textId="77777777" w:rsidR="0059082E" w:rsidRPr="000256B6" w:rsidRDefault="0059082E" w:rsidP="0059082E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  <w:r w:rsidRPr="000256B6">
        <w:object w:dxaOrig="10872" w:dyaOrig="2968" w14:anchorId="4832ED18">
          <v:shape id="_x0000_i1027" type="#_x0000_t75" style="width:317.4pt;height:79.5pt;mso-position-horizontal:absolute;mso-position-vertical:absolute" o:ole="">
            <v:imagedata r:id="rId6" o:title=""/>
          </v:shape>
          <o:OLEObject Type="Embed" ProgID="ChemDraw.Document.6.0" ShapeID="_x0000_i1027" DrawAspect="Content" ObjectID="_1740317828" r:id="rId7"/>
        </w:object>
      </w:r>
    </w:p>
    <w:tbl>
      <w:tblPr>
        <w:tblStyle w:val="ListTable6Colorful"/>
        <w:tblW w:w="8789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1701"/>
        <w:gridCol w:w="1842"/>
        <w:gridCol w:w="709"/>
        <w:gridCol w:w="1276"/>
      </w:tblGrid>
      <w:tr w:rsidR="0059082E" w:rsidRPr="000256B6" w14:paraId="40B3E35C" w14:textId="77777777" w:rsidTr="00412C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0542CF17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Entry</w:t>
            </w:r>
          </w:p>
        </w:tc>
        <w:tc>
          <w:tcPr>
            <w:tcW w:w="2410" w:type="dxa"/>
          </w:tcPr>
          <w:p w14:paraId="6F0F662A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[Pd] (mol%)</w:t>
            </w:r>
          </w:p>
        </w:tc>
        <w:tc>
          <w:tcPr>
            <w:tcW w:w="1701" w:type="dxa"/>
          </w:tcPr>
          <w:p w14:paraId="3CCF5E08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Solvent</w:t>
            </w:r>
          </w:p>
        </w:tc>
        <w:tc>
          <w:tcPr>
            <w:tcW w:w="1842" w:type="dxa"/>
          </w:tcPr>
          <w:p w14:paraId="7A572DA6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24"/>
                <w:szCs w:val="24"/>
                <w:vertAlign w:val="superscript"/>
              </w:rPr>
            </w:pPr>
            <w:r w:rsidRPr="000256B6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24"/>
                <w:szCs w:val="24"/>
              </w:rPr>
              <w:t>M</w:t>
            </w: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vertAlign w:val="subscript"/>
              </w:rPr>
              <w:t>n</w:t>
            </w: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/</w:t>
            </w:r>
            <w:r w:rsidRPr="000256B6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24"/>
                <w:szCs w:val="24"/>
              </w:rPr>
              <w:t>M</w:t>
            </w: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vertAlign w:val="subscript"/>
              </w:rPr>
              <w:t>w</w:t>
            </w:r>
            <w:r w:rsidRPr="000256B6">
              <w:rPr>
                <w:rFonts w:ascii="Times New Roman" w:hAnsi="Times New Roman" w:cs="Times New Roman" w:hint="eastAsia"/>
                <w:b w:val="0"/>
                <w:bCs w:val="0"/>
                <w:kern w:val="0"/>
                <w:sz w:val="24"/>
                <w:szCs w:val="24"/>
                <w:vertAlign w:val="superscript"/>
              </w:rPr>
              <w:t xml:space="preserve"> </w:t>
            </w: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(kg/mol)</w:t>
            </w: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709" w:type="dxa"/>
          </w:tcPr>
          <w:p w14:paraId="7D7F23D9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vertAlign w:val="superscript"/>
              </w:rPr>
            </w:pPr>
            <w:r w:rsidRPr="000256B6">
              <w:rPr>
                <w:rFonts w:ascii="Times New Roman" w:hAnsi="Times New Roman" w:cs="Times New Roman"/>
                <w:b w:val="0"/>
                <w:bCs w:val="0"/>
                <w:i/>
                <w:iCs/>
                <w:kern w:val="0"/>
                <w:sz w:val="24"/>
                <w:szCs w:val="24"/>
              </w:rPr>
              <w:t>Ɖ</w:t>
            </w: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76" w:type="dxa"/>
          </w:tcPr>
          <w:p w14:paraId="118F476D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vertAlign w:val="superscript"/>
              </w:rPr>
            </w:pP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Yield (%)</w:t>
            </w:r>
          </w:p>
        </w:tc>
      </w:tr>
      <w:tr w:rsidR="0059082E" w:rsidRPr="000256B6" w14:paraId="0C203C5B" w14:textId="77777777" w:rsidTr="00412C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50261431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5FE1787C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Pd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(dba)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3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(10)</w:t>
            </w:r>
          </w:p>
        </w:tc>
        <w:tc>
          <w:tcPr>
            <w:tcW w:w="1701" w:type="dxa"/>
          </w:tcPr>
          <w:p w14:paraId="67D82155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Toluene</w:t>
            </w:r>
          </w:p>
        </w:tc>
        <w:tc>
          <w:tcPr>
            <w:tcW w:w="1842" w:type="dxa"/>
          </w:tcPr>
          <w:p w14:paraId="6983B67C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16.5/27.4</w:t>
            </w:r>
          </w:p>
        </w:tc>
        <w:tc>
          <w:tcPr>
            <w:tcW w:w="709" w:type="dxa"/>
          </w:tcPr>
          <w:p w14:paraId="7CFC8F81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1.66</w:t>
            </w:r>
          </w:p>
        </w:tc>
        <w:tc>
          <w:tcPr>
            <w:tcW w:w="1276" w:type="dxa"/>
          </w:tcPr>
          <w:p w14:paraId="001A4D9D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68</w:t>
            </w:r>
          </w:p>
        </w:tc>
      </w:tr>
      <w:tr w:rsidR="0059082E" w:rsidRPr="000256B6" w14:paraId="25F53E65" w14:textId="77777777" w:rsidTr="00412C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4BB82B01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73569334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Herrmann’s Cat. (10)</w:t>
            </w:r>
          </w:p>
        </w:tc>
        <w:tc>
          <w:tcPr>
            <w:tcW w:w="1701" w:type="dxa"/>
          </w:tcPr>
          <w:p w14:paraId="5B5A183E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Toluene</w:t>
            </w:r>
          </w:p>
        </w:tc>
        <w:tc>
          <w:tcPr>
            <w:tcW w:w="1842" w:type="dxa"/>
          </w:tcPr>
          <w:p w14:paraId="2A60E129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15.9/33.2</w:t>
            </w:r>
          </w:p>
        </w:tc>
        <w:tc>
          <w:tcPr>
            <w:tcW w:w="709" w:type="dxa"/>
          </w:tcPr>
          <w:p w14:paraId="61AAA52E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2.09</w:t>
            </w:r>
          </w:p>
        </w:tc>
        <w:tc>
          <w:tcPr>
            <w:tcW w:w="1276" w:type="dxa"/>
          </w:tcPr>
          <w:p w14:paraId="6A8FB3E5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96</w:t>
            </w:r>
          </w:p>
        </w:tc>
      </w:tr>
      <w:tr w:rsidR="0059082E" w:rsidRPr="000256B6" w14:paraId="4E983460" w14:textId="77777777" w:rsidTr="00412C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4C67793D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38A2FD1E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Pd(P</w:t>
            </w:r>
            <w:r w:rsidRPr="000256B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h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CN)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Cl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 xml:space="preserve">2 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(20)</w:t>
            </w:r>
          </w:p>
        </w:tc>
        <w:tc>
          <w:tcPr>
            <w:tcW w:w="1701" w:type="dxa"/>
          </w:tcPr>
          <w:p w14:paraId="5FD52736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Toluene</w:t>
            </w:r>
          </w:p>
        </w:tc>
        <w:tc>
          <w:tcPr>
            <w:tcW w:w="1842" w:type="dxa"/>
          </w:tcPr>
          <w:p w14:paraId="0F4E2F1E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2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4.3/46.9</w:t>
            </w:r>
          </w:p>
        </w:tc>
        <w:tc>
          <w:tcPr>
            <w:tcW w:w="709" w:type="dxa"/>
          </w:tcPr>
          <w:p w14:paraId="457245F9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1.93</w:t>
            </w:r>
          </w:p>
        </w:tc>
        <w:tc>
          <w:tcPr>
            <w:tcW w:w="1276" w:type="dxa"/>
          </w:tcPr>
          <w:p w14:paraId="4BF34483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9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</w:tr>
      <w:tr w:rsidR="0059082E" w:rsidRPr="000256B6" w14:paraId="7219985A" w14:textId="77777777" w:rsidTr="00412C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401E1819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5D8F4D06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Pd(MeCN)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Cl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 xml:space="preserve">2 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(20)</w:t>
            </w:r>
          </w:p>
        </w:tc>
        <w:tc>
          <w:tcPr>
            <w:tcW w:w="1701" w:type="dxa"/>
          </w:tcPr>
          <w:p w14:paraId="5D8AC621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Toluene</w:t>
            </w:r>
          </w:p>
        </w:tc>
        <w:tc>
          <w:tcPr>
            <w:tcW w:w="1842" w:type="dxa"/>
          </w:tcPr>
          <w:p w14:paraId="2FDFCFDC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51.6/97.0</w:t>
            </w:r>
          </w:p>
        </w:tc>
        <w:tc>
          <w:tcPr>
            <w:tcW w:w="709" w:type="dxa"/>
          </w:tcPr>
          <w:p w14:paraId="3835E5AB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1.88</w:t>
            </w:r>
          </w:p>
        </w:tc>
        <w:tc>
          <w:tcPr>
            <w:tcW w:w="1276" w:type="dxa"/>
          </w:tcPr>
          <w:p w14:paraId="06B89430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98</w:t>
            </w:r>
          </w:p>
        </w:tc>
      </w:tr>
      <w:tr w:rsidR="0059082E" w:rsidRPr="000256B6" w14:paraId="7A4FA364" w14:textId="77777777" w:rsidTr="00412C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5AF6A742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437B84D7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Pd(MeCN)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Cl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 xml:space="preserve">2 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(10)</w:t>
            </w:r>
          </w:p>
        </w:tc>
        <w:tc>
          <w:tcPr>
            <w:tcW w:w="1701" w:type="dxa"/>
          </w:tcPr>
          <w:p w14:paraId="74A3FB3A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Toluene</w:t>
            </w:r>
          </w:p>
        </w:tc>
        <w:tc>
          <w:tcPr>
            <w:tcW w:w="1842" w:type="dxa"/>
          </w:tcPr>
          <w:p w14:paraId="51E9D914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33.0/78.9</w:t>
            </w:r>
          </w:p>
        </w:tc>
        <w:tc>
          <w:tcPr>
            <w:tcW w:w="709" w:type="dxa"/>
          </w:tcPr>
          <w:p w14:paraId="1339BB98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2.39</w:t>
            </w:r>
          </w:p>
        </w:tc>
        <w:tc>
          <w:tcPr>
            <w:tcW w:w="1276" w:type="dxa"/>
          </w:tcPr>
          <w:p w14:paraId="28DE7C34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96</w:t>
            </w:r>
          </w:p>
        </w:tc>
      </w:tr>
      <w:tr w:rsidR="0059082E" w:rsidRPr="000256B6" w14:paraId="199D2570" w14:textId="77777777" w:rsidTr="00412C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5C3C1EA0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096FBE2A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Pd(MeCN)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Cl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 xml:space="preserve">2 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(5)</w:t>
            </w:r>
          </w:p>
        </w:tc>
        <w:tc>
          <w:tcPr>
            <w:tcW w:w="1701" w:type="dxa"/>
          </w:tcPr>
          <w:p w14:paraId="1EDF032A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Toluene</w:t>
            </w:r>
          </w:p>
        </w:tc>
        <w:tc>
          <w:tcPr>
            <w:tcW w:w="1842" w:type="dxa"/>
          </w:tcPr>
          <w:p w14:paraId="6C8914AF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12.4/24.9</w:t>
            </w:r>
          </w:p>
        </w:tc>
        <w:tc>
          <w:tcPr>
            <w:tcW w:w="709" w:type="dxa"/>
          </w:tcPr>
          <w:p w14:paraId="61EB60C7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2.01</w:t>
            </w:r>
          </w:p>
        </w:tc>
        <w:tc>
          <w:tcPr>
            <w:tcW w:w="1276" w:type="dxa"/>
          </w:tcPr>
          <w:p w14:paraId="1DEC9F04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88</w:t>
            </w:r>
          </w:p>
        </w:tc>
      </w:tr>
      <w:tr w:rsidR="0059082E" w:rsidRPr="000256B6" w14:paraId="2752AABC" w14:textId="77777777" w:rsidTr="00412C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3CB1EA04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106B7B5D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Pd(MeCN)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Cl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 xml:space="preserve">2 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(20)</w:t>
            </w:r>
          </w:p>
        </w:tc>
        <w:tc>
          <w:tcPr>
            <w:tcW w:w="1701" w:type="dxa"/>
          </w:tcPr>
          <w:p w14:paraId="06686572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>o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-Xylene</w:t>
            </w:r>
          </w:p>
        </w:tc>
        <w:tc>
          <w:tcPr>
            <w:tcW w:w="1842" w:type="dxa"/>
          </w:tcPr>
          <w:p w14:paraId="6E0884E7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6.0/11.4</w:t>
            </w:r>
          </w:p>
        </w:tc>
        <w:tc>
          <w:tcPr>
            <w:tcW w:w="709" w:type="dxa"/>
          </w:tcPr>
          <w:p w14:paraId="57DF7E7D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1.90</w:t>
            </w:r>
          </w:p>
        </w:tc>
        <w:tc>
          <w:tcPr>
            <w:tcW w:w="1276" w:type="dxa"/>
          </w:tcPr>
          <w:p w14:paraId="340462E5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40</w:t>
            </w:r>
          </w:p>
        </w:tc>
      </w:tr>
      <w:tr w:rsidR="0059082E" w:rsidRPr="000256B6" w14:paraId="0009B70F" w14:textId="77777777" w:rsidTr="00412C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296CA2F9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14:paraId="47B4F888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Pd(MeCN)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Cl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 xml:space="preserve">2 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(20)</w:t>
            </w:r>
          </w:p>
        </w:tc>
        <w:tc>
          <w:tcPr>
            <w:tcW w:w="1701" w:type="dxa"/>
          </w:tcPr>
          <w:p w14:paraId="04AF5D97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Chlorobenzene</w:t>
            </w:r>
          </w:p>
        </w:tc>
        <w:tc>
          <w:tcPr>
            <w:tcW w:w="1842" w:type="dxa"/>
          </w:tcPr>
          <w:p w14:paraId="56A617B6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4.0/7.4</w:t>
            </w:r>
          </w:p>
        </w:tc>
        <w:tc>
          <w:tcPr>
            <w:tcW w:w="709" w:type="dxa"/>
          </w:tcPr>
          <w:p w14:paraId="3CE88140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1.85</w:t>
            </w:r>
          </w:p>
        </w:tc>
        <w:tc>
          <w:tcPr>
            <w:tcW w:w="1276" w:type="dxa"/>
          </w:tcPr>
          <w:p w14:paraId="3EB34FD0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27</w:t>
            </w:r>
          </w:p>
        </w:tc>
      </w:tr>
      <w:tr w:rsidR="0059082E" w:rsidRPr="000256B6" w14:paraId="1D382D31" w14:textId="77777777" w:rsidTr="00412C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0FC05B6C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vertAlign w:val="superscript"/>
              </w:rPr>
            </w:pP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9</w:t>
            </w: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410" w:type="dxa"/>
          </w:tcPr>
          <w:p w14:paraId="617FEEB6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Pd(MeCN)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Cl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 xml:space="preserve">2 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(20)</w:t>
            </w:r>
          </w:p>
        </w:tc>
        <w:tc>
          <w:tcPr>
            <w:tcW w:w="1701" w:type="dxa"/>
          </w:tcPr>
          <w:p w14:paraId="03F5B79F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Toluene</w:t>
            </w:r>
          </w:p>
        </w:tc>
        <w:tc>
          <w:tcPr>
            <w:tcW w:w="1842" w:type="dxa"/>
          </w:tcPr>
          <w:p w14:paraId="04920790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6.0/10.8</w:t>
            </w:r>
          </w:p>
        </w:tc>
        <w:tc>
          <w:tcPr>
            <w:tcW w:w="709" w:type="dxa"/>
          </w:tcPr>
          <w:p w14:paraId="7138C6A6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1.80</w:t>
            </w:r>
          </w:p>
        </w:tc>
        <w:tc>
          <w:tcPr>
            <w:tcW w:w="1276" w:type="dxa"/>
          </w:tcPr>
          <w:p w14:paraId="2A29B602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53</w:t>
            </w:r>
          </w:p>
        </w:tc>
      </w:tr>
      <w:tr w:rsidR="0059082E" w:rsidRPr="000256B6" w14:paraId="23218C1C" w14:textId="77777777" w:rsidTr="00412C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0F2A68B3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vertAlign w:val="superscript"/>
              </w:rPr>
            </w:pP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10</w:t>
            </w: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2410" w:type="dxa"/>
          </w:tcPr>
          <w:p w14:paraId="68FF61D5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Pd(MeCN)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Cl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 xml:space="preserve">2 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(20)</w:t>
            </w:r>
          </w:p>
        </w:tc>
        <w:tc>
          <w:tcPr>
            <w:tcW w:w="1701" w:type="dxa"/>
          </w:tcPr>
          <w:p w14:paraId="28591B2C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Toluene</w:t>
            </w:r>
          </w:p>
        </w:tc>
        <w:tc>
          <w:tcPr>
            <w:tcW w:w="1842" w:type="dxa"/>
          </w:tcPr>
          <w:p w14:paraId="7D7424F2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5.3/9.3</w:t>
            </w:r>
          </w:p>
        </w:tc>
        <w:tc>
          <w:tcPr>
            <w:tcW w:w="709" w:type="dxa"/>
          </w:tcPr>
          <w:p w14:paraId="6BBA606E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1.75</w:t>
            </w:r>
          </w:p>
        </w:tc>
        <w:tc>
          <w:tcPr>
            <w:tcW w:w="1276" w:type="dxa"/>
          </w:tcPr>
          <w:p w14:paraId="68125A5D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41</w:t>
            </w:r>
          </w:p>
        </w:tc>
      </w:tr>
      <w:tr w:rsidR="0059082E" w:rsidRPr="000256B6" w14:paraId="024E4C9E" w14:textId="77777777" w:rsidTr="00412C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5908DE58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vertAlign w:val="superscript"/>
              </w:rPr>
            </w:pP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</w:rPr>
              <w:t>11</w:t>
            </w:r>
            <w:r w:rsidRPr="000256B6">
              <w:rPr>
                <w:rFonts w:ascii="Times New Roman" w:hAnsi="Times New Roman" w:cs="Times New Roman"/>
                <w:b w:val="0"/>
                <w:bCs w:val="0"/>
                <w:kern w:val="0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2410" w:type="dxa"/>
          </w:tcPr>
          <w:p w14:paraId="4446BD72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Pd(MeCN)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Cl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  <w:vertAlign w:val="subscript"/>
              </w:rPr>
              <w:t xml:space="preserve">2 </w:t>
            </w: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(20)</w:t>
            </w:r>
          </w:p>
        </w:tc>
        <w:tc>
          <w:tcPr>
            <w:tcW w:w="1701" w:type="dxa"/>
          </w:tcPr>
          <w:p w14:paraId="68DE9255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Toluene</w:t>
            </w:r>
          </w:p>
        </w:tc>
        <w:tc>
          <w:tcPr>
            <w:tcW w:w="1842" w:type="dxa"/>
          </w:tcPr>
          <w:p w14:paraId="3DA0B181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20.0/46.8</w:t>
            </w:r>
          </w:p>
        </w:tc>
        <w:tc>
          <w:tcPr>
            <w:tcW w:w="709" w:type="dxa"/>
          </w:tcPr>
          <w:p w14:paraId="58C6678C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2.34</w:t>
            </w:r>
          </w:p>
        </w:tc>
        <w:tc>
          <w:tcPr>
            <w:tcW w:w="1276" w:type="dxa"/>
          </w:tcPr>
          <w:p w14:paraId="4E7F3CDA" w14:textId="77777777" w:rsidR="0059082E" w:rsidRPr="000256B6" w:rsidRDefault="0059082E" w:rsidP="00412CF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256B6">
              <w:rPr>
                <w:rFonts w:ascii="Times New Roman" w:hAnsi="Times New Roman" w:cs="Times New Roman"/>
                <w:kern w:val="0"/>
                <w:sz w:val="24"/>
                <w:szCs w:val="24"/>
              </w:rPr>
              <w:t>92</w:t>
            </w:r>
          </w:p>
        </w:tc>
      </w:tr>
    </w:tbl>
    <w:p w14:paraId="10DDFF93" w14:textId="77777777" w:rsidR="0059082E" w:rsidRPr="000256B6" w:rsidRDefault="0059082E" w:rsidP="0059082E">
      <w:pPr>
        <w:autoSpaceDE w:val="0"/>
        <w:autoSpaceDN w:val="0"/>
        <w:adjustRightInd w:val="0"/>
        <w:rPr>
          <w:rFonts w:ascii="Times New Roman" w:eastAsia="苹方-简" w:hAnsi="Times New Roman" w:cs="Times New Roman"/>
          <w:color w:val="000000" w:themeColor="text1"/>
          <w:szCs w:val="21"/>
          <w:vertAlign w:val="superscript"/>
        </w:rPr>
      </w:pPr>
      <w:bookmarkStart w:id="4" w:name="_Hlk89792686"/>
      <w:r w:rsidRPr="000256B6">
        <w:rPr>
          <w:rFonts w:ascii="Times New Roman" w:eastAsia="苹方-简" w:hAnsi="Times New Roman" w:cs="Times New Roman"/>
          <w:color w:val="000000" w:themeColor="text1"/>
          <w:szCs w:val="21"/>
          <w:vertAlign w:val="superscript"/>
        </w:rPr>
        <w:t>a</w:t>
      </w:r>
      <w:r w:rsidRPr="000256B6">
        <w:rPr>
          <w:rFonts w:ascii="Times New Roman" w:eastAsia="苹方-简" w:hAnsi="Times New Roman" w:cs="Times New Roman"/>
          <w:color w:val="000000" w:themeColor="text1"/>
          <w:szCs w:val="21"/>
        </w:rPr>
        <w:t xml:space="preserve">Reaction conditions: </w:t>
      </w:r>
      <w:r w:rsidRPr="000256B6">
        <w:rPr>
          <w:rFonts w:ascii="Times New Roman" w:eastAsia="苹方-简" w:hAnsi="Times New Roman" w:cs="Times New Roman"/>
          <w:b/>
          <w:bCs/>
          <w:color w:val="000000" w:themeColor="text1"/>
          <w:szCs w:val="21"/>
        </w:rPr>
        <w:t>E1</w:t>
      </w:r>
      <w:r w:rsidRPr="000256B6">
        <w:rPr>
          <w:rFonts w:ascii="Times New Roman" w:eastAsia="苹方-简" w:hAnsi="Times New Roman" w:cs="Times New Roman"/>
          <w:color w:val="000000" w:themeColor="text1"/>
          <w:szCs w:val="21"/>
        </w:rPr>
        <w:t xml:space="preserve"> (1.0 equiv; 0.20 mmol), </w:t>
      </w:r>
      <w:r w:rsidRPr="000256B6">
        <w:rPr>
          <w:rFonts w:ascii="Times New Roman" w:eastAsia="苹方-简" w:hAnsi="Times New Roman" w:cs="Times New Roman"/>
          <w:b/>
          <w:bCs/>
          <w:color w:val="000000" w:themeColor="text1"/>
          <w:szCs w:val="21"/>
        </w:rPr>
        <w:t>N1</w:t>
      </w:r>
      <w:r w:rsidRPr="000256B6">
        <w:rPr>
          <w:rFonts w:ascii="Times New Roman" w:eastAsia="苹方-简" w:hAnsi="Times New Roman" w:cs="Times New Roman"/>
          <w:color w:val="000000" w:themeColor="text1"/>
          <w:szCs w:val="21"/>
        </w:rPr>
        <w:t xml:space="preserve"> (1.0 equiv; 0.20 mmol), [Pd] (5-20 mol%), CuI (40 mol%), </w:t>
      </w:r>
      <w:r w:rsidRPr="000256B6">
        <w:rPr>
          <w:rFonts w:ascii="Times New Roman" w:eastAsia="苹方-简" w:hAnsi="Times New Roman" w:cs="Times New Roman" w:hint="eastAsia"/>
          <w:color w:val="000000" w:themeColor="text1"/>
          <w:szCs w:val="21"/>
        </w:rPr>
        <w:t>d</w:t>
      </w:r>
      <w:r w:rsidRPr="000256B6">
        <w:rPr>
          <w:rFonts w:ascii="Times New Roman" w:eastAsia="苹方-简" w:hAnsi="Times New Roman" w:cs="Times New Roman"/>
          <w:color w:val="000000" w:themeColor="text1"/>
          <w:szCs w:val="21"/>
        </w:rPr>
        <w:t>cype ([Pd]</w:t>
      </w:r>
      <w:r w:rsidRPr="000256B6">
        <w:rPr>
          <w:rFonts w:ascii="Times New Roman" w:eastAsia="苹方-简" w:hAnsi="Times New Roman" w:cs="Times New Roman" w:hint="eastAsia"/>
          <w:color w:val="000000" w:themeColor="text1"/>
          <w:szCs w:val="21"/>
        </w:rPr>
        <w:t>:</w:t>
      </w:r>
      <w:r w:rsidRPr="000256B6">
        <w:rPr>
          <w:rFonts w:ascii="Times New Roman" w:eastAsia="苹方-简" w:hAnsi="Times New Roman" w:cs="Times New Roman"/>
          <w:color w:val="000000" w:themeColor="text1"/>
          <w:szCs w:val="21"/>
        </w:rPr>
        <w:t xml:space="preserve"> [P] = 1: 2), KO</w:t>
      </w:r>
      <w:r w:rsidRPr="000256B6">
        <w:rPr>
          <w:rFonts w:ascii="Times New Roman" w:eastAsia="苹方-简" w:hAnsi="Times New Roman" w:cs="Times New Roman"/>
          <w:i/>
          <w:iCs/>
          <w:color w:val="000000" w:themeColor="text1"/>
          <w:szCs w:val="21"/>
          <w:vertAlign w:val="superscript"/>
        </w:rPr>
        <w:t>t</w:t>
      </w:r>
      <w:r w:rsidRPr="000256B6">
        <w:rPr>
          <w:rFonts w:ascii="Times New Roman" w:eastAsia="苹方-简" w:hAnsi="Times New Roman" w:cs="Times New Roman"/>
          <w:color w:val="000000" w:themeColor="text1"/>
          <w:szCs w:val="21"/>
        </w:rPr>
        <w:t xml:space="preserve">Bu (3.0 equiv), toluene (1.0 mL), 48 h under </w:t>
      </w:r>
      <w:r w:rsidRPr="000256B6">
        <w:rPr>
          <w:rFonts w:ascii="Times New Roman" w:hAnsi="Times New Roman" w:cs="Times New Roman"/>
          <w:color w:val="000000" w:themeColor="text1"/>
          <w:kern w:val="0"/>
          <w:szCs w:val="21"/>
        </w:rPr>
        <w:t>nitrogen atmosphere</w:t>
      </w:r>
      <w:r w:rsidRPr="000256B6">
        <w:rPr>
          <w:rFonts w:ascii="Times New Roman" w:eastAsia="苹方-简" w:hAnsi="Times New Roman" w:cs="Times New Roman"/>
          <w:color w:val="000000" w:themeColor="text1"/>
          <w:szCs w:val="21"/>
        </w:rPr>
        <w:t xml:space="preserve">. </w:t>
      </w:r>
      <w:r w:rsidRPr="000256B6">
        <w:rPr>
          <w:rFonts w:ascii="Times New Roman" w:eastAsia="苹方-简" w:hAnsi="Times New Roman" w:cs="Times New Roman"/>
          <w:color w:val="000000" w:themeColor="text1"/>
          <w:szCs w:val="21"/>
          <w:vertAlign w:val="superscript"/>
        </w:rPr>
        <w:t>b</w:t>
      </w:r>
      <w:r w:rsidRPr="000256B6">
        <w:rPr>
          <w:rFonts w:ascii="Times New Roman" w:hAnsi="Times New Roman" w:cs="Times New Roman"/>
          <w:i/>
          <w:iCs/>
          <w:color w:val="000000" w:themeColor="text1"/>
          <w:kern w:val="0"/>
          <w:szCs w:val="21"/>
        </w:rPr>
        <w:t>M</w:t>
      </w:r>
      <w:r w:rsidRPr="000256B6">
        <w:rPr>
          <w:rFonts w:ascii="Times New Roman" w:hAnsi="Times New Roman" w:cs="Times New Roman"/>
          <w:color w:val="000000" w:themeColor="text1"/>
          <w:kern w:val="0"/>
          <w:szCs w:val="21"/>
          <w:vertAlign w:val="subscript"/>
        </w:rPr>
        <w:t>n</w:t>
      </w:r>
      <w:r w:rsidRPr="000256B6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, </w:t>
      </w:r>
      <w:r w:rsidRPr="000256B6">
        <w:rPr>
          <w:rFonts w:ascii="Times New Roman" w:hAnsi="Times New Roman" w:cs="Times New Roman"/>
          <w:i/>
          <w:iCs/>
          <w:color w:val="000000" w:themeColor="text1"/>
          <w:kern w:val="0"/>
          <w:szCs w:val="21"/>
        </w:rPr>
        <w:t>M</w:t>
      </w:r>
      <w:r w:rsidRPr="000256B6">
        <w:rPr>
          <w:rFonts w:ascii="Times New Roman" w:hAnsi="Times New Roman" w:cs="Times New Roman"/>
          <w:color w:val="000000" w:themeColor="text1"/>
          <w:kern w:val="0"/>
          <w:szCs w:val="21"/>
          <w:vertAlign w:val="subscript"/>
        </w:rPr>
        <w:t>w</w:t>
      </w:r>
      <w:r w:rsidRPr="000256B6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, and </w:t>
      </w:r>
      <w:r w:rsidRPr="000256B6">
        <w:rPr>
          <w:rFonts w:ascii="Times New Roman" w:hAnsi="Times New Roman" w:cs="Times New Roman"/>
          <w:i/>
          <w:iCs/>
          <w:color w:val="000000" w:themeColor="text1"/>
          <w:kern w:val="0"/>
          <w:szCs w:val="21"/>
        </w:rPr>
        <w:t>Ɖ</w:t>
      </w:r>
      <w:r w:rsidRPr="000256B6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were determined with GPC </w:t>
      </w:r>
      <w:r w:rsidRPr="000256B6">
        <w:rPr>
          <w:rFonts w:ascii="Times New Roman" w:hAnsi="Times New Roman" w:cs="Times New Roman"/>
          <w:color w:val="000000" w:themeColor="text1"/>
          <w:szCs w:val="21"/>
        </w:rPr>
        <w:t xml:space="preserve">at 150 </w:t>
      </w:r>
      <w:r w:rsidRPr="000256B6">
        <w:rPr>
          <w:rFonts w:ascii="Times New Roman" w:eastAsia="SimSun" w:hAnsi="Times New Roman" w:cs="Times New Roman"/>
          <w:color w:val="000000" w:themeColor="text1"/>
          <w:szCs w:val="21"/>
        </w:rPr>
        <w:t>℃</w:t>
      </w:r>
      <w:r w:rsidRPr="000256B6">
        <w:rPr>
          <w:rFonts w:ascii="Times New Roman" w:hAnsi="Times New Roman" w:cs="Times New Roman"/>
          <w:color w:val="000000" w:themeColor="text1"/>
          <w:szCs w:val="21"/>
        </w:rPr>
        <w:t xml:space="preserve"> in 1,2,4-trichlorobenzene against a polystyrene standard.</w:t>
      </w:r>
      <w:r w:rsidRPr="000256B6">
        <w:rPr>
          <w:rFonts w:ascii="Times New Roman" w:eastAsia="苹方-简" w:hAnsi="Times New Roman" w:cs="Times New Roman" w:hint="eastAsia"/>
          <w:color w:val="000000" w:themeColor="text1"/>
          <w:szCs w:val="21"/>
          <w:vertAlign w:val="superscript"/>
        </w:rPr>
        <w:t xml:space="preserve"> </w:t>
      </w:r>
      <w:r w:rsidRPr="000256B6">
        <w:rPr>
          <w:rFonts w:ascii="Times New Roman" w:eastAsia="苹方-简" w:hAnsi="Times New Roman" w:cs="Times New Roman"/>
          <w:color w:val="000000" w:themeColor="text1"/>
          <w:szCs w:val="21"/>
          <w:vertAlign w:val="superscript"/>
        </w:rPr>
        <w:t>c</w:t>
      </w:r>
      <w:r w:rsidRPr="000256B6">
        <w:rPr>
          <w:rFonts w:ascii="Times New Roman" w:eastAsia="苹方-简" w:hAnsi="Times New Roman" w:cs="Times New Roman"/>
          <w:color w:val="000000" w:themeColor="text1"/>
          <w:szCs w:val="21"/>
        </w:rPr>
        <w:t xml:space="preserve">Reaction </w:t>
      </w:r>
      <w:r w:rsidRPr="000256B6">
        <w:rPr>
          <w:rFonts w:ascii="Times New Roman" w:eastAsia="苹方-简" w:hAnsi="Times New Roman" w:cs="Times New Roman"/>
          <w:color w:val="000000" w:themeColor="text1"/>
          <w:szCs w:val="21"/>
        </w:rPr>
        <w:lastRenderedPageBreak/>
        <w:t xml:space="preserve">concentration of 0.1 M. </w:t>
      </w:r>
      <w:r w:rsidRPr="000256B6">
        <w:rPr>
          <w:rFonts w:ascii="Times New Roman" w:eastAsia="苹方-简" w:hAnsi="Times New Roman" w:cs="Times New Roman"/>
          <w:color w:val="000000" w:themeColor="text1"/>
          <w:szCs w:val="21"/>
          <w:vertAlign w:val="superscript"/>
        </w:rPr>
        <w:t>d</w:t>
      </w:r>
      <w:r w:rsidRPr="000256B6">
        <w:rPr>
          <w:rFonts w:ascii="Times New Roman" w:eastAsia="苹方-简" w:hAnsi="Times New Roman" w:cs="Times New Roman"/>
          <w:color w:val="000000" w:themeColor="text1"/>
          <w:szCs w:val="21"/>
        </w:rPr>
        <w:t xml:space="preserve">Reaction concentration of 0.05 M. </w:t>
      </w:r>
      <w:r w:rsidRPr="000256B6">
        <w:rPr>
          <w:rFonts w:ascii="Times New Roman" w:eastAsia="苹方-简" w:hAnsi="Times New Roman" w:cs="Times New Roman"/>
          <w:color w:val="000000" w:themeColor="text1"/>
          <w:szCs w:val="21"/>
          <w:vertAlign w:val="superscript"/>
        </w:rPr>
        <w:t>e</w:t>
      </w:r>
      <w:r w:rsidRPr="000256B6">
        <w:rPr>
          <w:rFonts w:ascii="Times New Roman" w:hAnsi="Times New Roman" w:cs="Times New Roman"/>
          <w:color w:val="000000" w:themeColor="text1"/>
          <w:kern w:val="0"/>
          <w:szCs w:val="21"/>
        </w:rPr>
        <w:t>Reaction time of 24 h.</w:t>
      </w:r>
      <w:bookmarkEnd w:id="4"/>
    </w:p>
    <w:p w14:paraId="670D5A68" w14:textId="2FA26A65" w:rsidR="0059082E" w:rsidRDefault="0059082E"/>
    <w:p w14:paraId="04D873D2" w14:textId="77777777" w:rsidR="0059082E" w:rsidRDefault="0059082E"/>
    <w:sectPr w:rsidR="005908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苹方-简">
    <w:altName w:val="Microsoft YaHei"/>
    <w:charset w:val="86"/>
    <w:family w:val="swiss"/>
    <w:pitch w:val="variable"/>
    <w:sig w:usb0="A00002FF" w:usb1="7ACFFDFB" w:usb2="00000017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82E"/>
    <w:rsid w:val="0059082E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6F792"/>
  <w15:chartTrackingRefBased/>
  <w15:docId w15:val="{4D8FE8C8-0D89-46D2-8AFE-497C01462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82E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59082E"/>
    <w:pPr>
      <w:spacing w:after="0" w:line="240" w:lineRule="auto"/>
    </w:pPr>
    <w:rPr>
      <w:rFonts w:eastAsiaTheme="minorEastAsia"/>
      <w:color w:val="000000" w:themeColor="text1"/>
      <w:kern w:val="2"/>
      <w:sz w:val="21"/>
      <w:lang w:eastAsia="zh-CN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1677</Characters>
  <Application>Microsoft Office Word</Application>
  <DocSecurity>0</DocSecurity>
  <Lines>13</Lines>
  <Paragraphs>3</Paragraphs>
  <ScaleCrop>false</ScaleCrop>
  <Company>Springer Nature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2023-03-14T11:17:00Z</dcterms:created>
  <dcterms:modified xsi:type="dcterms:W3CDTF">2023-03-14T11:20:00Z</dcterms:modified>
</cp:coreProperties>
</file>