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6DF" w:rsidRDefault="000C46DF" w:rsidP="00E3578D">
      <w:pPr>
        <w:spacing w:line="360" w:lineRule="auto"/>
        <w:jc w:val="center"/>
        <w:rPr>
          <w:b/>
          <w:bCs/>
          <w:sz w:val="28"/>
          <w:szCs w:val="28"/>
        </w:rPr>
      </w:pPr>
      <w:r w:rsidRPr="008F22A7">
        <w:rPr>
          <w:b/>
          <w:bCs/>
          <w:sz w:val="28"/>
          <w:szCs w:val="28"/>
        </w:rPr>
        <w:t xml:space="preserve">Total Cost of Ownership as a Sustainability Indicator to Evaluate Environmental and Economic Performance of </w:t>
      </w:r>
      <w:bookmarkStart w:id="0" w:name="_GoBack"/>
      <w:bookmarkEnd w:id="0"/>
      <w:r>
        <w:rPr>
          <w:b/>
          <w:bCs/>
          <w:sz w:val="28"/>
          <w:szCs w:val="28"/>
        </w:rPr>
        <w:t xml:space="preserve">Sustainable Lightweight Vehicles </w:t>
      </w:r>
    </w:p>
    <w:p w:rsidR="000C46DF" w:rsidRDefault="000C46DF" w:rsidP="000C46DF">
      <w:pPr>
        <w:spacing w:line="360" w:lineRule="auto"/>
        <w:jc w:val="center"/>
        <w:rPr>
          <w:b/>
          <w:bCs/>
          <w:sz w:val="28"/>
          <w:szCs w:val="28"/>
        </w:rPr>
      </w:pPr>
      <w:r>
        <w:rPr>
          <w:b/>
          <w:bCs/>
          <w:sz w:val="28"/>
          <w:szCs w:val="28"/>
        </w:rPr>
        <w:t>(Supplementary Information Document)</w:t>
      </w:r>
    </w:p>
    <w:p w:rsidR="006A640C" w:rsidRDefault="006A640C" w:rsidP="006A640C">
      <w:pPr>
        <w:spacing w:line="360" w:lineRule="auto"/>
        <w:jc w:val="center"/>
        <w:rPr>
          <w:rFonts w:eastAsiaTheme="minorEastAsia"/>
          <w:b/>
          <w:bCs/>
          <w:sz w:val="24"/>
          <w:szCs w:val="24"/>
        </w:rPr>
      </w:pPr>
      <w:r w:rsidRPr="26836693">
        <w:rPr>
          <w:rFonts w:eastAsiaTheme="minorEastAsia"/>
          <w:b/>
          <w:bCs/>
          <w:sz w:val="24"/>
          <w:szCs w:val="24"/>
        </w:rPr>
        <w:t>Karim A. Mo</w:t>
      </w:r>
      <w:r>
        <w:rPr>
          <w:rFonts w:eastAsiaTheme="minorEastAsia"/>
          <w:b/>
          <w:bCs/>
          <w:sz w:val="24"/>
          <w:szCs w:val="24"/>
        </w:rPr>
        <w:t>a</w:t>
      </w:r>
      <w:r w:rsidRPr="26836693">
        <w:rPr>
          <w:rFonts w:eastAsiaTheme="minorEastAsia"/>
          <w:b/>
          <w:bCs/>
          <w:sz w:val="24"/>
          <w:szCs w:val="24"/>
        </w:rPr>
        <w:t>wad</w:t>
      </w:r>
      <w:r w:rsidRPr="00916D1A">
        <w:rPr>
          <w:rFonts w:eastAsiaTheme="minorEastAsia"/>
          <w:b/>
          <w:bCs/>
          <w:sz w:val="24"/>
          <w:szCs w:val="24"/>
          <w:vertAlign w:val="superscript"/>
        </w:rPr>
        <w:t>1</w:t>
      </w:r>
      <w:r w:rsidRPr="26836693">
        <w:rPr>
          <w:rFonts w:eastAsiaTheme="minorEastAsia"/>
          <w:b/>
          <w:bCs/>
          <w:sz w:val="24"/>
          <w:szCs w:val="24"/>
        </w:rPr>
        <w:t xml:space="preserve">, </w:t>
      </w:r>
      <w:r>
        <w:rPr>
          <w:rFonts w:eastAsiaTheme="minorEastAsia"/>
          <w:b/>
          <w:bCs/>
          <w:sz w:val="24"/>
          <w:szCs w:val="24"/>
        </w:rPr>
        <w:t>Ammar Hummieda</w:t>
      </w:r>
      <w:r w:rsidRPr="00916D1A">
        <w:rPr>
          <w:rFonts w:eastAsiaTheme="minorEastAsia"/>
          <w:b/>
          <w:bCs/>
          <w:sz w:val="24"/>
          <w:szCs w:val="24"/>
          <w:vertAlign w:val="superscript"/>
        </w:rPr>
        <w:t>1</w:t>
      </w:r>
      <w:r w:rsidR="001C253C">
        <w:rPr>
          <w:rFonts w:eastAsiaTheme="minorEastAsia"/>
          <w:b/>
          <w:bCs/>
          <w:sz w:val="24"/>
          <w:szCs w:val="24"/>
        </w:rPr>
        <w:t>,</w:t>
      </w:r>
      <w:r>
        <w:rPr>
          <w:rFonts w:eastAsiaTheme="minorEastAsia"/>
          <w:b/>
          <w:bCs/>
          <w:sz w:val="24"/>
          <w:szCs w:val="24"/>
        </w:rPr>
        <w:t xml:space="preserve"> </w:t>
      </w:r>
      <w:r w:rsidRPr="26836693">
        <w:rPr>
          <w:rFonts w:eastAsiaTheme="minorEastAsia"/>
          <w:b/>
          <w:bCs/>
          <w:sz w:val="24"/>
          <w:szCs w:val="24"/>
        </w:rPr>
        <w:t>Ahmad T. Mayyas</w:t>
      </w:r>
      <w:r w:rsidRPr="00916D1A">
        <w:rPr>
          <w:rFonts w:eastAsiaTheme="minorEastAsia"/>
          <w:b/>
          <w:bCs/>
          <w:sz w:val="24"/>
          <w:szCs w:val="24"/>
          <w:vertAlign w:val="superscript"/>
        </w:rPr>
        <w:t>1,</w:t>
      </w:r>
      <w:r w:rsidRPr="26836693">
        <w:rPr>
          <w:rFonts w:eastAsiaTheme="minorEastAsia"/>
          <w:b/>
          <w:bCs/>
          <w:sz w:val="24"/>
          <w:szCs w:val="24"/>
        </w:rPr>
        <w:t xml:space="preserve">*, </w:t>
      </w:r>
      <w:r>
        <w:rPr>
          <w:rFonts w:eastAsiaTheme="minorEastAsia"/>
          <w:b/>
          <w:bCs/>
          <w:sz w:val="24"/>
          <w:szCs w:val="24"/>
        </w:rPr>
        <w:t>Roger Stace</w:t>
      </w:r>
      <w:r w:rsidRPr="00916D1A">
        <w:rPr>
          <w:rFonts w:eastAsiaTheme="minorEastAsia"/>
          <w:b/>
          <w:bCs/>
          <w:sz w:val="24"/>
          <w:szCs w:val="24"/>
          <w:vertAlign w:val="superscript"/>
        </w:rPr>
        <w:t>2</w:t>
      </w:r>
      <w:r>
        <w:rPr>
          <w:rFonts w:eastAsiaTheme="minorEastAsia"/>
          <w:b/>
          <w:bCs/>
          <w:sz w:val="24"/>
          <w:szCs w:val="24"/>
        </w:rPr>
        <w:t xml:space="preserve">, </w:t>
      </w:r>
      <w:r w:rsidRPr="26836693">
        <w:rPr>
          <w:rFonts w:eastAsiaTheme="minorEastAsia"/>
          <w:b/>
          <w:bCs/>
          <w:sz w:val="24"/>
          <w:szCs w:val="24"/>
        </w:rPr>
        <w:t>Saed T Amer</w:t>
      </w:r>
      <w:r w:rsidRPr="00916D1A">
        <w:rPr>
          <w:rFonts w:eastAsiaTheme="minorEastAsia"/>
          <w:b/>
          <w:bCs/>
          <w:sz w:val="24"/>
          <w:szCs w:val="24"/>
          <w:vertAlign w:val="superscript"/>
        </w:rPr>
        <w:t>1</w:t>
      </w:r>
      <w:r w:rsidRPr="26836693">
        <w:rPr>
          <w:rFonts w:eastAsiaTheme="minorEastAsia"/>
          <w:b/>
          <w:bCs/>
          <w:sz w:val="24"/>
          <w:szCs w:val="24"/>
        </w:rPr>
        <w:t>, Mohammed A. Omar</w:t>
      </w:r>
      <w:r w:rsidRPr="00916D1A">
        <w:rPr>
          <w:rFonts w:eastAsiaTheme="minorEastAsia"/>
          <w:b/>
          <w:bCs/>
          <w:sz w:val="24"/>
          <w:szCs w:val="24"/>
          <w:vertAlign w:val="superscript"/>
        </w:rPr>
        <w:t>1</w:t>
      </w:r>
    </w:p>
    <w:p w:rsidR="000C46DF" w:rsidRDefault="000C46DF" w:rsidP="000C46DF">
      <w:pPr>
        <w:spacing w:line="360" w:lineRule="auto"/>
        <w:jc w:val="center"/>
        <w:rPr>
          <w:rFonts w:eastAsiaTheme="minorEastAsia"/>
          <w:sz w:val="24"/>
          <w:szCs w:val="24"/>
        </w:rPr>
      </w:pPr>
      <w:r w:rsidRPr="00916D1A">
        <w:rPr>
          <w:rFonts w:eastAsiaTheme="minorEastAsia"/>
          <w:b/>
          <w:bCs/>
          <w:sz w:val="24"/>
          <w:szCs w:val="24"/>
          <w:vertAlign w:val="superscript"/>
        </w:rPr>
        <w:t>1</w:t>
      </w:r>
      <w:r>
        <w:rPr>
          <w:rFonts w:eastAsiaTheme="minorEastAsia"/>
          <w:b/>
          <w:bCs/>
          <w:sz w:val="24"/>
          <w:szCs w:val="24"/>
          <w:vertAlign w:val="superscript"/>
        </w:rPr>
        <w:t xml:space="preserve"> </w:t>
      </w:r>
      <w:r w:rsidRPr="26836693">
        <w:rPr>
          <w:rFonts w:eastAsiaTheme="minorEastAsia"/>
          <w:sz w:val="24"/>
          <w:szCs w:val="24"/>
        </w:rPr>
        <w:t>Department of Industrial and Systems Engineering, Khalifa University, Abu Dhabi, UAE 127788</w:t>
      </w:r>
    </w:p>
    <w:p w:rsidR="000C46DF" w:rsidRDefault="000C46DF" w:rsidP="000C46DF">
      <w:pPr>
        <w:spacing w:line="360" w:lineRule="auto"/>
        <w:jc w:val="center"/>
        <w:rPr>
          <w:rFonts w:eastAsiaTheme="minorEastAsia"/>
          <w:sz w:val="24"/>
          <w:szCs w:val="24"/>
        </w:rPr>
      </w:pPr>
      <w:r>
        <w:rPr>
          <w:rFonts w:eastAsiaTheme="minorEastAsia"/>
          <w:b/>
          <w:bCs/>
          <w:sz w:val="24"/>
          <w:szCs w:val="24"/>
          <w:vertAlign w:val="superscript"/>
        </w:rPr>
        <w:t xml:space="preserve">2 </w:t>
      </w:r>
      <w:r>
        <w:rPr>
          <w:rFonts w:eastAsiaTheme="minorEastAsia"/>
          <w:sz w:val="24"/>
          <w:szCs w:val="24"/>
        </w:rPr>
        <w:t>CU Denver Business School, University of Colorado-Denver, Denver, CO 80202</w:t>
      </w:r>
    </w:p>
    <w:p w:rsidR="000C46DF" w:rsidRDefault="000C46DF" w:rsidP="000C46DF">
      <w:pPr>
        <w:spacing w:line="360" w:lineRule="auto"/>
        <w:jc w:val="center"/>
        <w:rPr>
          <w:sz w:val="24"/>
          <w:szCs w:val="24"/>
        </w:rPr>
      </w:pPr>
      <w:r w:rsidRPr="26836693">
        <w:rPr>
          <w:sz w:val="24"/>
          <w:szCs w:val="24"/>
        </w:rPr>
        <w:t>* Corresponding Author</w:t>
      </w:r>
    </w:p>
    <w:p w:rsidR="008F201A" w:rsidRDefault="008F201A" w:rsidP="008F201A">
      <w:pPr>
        <w:spacing w:line="360" w:lineRule="auto"/>
        <w:rPr>
          <w:rFonts w:asciiTheme="majorBidi" w:hAnsiTheme="majorBidi" w:cstheme="majorBidi"/>
          <w:b/>
          <w:bCs/>
          <w:sz w:val="24"/>
          <w:szCs w:val="24"/>
        </w:rPr>
      </w:pPr>
      <w:bookmarkStart w:id="1" w:name="_Toc70606021"/>
    </w:p>
    <w:p w:rsidR="008F201A" w:rsidRPr="0006232B" w:rsidRDefault="008F201A" w:rsidP="0006232B">
      <w:pPr>
        <w:pStyle w:val="ListParagraph"/>
        <w:numPr>
          <w:ilvl w:val="0"/>
          <w:numId w:val="6"/>
        </w:numPr>
        <w:spacing w:line="360" w:lineRule="auto"/>
        <w:rPr>
          <w:rFonts w:asciiTheme="majorBidi" w:hAnsiTheme="majorBidi" w:cstheme="majorBidi"/>
          <w:b/>
          <w:bCs/>
        </w:rPr>
      </w:pPr>
      <w:r w:rsidRPr="0006232B">
        <w:rPr>
          <w:rFonts w:asciiTheme="majorBidi" w:hAnsiTheme="majorBidi" w:cstheme="majorBidi"/>
          <w:b/>
          <w:bCs/>
          <w:sz w:val="24"/>
          <w:szCs w:val="24"/>
        </w:rPr>
        <w:t>Advanced drivetrains and lightweight vehicle design</w:t>
      </w:r>
      <w:bookmarkEnd w:id="1"/>
    </w:p>
    <w:p w:rsidR="008F201A" w:rsidRPr="00991741" w:rsidRDefault="008F201A" w:rsidP="00805339">
      <w:pPr>
        <w:keepNext/>
        <w:spacing w:line="360" w:lineRule="auto"/>
        <w:jc w:val="both"/>
        <w:rPr>
          <w:rFonts w:asciiTheme="majorBidi" w:hAnsiTheme="majorBidi" w:cstheme="majorBidi"/>
          <w:color w:val="000000" w:themeColor="text1"/>
        </w:rPr>
      </w:pPr>
      <w:r w:rsidRPr="00991741">
        <w:rPr>
          <w:rFonts w:asciiTheme="majorBidi" w:hAnsiTheme="majorBidi" w:cstheme="majorBidi"/>
          <w:color w:val="000000" w:themeColor="text1"/>
        </w:rPr>
        <w:fldChar w:fldCharType="begin"/>
      </w:r>
      <w:r w:rsidRPr="00991741">
        <w:rPr>
          <w:rFonts w:asciiTheme="majorBidi" w:hAnsiTheme="majorBidi" w:cstheme="majorBidi"/>
          <w:color w:val="000000" w:themeColor="text1"/>
        </w:rPr>
        <w:instrText xml:space="preserve"> REF _Ref97151172 \h </w:instrText>
      </w:r>
      <w:r>
        <w:rPr>
          <w:rFonts w:asciiTheme="majorBidi" w:hAnsiTheme="majorBidi" w:cstheme="majorBidi"/>
          <w:color w:val="000000" w:themeColor="text1"/>
        </w:rPr>
        <w:instrText xml:space="preserve"> \* MERGEFORMAT </w:instrText>
      </w:r>
      <w:r w:rsidRPr="00991741">
        <w:rPr>
          <w:rFonts w:asciiTheme="majorBidi" w:hAnsiTheme="majorBidi" w:cstheme="majorBidi"/>
          <w:color w:val="000000" w:themeColor="text1"/>
        </w:rPr>
      </w:r>
      <w:r w:rsidRPr="00991741">
        <w:rPr>
          <w:rFonts w:asciiTheme="majorBidi" w:hAnsiTheme="majorBidi" w:cstheme="majorBidi"/>
          <w:color w:val="000000" w:themeColor="text1"/>
        </w:rPr>
        <w:fldChar w:fldCharType="separate"/>
      </w:r>
      <w:r w:rsidRPr="002553F0">
        <w:rPr>
          <w:rFonts w:asciiTheme="majorBidi" w:hAnsiTheme="majorBidi" w:cstheme="majorBidi"/>
        </w:rPr>
        <w:t xml:space="preserve">Figure </w:t>
      </w:r>
      <w:r w:rsidRPr="002553F0">
        <w:rPr>
          <w:rFonts w:asciiTheme="majorBidi" w:hAnsiTheme="majorBidi" w:cstheme="majorBidi"/>
          <w:noProof/>
        </w:rPr>
        <w:t>1</w:t>
      </w:r>
      <w:r w:rsidRPr="00991741">
        <w:rPr>
          <w:rFonts w:asciiTheme="majorBidi" w:hAnsiTheme="majorBidi" w:cstheme="majorBidi"/>
          <w:color w:val="000000" w:themeColor="text1"/>
        </w:rPr>
        <w:fldChar w:fldCharType="end"/>
      </w:r>
      <w:r w:rsidRPr="00991741">
        <w:rPr>
          <w:rFonts w:asciiTheme="majorBidi" w:hAnsiTheme="majorBidi" w:cstheme="majorBidi"/>
          <w:color w:val="000000" w:themeColor="text1"/>
        </w:rPr>
        <w:t xml:space="preserve"> from the U.S. Environmental Protection Agency (EPA) shows the trend of passenger car weights, fuel economy, and horsepower for the past five decades. The values in 1975 are the reference value, the average passenger vehicle weight declined from about 1830 kg, </w:t>
      </w:r>
      <w:r>
        <w:rPr>
          <w:rFonts w:asciiTheme="majorBidi" w:hAnsiTheme="majorBidi" w:cstheme="majorBidi"/>
          <w:color w:val="000000" w:themeColor="text1"/>
        </w:rPr>
        <w:t xml:space="preserve">and </w:t>
      </w:r>
      <w:r w:rsidRPr="00991741">
        <w:rPr>
          <w:rFonts w:asciiTheme="majorBidi" w:hAnsiTheme="majorBidi" w:cstheme="majorBidi"/>
          <w:color w:val="000000" w:themeColor="text1"/>
        </w:rPr>
        <w:t xml:space="preserve">fuel economy is 13.5 mpg and 138 horsepower. A noticeable decrease in weight in 1982 reaching slightly over 20%, over the same period, according to the U.S. Environmental Protection Agency numbers, the number of plastics used in a typical U.S. passenger vehicle increased from about 4.6% in 1980 to about 10-12% today </w:t>
      </w:r>
      <w:r w:rsidRPr="00991741">
        <w:rPr>
          <w:rFonts w:asciiTheme="majorBidi" w:hAnsiTheme="majorBidi" w:cstheme="majorBidi"/>
          <w:color w:val="000000" w:themeColor="text1"/>
        </w:rPr>
        <w:fldChar w:fldCharType="begin"/>
      </w:r>
      <w:r w:rsidRPr="00991741">
        <w:rPr>
          <w:rFonts w:asciiTheme="majorBidi" w:hAnsiTheme="majorBidi" w:cstheme="majorBidi"/>
          <w:color w:val="000000" w:themeColor="text1"/>
        </w:rPr>
        <w:instrText xml:space="preserve"> REF _Ref96988371 \n \h </w:instrText>
      </w:r>
      <w:r>
        <w:rPr>
          <w:rFonts w:asciiTheme="majorBidi" w:hAnsiTheme="majorBidi" w:cstheme="majorBidi"/>
          <w:color w:val="000000" w:themeColor="text1"/>
        </w:rPr>
        <w:instrText xml:space="preserve"> \* MERGEFORMAT </w:instrText>
      </w:r>
      <w:r w:rsidRPr="00991741">
        <w:rPr>
          <w:rFonts w:asciiTheme="majorBidi" w:hAnsiTheme="majorBidi" w:cstheme="majorBidi"/>
          <w:color w:val="000000" w:themeColor="text1"/>
        </w:rPr>
      </w:r>
      <w:r w:rsidRPr="00991741">
        <w:rPr>
          <w:rFonts w:asciiTheme="majorBidi" w:hAnsiTheme="majorBidi" w:cstheme="majorBidi"/>
          <w:color w:val="000000" w:themeColor="text1"/>
        </w:rPr>
        <w:fldChar w:fldCharType="separate"/>
      </w:r>
      <w:r>
        <w:rPr>
          <w:rFonts w:asciiTheme="majorBidi" w:hAnsiTheme="majorBidi" w:cstheme="majorBidi"/>
          <w:color w:val="000000" w:themeColor="text1"/>
          <w:cs/>
        </w:rPr>
        <w:t>‎</w:t>
      </w:r>
      <w:r w:rsidRPr="00991741">
        <w:rPr>
          <w:rFonts w:asciiTheme="majorBidi" w:hAnsiTheme="majorBidi" w:cstheme="majorBidi"/>
          <w:color w:val="000000" w:themeColor="text1"/>
        </w:rPr>
        <w:fldChar w:fldCharType="end"/>
      </w:r>
      <w:r w:rsidR="00805339">
        <w:rPr>
          <w:rFonts w:asciiTheme="majorBidi" w:hAnsiTheme="majorBidi" w:cstheme="majorBidi"/>
          <w:color w:val="000000" w:themeColor="text1"/>
        </w:rPr>
        <w:t xml:space="preserve">(EPA, 2022, </w:t>
      </w:r>
      <w:proofErr w:type="spellStart"/>
      <w:r w:rsidR="00805339">
        <w:rPr>
          <w:rFonts w:asciiTheme="majorBidi" w:hAnsiTheme="majorBidi" w:cstheme="majorBidi"/>
          <w:color w:val="000000" w:themeColor="text1"/>
        </w:rPr>
        <w:t>Goguen</w:t>
      </w:r>
      <w:proofErr w:type="spellEnd"/>
      <w:r w:rsidR="00805339">
        <w:rPr>
          <w:rFonts w:asciiTheme="majorBidi" w:hAnsiTheme="majorBidi" w:cstheme="majorBidi"/>
          <w:color w:val="000000" w:themeColor="text1"/>
        </w:rPr>
        <w:t xml:space="preserve"> et al., 2015)</w:t>
      </w:r>
      <w:r w:rsidRPr="00991741">
        <w:rPr>
          <w:rFonts w:asciiTheme="majorBidi" w:hAnsiTheme="majorBidi" w:cstheme="majorBidi"/>
          <w:color w:val="000000" w:themeColor="text1"/>
        </w:rPr>
        <w:t xml:space="preserve">, and we can see the huge increase in fuel economy. However, the customer demand and preference were for larger more durable vehicles, as a result, the average vehicle weight increased again until it reached about 1890 kg in 2009 </w:t>
      </w:r>
      <w:r w:rsidRPr="00991741">
        <w:rPr>
          <w:rFonts w:asciiTheme="majorBidi" w:hAnsiTheme="majorBidi" w:cstheme="majorBidi"/>
          <w:color w:val="000000" w:themeColor="text1"/>
        </w:rPr>
        <w:fldChar w:fldCharType="begin"/>
      </w:r>
      <w:r w:rsidRPr="00991741">
        <w:rPr>
          <w:rFonts w:asciiTheme="majorBidi" w:hAnsiTheme="majorBidi" w:cstheme="majorBidi"/>
          <w:color w:val="000000" w:themeColor="text1"/>
        </w:rPr>
        <w:instrText xml:space="preserve"> REF _Ref96988371 \n \h </w:instrText>
      </w:r>
      <w:r>
        <w:rPr>
          <w:rFonts w:asciiTheme="majorBidi" w:hAnsiTheme="majorBidi" w:cstheme="majorBidi"/>
          <w:color w:val="000000" w:themeColor="text1"/>
        </w:rPr>
        <w:instrText xml:space="preserve"> \* MERGEFORMAT </w:instrText>
      </w:r>
      <w:r w:rsidRPr="00991741">
        <w:rPr>
          <w:rFonts w:asciiTheme="majorBidi" w:hAnsiTheme="majorBidi" w:cstheme="majorBidi"/>
          <w:color w:val="000000" w:themeColor="text1"/>
        </w:rPr>
      </w:r>
      <w:r w:rsidRPr="00991741">
        <w:rPr>
          <w:rFonts w:asciiTheme="majorBidi" w:hAnsiTheme="majorBidi" w:cstheme="majorBidi"/>
          <w:color w:val="000000" w:themeColor="text1"/>
        </w:rPr>
        <w:fldChar w:fldCharType="separate"/>
      </w:r>
      <w:r>
        <w:rPr>
          <w:rFonts w:asciiTheme="majorBidi" w:hAnsiTheme="majorBidi" w:cstheme="majorBidi"/>
          <w:color w:val="000000" w:themeColor="text1"/>
          <w:cs/>
        </w:rPr>
        <w:t>‎</w:t>
      </w:r>
      <w:r w:rsidRPr="00991741">
        <w:rPr>
          <w:rFonts w:asciiTheme="majorBidi" w:hAnsiTheme="majorBidi" w:cstheme="majorBidi"/>
          <w:color w:val="000000" w:themeColor="text1"/>
        </w:rPr>
        <w:fldChar w:fldCharType="end"/>
      </w:r>
      <w:r w:rsidR="00805339" w:rsidRPr="00805339">
        <w:rPr>
          <w:rFonts w:asciiTheme="majorBidi" w:hAnsiTheme="majorBidi" w:cstheme="majorBidi"/>
          <w:color w:val="000000" w:themeColor="text1"/>
        </w:rPr>
        <w:t xml:space="preserve"> </w:t>
      </w:r>
      <w:r w:rsidR="00805339">
        <w:rPr>
          <w:rFonts w:asciiTheme="majorBidi" w:hAnsiTheme="majorBidi" w:cstheme="majorBidi"/>
          <w:color w:val="000000" w:themeColor="text1"/>
        </w:rPr>
        <w:t>(</w:t>
      </w:r>
      <w:proofErr w:type="spellStart"/>
      <w:r w:rsidR="00805339">
        <w:rPr>
          <w:rFonts w:asciiTheme="majorBidi" w:hAnsiTheme="majorBidi" w:cstheme="majorBidi"/>
          <w:color w:val="000000" w:themeColor="text1"/>
        </w:rPr>
        <w:t>Goguen</w:t>
      </w:r>
      <w:proofErr w:type="spellEnd"/>
      <w:r w:rsidR="00805339">
        <w:rPr>
          <w:rFonts w:asciiTheme="majorBidi" w:hAnsiTheme="majorBidi" w:cstheme="majorBidi"/>
          <w:color w:val="000000" w:themeColor="text1"/>
        </w:rPr>
        <w:t xml:space="preserve"> et al., 2015</w:t>
      </w:r>
      <w:r w:rsidR="00805339">
        <w:rPr>
          <w:rFonts w:asciiTheme="majorBidi" w:hAnsiTheme="majorBidi" w:cstheme="majorBidi"/>
          <w:color w:val="000000" w:themeColor="text1"/>
        </w:rPr>
        <w:t>)</w:t>
      </w:r>
      <w:r w:rsidRPr="00991741">
        <w:rPr>
          <w:rFonts w:asciiTheme="majorBidi" w:hAnsiTheme="majorBidi" w:cstheme="majorBidi"/>
          <w:color w:val="000000" w:themeColor="text1"/>
        </w:rPr>
        <w:t xml:space="preserve">. The average weight of vehicles in 2016 returned to 1830 kg because of the added subsystem in the car which made car rides more enjoyable and easier. Weight, horsepower, and fuel economy have seen and will continue to see increasing trends in the next few years. </w:t>
      </w:r>
    </w:p>
    <w:p w:rsidR="008F201A" w:rsidRPr="00266D07" w:rsidRDefault="008F201A" w:rsidP="00805339">
      <w:pPr>
        <w:autoSpaceDE w:val="0"/>
        <w:autoSpaceDN w:val="0"/>
        <w:adjustRightInd w:val="0"/>
        <w:spacing w:after="0" w:line="360" w:lineRule="auto"/>
        <w:jc w:val="both"/>
        <w:rPr>
          <w:rFonts w:asciiTheme="majorBidi" w:hAnsiTheme="majorBidi" w:cstheme="majorBidi"/>
        </w:rPr>
      </w:pPr>
      <w:r w:rsidRPr="00266D07">
        <w:rPr>
          <w:rFonts w:asciiTheme="majorBidi" w:hAnsiTheme="majorBidi" w:cstheme="majorBidi"/>
        </w:rPr>
        <w:t>There are many examples of using lightweight material in the vehicle. In 1990, Aluminum vacuum die casting was introduced along with welding and joining technologies which enabled the production of Aluminum intensive bodies, which were used in high-end vehicles. In 1996, General Motors developed the largest magnesium die casting of instrument panel beam</w:t>
      </w:r>
      <w:r>
        <w:rPr>
          <w:rFonts w:asciiTheme="majorBidi" w:hAnsiTheme="majorBidi" w:cstheme="majorBidi"/>
        </w:rPr>
        <w:t>s</w:t>
      </w:r>
      <w:r w:rsidRPr="00266D07">
        <w:rPr>
          <w:rFonts w:asciiTheme="majorBidi" w:hAnsiTheme="majorBidi" w:cstheme="majorBidi"/>
        </w:rPr>
        <w:t xml:space="preserve">. In 2006, </w:t>
      </w:r>
      <w:proofErr w:type="gramStart"/>
      <w:r w:rsidRPr="00266D07">
        <w:rPr>
          <w:rFonts w:asciiTheme="majorBidi" w:hAnsiTheme="majorBidi" w:cstheme="majorBidi"/>
        </w:rPr>
        <w:t>The</w:t>
      </w:r>
      <w:proofErr w:type="gramEnd"/>
      <w:r w:rsidRPr="00266D07">
        <w:rPr>
          <w:rFonts w:asciiTheme="majorBidi" w:hAnsiTheme="majorBidi" w:cstheme="majorBidi"/>
        </w:rPr>
        <w:t xml:space="preserve"> first one-piece magnesium die</w:t>
      </w:r>
      <w:r>
        <w:rPr>
          <w:rFonts w:asciiTheme="majorBidi" w:hAnsiTheme="majorBidi" w:cstheme="majorBidi"/>
        </w:rPr>
        <w:t>-</w:t>
      </w:r>
      <w:r w:rsidRPr="00266D07">
        <w:rPr>
          <w:rFonts w:asciiTheme="majorBidi" w:hAnsiTheme="majorBidi" w:cstheme="majorBidi"/>
        </w:rPr>
        <w:t xml:space="preserve">casting engine cradle was introduced in </w:t>
      </w:r>
      <w:r>
        <w:rPr>
          <w:rFonts w:asciiTheme="majorBidi" w:hAnsiTheme="majorBidi" w:cstheme="majorBidi"/>
        </w:rPr>
        <w:t xml:space="preserve">the </w:t>
      </w:r>
      <w:r w:rsidRPr="00266D07">
        <w:rPr>
          <w:rFonts w:asciiTheme="majorBidi" w:hAnsiTheme="majorBidi" w:cstheme="majorBidi"/>
        </w:rPr>
        <w:t xml:space="preserve">Chevy corvette Z06 which reduced 35% of the mass over </w:t>
      </w:r>
      <w:r w:rsidRPr="00805339">
        <w:rPr>
          <w:rFonts w:ascii="Times New Roman" w:hAnsi="Times New Roman" w:cs="Times New Roman"/>
          <w:sz w:val="24"/>
          <w:szCs w:val="24"/>
        </w:rPr>
        <w:t xml:space="preserve">Aluminum and 54.5% of the mass over steel. In 2012, a Multi-material vehicle was developed by </w:t>
      </w:r>
      <w:r w:rsidRPr="00805339">
        <w:rPr>
          <w:rFonts w:ascii="Times New Roman" w:hAnsi="Times New Roman" w:cs="Times New Roman"/>
          <w:sz w:val="24"/>
          <w:szCs w:val="24"/>
        </w:rPr>
        <w:lastRenderedPageBreak/>
        <w:t>ford it achieved 23.5% mass reduction and sustained crash testing</w:t>
      </w:r>
      <w:r w:rsidR="00805339" w:rsidRPr="00805339">
        <w:rPr>
          <w:rFonts w:ascii="Times New Roman" w:hAnsi="Times New Roman" w:cs="Times New Roman"/>
          <w:sz w:val="24"/>
          <w:szCs w:val="24"/>
        </w:rPr>
        <w:t xml:space="preserve"> (</w:t>
      </w:r>
      <w:proofErr w:type="spellStart"/>
      <w:r w:rsidR="00805339" w:rsidRPr="00805339">
        <w:rPr>
          <w:rFonts w:ascii="Times New Roman" w:hAnsi="Times New Roman" w:cs="Times New Roman"/>
          <w:color w:val="000000" w:themeColor="text1"/>
          <w:sz w:val="24"/>
          <w:szCs w:val="24"/>
        </w:rPr>
        <w:t>Goguen</w:t>
      </w:r>
      <w:proofErr w:type="spellEnd"/>
      <w:r w:rsidR="00805339" w:rsidRPr="00805339">
        <w:rPr>
          <w:rFonts w:ascii="Times New Roman" w:hAnsi="Times New Roman" w:cs="Times New Roman"/>
          <w:color w:val="000000" w:themeColor="text1"/>
          <w:sz w:val="24"/>
          <w:szCs w:val="24"/>
        </w:rPr>
        <w:t xml:space="preserve"> et al., 2015</w:t>
      </w:r>
      <w:r w:rsidR="00805339" w:rsidRPr="00805339">
        <w:rPr>
          <w:rFonts w:ascii="Times New Roman" w:hAnsi="Times New Roman" w:cs="Times New Roman"/>
          <w:color w:val="000000" w:themeColor="text1"/>
          <w:sz w:val="24"/>
          <w:szCs w:val="24"/>
        </w:rPr>
        <w:t>)</w:t>
      </w:r>
      <w:r w:rsidRPr="00805339">
        <w:rPr>
          <w:rFonts w:ascii="Times New Roman" w:hAnsi="Times New Roman" w:cs="Times New Roman"/>
          <w:sz w:val="24"/>
          <w:szCs w:val="24"/>
        </w:rPr>
        <w:t xml:space="preserve">. Full battery-electric vehicle manufacturers are looking into weight reduction as the weight of the drivetrain is nearly 1.25 times heavier than the internal combustion engine. Light weighting could help in extending the range or reducing the cost via secondary mass reduction through downsizing the battery and motor and keeping the same range </w:t>
      </w:r>
      <w:r w:rsidRPr="00805339">
        <w:rPr>
          <w:rFonts w:ascii="Times New Roman" w:hAnsi="Times New Roman" w:cs="Times New Roman"/>
          <w:sz w:val="24"/>
          <w:szCs w:val="24"/>
        </w:rPr>
        <w:fldChar w:fldCharType="begin"/>
      </w:r>
      <w:r w:rsidRPr="00805339">
        <w:rPr>
          <w:rFonts w:ascii="Times New Roman" w:hAnsi="Times New Roman" w:cs="Times New Roman"/>
          <w:sz w:val="24"/>
          <w:szCs w:val="24"/>
        </w:rPr>
        <w:instrText xml:space="preserve"> REF _Ref97142185 \n \h  \* MERGEFORMAT </w:instrText>
      </w:r>
      <w:r w:rsidRPr="00805339">
        <w:rPr>
          <w:rFonts w:ascii="Times New Roman" w:hAnsi="Times New Roman" w:cs="Times New Roman"/>
          <w:sz w:val="24"/>
          <w:szCs w:val="24"/>
        </w:rPr>
      </w:r>
      <w:r w:rsidRPr="00805339">
        <w:rPr>
          <w:rFonts w:ascii="Times New Roman" w:hAnsi="Times New Roman" w:cs="Times New Roman"/>
          <w:sz w:val="24"/>
          <w:szCs w:val="24"/>
        </w:rPr>
        <w:fldChar w:fldCharType="separate"/>
      </w:r>
      <w:proofErr w:type="gramStart"/>
      <w:r w:rsidRPr="00805339">
        <w:rPr>
          <w:rFonts w:ascii="Times New Roman" w:hAnsi="Times New Roman" w:cs="Times New Roman"/>
          <w:sz w:val="24"/>
          <w:szCs w:val="24"/>
          <w:cs/>
        </w:rPr>
        <w:t>‎</w:t>
      </w:r>
      <w:r w:rsidR="00805339">
        <w:rPr>
          <w:rFonts w:ascii="Times New Roman" w:hAnsi="Times New Roman" w:cs="Times New Roman"/>
          <w:sz w:val="24"/>
          <w:szCs w:val="24"/>
        </w:rPr>
        <w:t>(</w:t>
      </w:r>
      <w:proofErr w:type="spellStart"/>
      <w:proofErr w:type="gramEnd"/>
      <w:r w:rsidR="00805339">
        <w:rPr>
          <w:rFonts w:ascii="Times New Roman" w:hAnsi="Times New Roman" w:cs="Times New Roman"/>
          <w:sz w:val="24"/>
          <w:szCs w:val="24"/>
        </w:rPr>
        <w:t>Cheah</w:t>
      </w:r>
      <w:proofErr w:type="spellEnd"/>
      <w:r w:rsidR="00805339">
        <w:rPr>
          <w:rFonts w:ascii="Times New Roman" w:hAnsi="Times New Roman" w:cs="Times New Roman"/>
          <w:sz w:val="24"/>
          <w:szCs w:val="24"/>
        </w:rPr>
        <w:t>,</w:t>
      </w:r>
      <w:r w:rsidRPr="00805339">
        <w:rPr>
          <w:rFonts w:ascii="Times New Roman" w:hAnsi="Times New Roman" w:cs="Times New Roman"/>
          <w:sz w:val="24"/>
          <w:szCs w:val="24"/>
        </w:rPr>
        <w:fldChar w:fldCharType="end"/>
      </w:r>
      <w:r w:rsidR="00805339">
        <w:rPr>
          <w:rFonts w:ascii="Times New Roman" w:hAnsi="Times New Roman" w:cs="Times New Roman"/>
          <w:sz w:val="24"/>
          <w:szCs w:val="24"/>
        </w:rPr>
        <w:t xml:space="preserve"> 2009)</w:t>
      </w:r>
      <w:r w:rsidRPr="00805339">
        <w:rPr>
          <w:rFonts w:ascii="Times New Roman" w:hAnsi="Times New Roman" w:cs="Times New Roman"/>
          <w:sz w:val="24"/>
          <w:szCs w:val="24"/>
        </w:rPr>
        <w:t>. A project of introducing Aluminum brakes in electric is under consideration because of the reduced braking demand of electric vehicles as it depends on regenerative braking</w:t>
      </w:r>
      <w:r w:rsidR="00805339" w:rsidRPr="00805339">
        <w:rPr>
          <w:rFonts w:ascii="Times New Roman" w:hAnsi="Times New Roman" w:cs="Times New Roman"/>
          <w:sz w:val="24"/>
          <w:szCs w:val="24"/>
        </w:rPr>
        <w:t xml:space="preserve"> (</w:t>
      </w:r>
      <w:proofErr w:type="spellStart"/>
      <w:r w:rsidR="00805339" w:rsidRPr="00805339">
        <w:rPr>
          <w:rFonts w:ascii="Times New Roman" w:hAnsi="Times New Roman" w:cs="Times New Roman"/>
          <w:sz w:val="24"/>
          <w:szCs w:val="24"/>
        </w:rPr>
        <w:t>Cheah</w:t>
      </w:r>
      <w:proofErr w:type="spellEnd"/>
      <w:r w:rsidR="00805339" w:rsidRPr="00805339">
        <w:rPr>
          <w:rFonts w:ascii="Times New Roman" w:hAnsi="Times New Roman" w:cs="Times New Roman"/>
          <w:sz w:val="24"/>
          <w:szCs w:val="24"/>
        </w:rPr>
        <w:t>, 2009)</w:t>
      </w:r>
      <w:r w:rsidRPr="00805339">
        <w:rPr>
          <w:rFonts w:ascii="Times New Roman" w:hAnsi="Times New Roman" w:cs="Times New Roman"/>
          <w:sz w:val="24"/>
          <w:szCs w:val="24"/>
        </w:rPr>
        <w:t>.</w:t>
      </w:r>
      <w:r w:rsidRPr="00805339">
        <w:rPr>
          <w:rFonts w:ascii="Times New Roman" w:hAnsi="Times New Roman" w:cs="Times New Roman"/>
          <w:color w:val="000000" w:themeColor="text1"/>
          <w:sz w:val="24"/>
          <w:szCs w:val="24"/>
        </w:rPr>
        <w:t xml:space="preserve"> The new trends in vehicle light-weighting aim at enhancing the vehicle fuel efficiency as well as improving its driving performance while lowering its tailpipe emissions</w:t>
      </w:r>
      <w:r w:rsidR="00805339" w:rsidRPr="00805339">
        <w:rPr>
          <w:rFonts w:ascii="Times New Roman" w:hAnsi="Times New Roman" w:cs="Times New Roman"/>
          <w:color w:val="000000" w:themeColor="text1"/>
          <w:sz w:val="24"/>
          <w:szCs w:val="24"/>
        </w:rPr>
        <w:t xml:space="preserve"> (Fuchs et al., 2008)</w:t>
      </w:r>
      <w:r w:rsidRPr="00805339">
        <w:rPr>
          <w:rFonts w:ascii="Times New Roman" w:hAnsi="Times New Roman" w:cs="Times New Roman"/>
          <w:color w:val="000000" w:themeColor="text1"/>
          <w:sz w:val="24"/>
          <w:szCs w:val="24"/>
        </w:rPr>
        <w:t>. Many experimental studies found that a 10% reduction in vehicle weight translates into a 6-8% improvement in the vehicle’s fuel economy in terms of Miles per Gallon MPG or kWh per mile</w:t>
      </w:r>
      <w:r w:rsidR="00805339" w:rsidRPr="00805339">
        <w:rPr>
          <w:rFonts w:ascii="Times New Roman" w:hAnsi="Times New Roman" w:cs="Times New Roman"/>
          <w:color w:val="000000" w:themeColor="text1"/>
          <w:sz w:val="24"/>
          <w:szCs w:val="24"/>
        </w:rPr>
        <w:t xml:space="preserve"> (</w:t>
      </w:r>
      <w:r w:rsidR="00805339" w:rsidRPr="00805339">
        <w:rPr>
          <w:rFonts w:ascii="Times New Roman" w:hAnsi="Times New Roman" w:cs="Times New Roman"/>
          <w:color w:val="222222"/>
          <w:sz w:val="24"/>
          <w:szCs w:val="24"/>
          <w:shd w:val="clear" w:color="auto" w:fill="FFFFFF"/>
        </w:rPr>
        <w:t>Czerwinski</w:t>
      </w:r>
      <w:r w:rsidR="00805339" w:rsidRPr="00805339">
        <w:rPr>
          <w:rFonts w:ascii="Times New Roman" w:hAnsi="Times New Roman" w:cs="Times New Roman"/>
          <w:color w:val="000000" w:themeColor="text1"/>
          <w:sz w:val="24"/>
          <w:szCs w:val="24"/>
        </w:rPr>
        <w:t>, 2021; Das, 2000; Timeline, 2022)</w:t>
      </w:r>
      <w:r w:rsidRPr="00805339">
        <w:rPr>
          <w:rFonts w:ascii="Times New Roman" w:hAnsi="Times New Roman" w:cs="Times New Roman"/>
          <w:color w:val="000000" w:themeColor="text1"/>
          <w:sz w:val="24"/>
          <w:szCs w:val="24"/>
        </w:rPr>
        <w:t>.</w:t>
      </w:r>
    </w:p>
    <w:p w:rsidR="008F201A" w:rsidRDefault="008F201A" w:rsidP="008F201A">
      <w:pPr>
        <w:keepNext/>
        <w:spacing w:line="360" w:lineRule="auto"/>
        <w:jc w:val="center"/>
      </w:pPr>
      <w:r>
        <w:rPr>
          <w:noProof/>
        </w:rPr>
        <w:drawing>
          <wp:inline distT="0" distB="0" distL="0" distR="0" wp14:anchorId="60F21E38" wp14:editId="437E399D">
            <wp:extent cx="3811960" cy="3705225"/>
            <wp:effectExtent l="0" t="0" r="0" b="0"/>
            <wp:docPr id="2" name="Picture 2" descr="Highlights of the Automotive Trends Report | US 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lights of the Automotive Trends Report | US EP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4531" cy="3736884"/>
                    </a:xfrm>
                    <a:prstGeom prst="rect">
                      <a:avLst/>
                    </a:prstGeom>
                    <a:noFill/>
                    <a:ln>
                      <a:noFill/>
                    </a:ln>
                  </pic:spPr>
                </pic:pic>
              </a:graphicData>
            </a:graphic>
          </wp:inline>
        </w:drawing>
      </w:r>
    </w:p>
    <w:p w:rsidR="008F201A" w:rsidRPr="00B40059" w:rsidRDefault="008F201A" w:rsidP="00805339">
      <w:pPr>
        <w:pStyle w:val="Caption"/>
        <w:spacing w:line="360" w:lineRule="auto"/>
        <w:jc w:val="center"/>
        <w:rPr>
          <w:rFonts w:asciiTheme="majorHAnsi" w:hAnsiTheme="majorHAnsi" w:cstheme="majorHAnsi"/>
          <w:color w:val="000000" w:themeColor="text1"/>
          <w:sz w:val="22"/>
          <w:szCs w:val="22"/>
        </w:rPr>
      </w:pPr>
      <w:bookmarkStart w:id="2" w:name="_Ref97151172"/>
      <w:r>
        <w:t xml:space="preserve">Figure </w:t>
      </w:r>
      <w:fldSimple w:instr=" SEQ Figure \* ARABIC ">
        <w:r>
          <w:rPr>
            <w:noProof/>
          </w:rPr>
          <w:t>1</w:t>
        </w:r>
      </w:fldSimple>
      <w:bookmarkEnd w:id="2"/>
      <w:r>
        <w:rPr>
          <w:noProof/>
        </w:rPr>
        <w:t>.</w:t>
      </w:r>
      <w:r>
        <w:t xml:space="preserve"> </w:t>
      </w:r>
      <w:r w:rsidRPr="00AE6428">
        <w:t>Change in Adjusted Fuel Economy, Weight, and Horsepower for Model Years 1975-</w:t>
      </w:r>
      <w:proofErr w:type="gramStart"/>
      <w:r w:rsidRPr="00AE6428">
        <w:t>20</w:t>
      </w:r>
      <w:r>
        <w:t xml:space="preserve">20 </w:t>
      </w:r>
      <w:r w:rsidR="00805339">
        <w:t xml:space="preserve"> (</w:t>
      </w:r>
      <w:proofErr w:type="spellStart"/>
      <w:proofErr w:type="gramEnd"/>
      <w:r w:rsidR="00805339">
        <w:t>Cheah</w:t>
      </w:r>
      <w:proofErr w:type="spellEnd"/>
      <w:r w:rsidR="00805339">
        <w:t>, 2010)</w:t>
      </w:r>
    </w:p>
    <w:p w:rsidR="008F201A" w:rsidRDefault="008F201A"/>
    <w:p w:rsidR="008F201A" w:rsidRPr="00991741" w:rsidRDefault="008F201A" w:rsidP="00805339">
      <w:pPr>
        <w:spacing w:line="360" w:lineRule="auto"/>
        <w:ind w:firstLine="720"/>
        <w:jc w:val="both"/>
        <w:rPr>
          <w:rFonts w:asciiTheme="majorBidi" w:hAnsiTheme="majorBidi" w:cstheme="majorBidi"/>
          <w:color w:val="000000" w:themeColor="text1"/>
        </w:rPr>
      </w:pPr>
      <w:r w:rsidRPr="00991741">
        <w:rPr>
          <w:rFonts w:asciiTheme="majorBidi" w:hAnsiTheme="majorBidi" w:cstheme="majorBidi"/>
          <w:color w:val="000000" w:themeColor="text1"/>
        </w:rPr>
        <w:t xml:space="preserve">When it comes to the energy expenditures in driving the car on the road, and as we can see in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_Ref97368439 \h  \* MERGEFORMAT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r>
        <w:t xml:space="preserve">Figure </w:t>
      </w:r>
      <w:r>
        <w:rPr>
          <w:noProof/>
        </w:rPr>
        <w:t>2</w:t>
      </w:r>
      <w:r>
        <w:rPr>
          <w:rFonts w:asciiTheme="majorBidi" w:hAnsiTheme="majorBidi" w:cstheme="majorBidi"/>
          <w:color w:val="000000" w:themeColor="text1"/>
        </w:rPr>
        <w:fldChar w:fldCharType="end"/>
      </w:r>
      <w:r w:rsidRPr="00991741">
        <w:rPr>
          <w:rFonts w:asciiTheme="majorBidi" w:hAnsiTheme="majorBidi" w:cstheme="majorBidi"/>
          <w:color w:val="000000" w:themeColor="text1"/>
        </w:rPr>
        <w:t xml:space="preserve">, </w:t>
      </w:r>
      <w:r>
        <w:rPr>
          <w:rFonts w:asciiTheme="majorBidi" w:hAnsiTheme="majorBidi" w:cstheme="majorBidi"/>
          <w:color w:val="000000" w:themeColor="text1"/>
        </w:rPr>
        <w:t xml:space="preserve">the mass of the vehicle is involved in </w:t>
      </w:r>
      <w:r w:rsidRPr="00991741">
        <w:rPr>
          <w:rFonts w:asciiTheme="majorBidi" w:hAnsiTheme="majorBidi" w:cstheme="majorBidi"/>
          <w:color w:val="000000" w:themeColor="text1"/>
        </w:rPr>
        <w:t xml:space="preserve">three out of the </w:t>
      </w:r>
      <w:r>
        <w:rPr>
          <w:rFonts w:asciiTheme="majorBidi" w:hAnsiTheme="majorBidi" w:cstheme="majorBidi"/>
          <w:color w:val="000000" w:themeColor="text1"/>
        </w:rPr>
        <w:t xml:space="preserve">four </w:t>
      </w:r>
      <w:r w:rsidRPr="00991741">
        <w:rPr>
          <w:rFonts w:asciiTheme="majorBidi" w:hAnsiTheme="majorBidi" w:cstheme="majorBidi"/>
          <w:color w:val="000000" w:themeColor="text1"/>
        </w:rPr>
        <w:t>typical</w:t>
      </w:r>
      <w:r>
        <w:rPr>
          <w:rFonts w:asciiTheme="majorBidi" w:hAnsiTheme="majorBidi" w:cstheme="majorBidi"/>
          <w:color w:val="000000" w:themeColor="text1"/>
        </w:rPr>
        <w:t xml:space="preserve"> force</w:t>
      </w:r>
      <w:r w:rsidRPr="00991741">
        <w:rPr>
          <w:rFonts w:asciiTheme="majorBidi" w:hAnsiTheme="majorBidi" w:cstheme="majorBidi"/>
          <w:color w:val="000000" w:themeColor="text1"/>
        </w:rPr>
        <w:t xml:space="preserve"> components that the vehicle has </w:t>
      </w:r>
      <w:r w:rsidRPr="00991741">
        <w:rPr>
          <w:rFonts w:asciiTheme="majorBidi" w:hAnsiTheme="majorBidi" w:cstheme="majorBidi"/>
          <w:color w:val="000000" w:themeColor="text1"/>
        </w:rPr>
        <w:lastRenderedPageBreak/>
        <w:t>to resist while moving. It was found empirically for many vehicles that for each 100 kg mass reduction there is a potential reduction in fuel consumption for about 0.3 to 0.5 liter per 100 km and 8.5 to 14 grams of carbon dioxide gas reduction per km driven</w:t>
      </w:r>
      <w:r w:rsidR="00805339">
        <w:rPr>
          <w:rFonts w:asciiTheme="majorBidi" w:hAnsiTheme="majorBidi" w:cstheme="majorBidi"/>
          <w:color w:val="000000" w:themeColor="text1"/>
        </w:rPr>
        <w:t xml:space="preserve"> (EPA, 2022)</w:t>
      </w:r>
      <w:r w:rsidRPr="00991741">
        <w:rPr>
          <w:rFonts w:asciiTheme="majorBidi" w:hAnsiTheme="majorBidi" w:cstheme="majorBidi"/>
          <w:color w:val="000000" w:themeColor="text1"/>
        </w:rPr>
        <w:t>. The reduction of the mass will result in lesser horsepower needed to move the vehicle which could translate into two enhancement</w:t>
      </w:r>
      <w:r>
        <w:rPr>
          <w:rFonts w:asciiTheme="majorBidi" w:hAnsiTheme="majorBidi" w:cstheme="majorBidi"/>
          <w:color w:val="000000" w:themeColor="text1"/>
        </w:rPr>
        <w:t>s</w:t>
      </w:r>
      <w:r w:rsidRPr="00991741">
        <w:rPr>
          <w:rFonts w:asciiTheme="majorBidi" w:hAnsiTheme="majorBidi" w:cstheme="majorBidi"/>
          <w:color w:val="000000" w:themeColor="text1"/>
        </w:rPr>
        <w:t xml:space="preserve">; </w:t>
      </w:r>
      <w:r>
        <w:rPr>
          <w:rFonts w:asciiTheme="majorBidi" w:hAnsiTheme="majorBidi" w:cstheme="majorBidi"/>
          <w:color w:val="000000" w:themeColor="text1"/>
        </w:rPr>
        <w:t xml:space="preserve">the </w:t>
      </w:r>
      <w:r w:rsidRPr="00991741">
        <w:rPr>
          <w:rFonts w:asciiTheme="majorBidi" w:hAnsiTheme="majorBidi" w:cstheme="majorBidi"/>
          <w:color w:val="000000" w:themeColor="text1"/>
        </w:rPr>
        <w:t xml:space="preserve">first is keeping the high horsepower engine to get a more powerful car, or the second </w:t>
      </w:r>
      <w:r>
        <w:rPr>
          <w:rFonts w:asciiTheme="majorBidi" w:hAnsiTheme="majorBidi" w:cstheme="majorBidi"/>
          <w:color w:val="000000" w:themeColor="text1"/>
        </w:rPr>
        <w:t>improvement</w:t>
      </w:r>
      <w:r w:rsidRPr="00991741">
        <w:rPr>
          <w:rFonts w:asciiTheme="majorBidi" w:hAnsiTheme="majorBidi" w:cstheme="majorBidi"/>
          <w:color w:val="000000" w:themeColor="text1"/>
        </w:rPr>
        <w:t xml:space="preserve">, which is </w:t>
      </w:r>
      <w:r>
        <w:rPr>
          <w:rFonts w:asciiTheme="majorBidi" w:hAnsiTheme="majorBidi" w:cstheme="majorBidi"/>
          <w:color w:val="000000" w:themeColor="text1"/>
        </w:rPr>
        <w:t xml:space="preserve">considered </w:t>
      </w:r>
      <w:r w:rsidRPr="00991741">
        <w:rPr>
          <w:rFonts w:asciiTheme="majorBidi" w:hAnsiTheme="majorBidi" w:cstheme="majorBidi"/>
          <w:color w:val="000000" w:themeColor="text1"/>
        </w:rPr>
        <w:t xml:space="preserve">more environmentally friendly, </w:t>
      </w:r>
      <w:r>
        <w:rPr>
          <w:rFonts w:asciiTheme="majorBidi" w:hAnsiTheme="majorBidi" w:cstheme="majorBidi"/>
          <w:color w:val="000000" w:themeColor="text1"/>
        </w:rPr>
        <w:t xml:space="preserve">is to </w:t>
      </w:r>
      <w:r w:rsidRPr="00991741">
        <w:rPr>
          <w:rFonts w:asciiTheme="majorBidi" w:hAnsiTheme="majorBidi" w:cstheme="majorBidi"/>
          <w:color w:val="000000" w:themeColor="text1"/>
        </w:rPr>
        <w:t>downsiz</w:t>
      </w:r>
      <w:r>
        <w:rPr>
          <w:rFonts w:asciiTheme="majorBidi" w:hAnsiTheme="majorBidi" w:cstheme="majorBidi"/>
          <w:color w:val="000000" w:themeColor="text1"/>
        </w:rPr>
        <w:t>e</w:t>
      </w:r>
      <w:r w:rsidRPr="00991741">
        <w:rPr>
          <w:rFonts w:asciiTheme="majorBidi" w:hAnsiTheme="majorBidi" w:cstheme="majorBidi"/>
          <w:color w:val="000000" w:themeColor="text1"/>
        </w:rPr>
        <w:t xml:space="preserve"> the engine to the needed horsepower. A smaller engine means that many parts under the hood will also be down-scaled resulting in a lighter vehicle. Another important fact to highlight </w:t>
      </w:r>
      <w:r>
        <w:rPr>
          <w:rFonts w:asciiTheme="majorBidi" w:hAnsiTheme="majorBidi" w:cstheme="majorBidi"/>
          <w:color w:val="000000" w:themeColor="text1"/>
        </w:rPr>
        <w:t xml:space="preserve">in this context </w:t>
      </w:r>
      <w:r w:rsidRPr="00991741">
        <w:rPr>
          <w:rFonts w:asciiTheme="majorBidi" w:hAnsiTheme="majorBidi" w:cstheme="majorBidi"/>
          <w:color w:val="000000" w:themeColor="text1"/>
        </w:rPr>
        <w:t xml:space="preserve">is that the percentage of the weight of the passenger relative to the total mass is </w:t>
      </w:r>
      <w:r>
        <w:rPr>
          <w:rFonts w:asciiTheme="majorBidi" w:hAnsiTheme="majorBidi" w:cstheme="majorBidi"/>
          <w:color w:val="000000" w:themeColor="text1"/>
        </w:rPr>
        <w:t>0.</w:t>
      </w:r>
      <w:r w:rsidRPr="00991741">
        <w:rPr>
          <w:rFonts w:asciiTheme="majorBidi" w:hAnsiTheme="majorBidi" w:cstheme="majorBidi"/>
          <w:color w:val="000000" w:themeColor="text1"/>
        </w:rPr>
        <w:t>5% on average, so 9</w:t>
      </w:r>
      <w:r>
        <w:rPr>
          <w:rFonts w:asciiTheme="majorBidi" w:hAnsiTheme="majorBidi" w:cstheme="majorBidi"/>
          <w:color w:val="000000" w:themeColor="text1"/>
        </w:rPr>
        <w:t>9.5</w:t>
      </w:r>
      <w:r w:rsidRPr="00991741">
        <w:rPr>
          <w:rFonts w:asciiTheme="majorBidi" w:hAnsiTheme="majorBidi" w:cstheme="majorBidi"/>
          <w:color w:val="000000" w:themeColor="text1"/>
        </w:rPr>
        <w:t xml:space="preserve">% of the energy consumed is to move the vehicle so reducing the mass of the vehicle will make the transportation process more efficient and more environmentally-friendly. </w:t>
      </w:r>
    </w:p>
    <w:p w:rsidR="008F201A" w:rsidRDefault="008F201A" w:rsidP="008F201A">
      <w:pPr>
        <w:keepNext/>
        <w:spacing w:line="360" w:lineRule="auto"/>
        <w:jc w:val="center"/>
      </w:pPr>
      <w:r w:rsidRPr="00B40059">
        <w:rPr>
          <w:rFonts w:asciiTheme="majorHAnsi" w:hAnsiTheme="majorHAnsi" w:cstheme="majorHAnsi"/>
          <w:noProof/>
          <w:color w:val="000000" w:themeColor="text1"/>
        </w:rPr>
        <w:drawing>
          <wp:inline distT="0" distB="0" distL="0" distR="0" wp14:anchorId="35A68EF0" wp14:editId="51C663F4">
            <wp:extent cx="6026128" cy="2457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6741" cy="2457700"/>
                    </a:xfrm>
                    <a:prstGeom prst="rect">
                      <a:avLst/>
                    </a:prstGeom>
                    <a:noFill/>
                    <a:ln>
                      <a:noFill/>
                    </a:ln>
                  </pic:spPr>
                </pic:pic>
              </a:graphicData>
            </a:graphic>
          </wp:inline>
        </w:drawing>
      </w:r>
    </w:p>
    <w:p w:rsidR="008F201A" w:rsidRPr="00087F52" w:rsidRDefault="008F201A" w:rsidP="008F201A">
      <w:pPr>
        <w:pStyle w:val="ListParagraph"/>
        <w:numPr>
          <w:ilvl w:val="0"/>
          <w:numId w:val="1"/>
        </w:numPr>
        <w:jc w:val="center"/>
        <w:rPr>
          <w:b/>
          <w:bCs/>
        </w:rPr>
      </w:pPr>
      <w:r w:rsidRPr="00087F52">
        <w:rPr>
          <w:b/>
          <w:bCs/>
        </w:rPr>
        <w:t xml:space="preserve">                                                                                        (b)</w:t>
      </w:r>
    </w:p>
    <w:p w:rsidR="008F201A" w:rsidRDefault="008F201A" w:rsidP="00805339">
      <w:bookmarkStart w:id="3" w:name="_Ref97368439"/>
      <w:r>
        <w:t xml:space="preserve">Figure </w:t>
      </w:r>
      <w:fldSimple w:instr=" SEQ Figure \* ARABIC ">
        <w:r>
          <w:rPr>
            <w:noProof/>
          </w:rPr>
          <w:t>2</w:t>
        </w:r>
      </w:fldSimple>
      <w:bookmarkEnd w:id="3"/>
      <w:r>
        <w:rPr>
          <w:noProof/>
        </w:rPr>
        <w:t>.</w:t>
      </w:r>
      <w:r>
        <w:t xml:space="preserve"> Schematic showing (a) the forces acting on the vehicle while on the road, and the effect </w:t>
      </w:r>
      <w:r w:rsidRPr="0049658D">
        <w:t xml:space="preserve"> of mass on the driving performance</w:t>
      </w:r>
      <w:r>
        <w:t xml:space="preserve"> and (b) the</w:t>
      </w:r>
      <w:r w:rsidRPr="0049658D">
        <w:t xml:space="preserve"> correlation between vehicle weight, fuel consumption, and CO2 emissions </w:t>
      </w:r>
      <w:r w:rsidR="00805339">
        <w:t>(Mayyas et al., 2012)</w:t>
      </w:r>
    </w:p>
    <w:p w:rsidR="0006232B" w:rsidRPr="0006232B" w:rsidRDefault="0006232B" w:rsidP="0006232B">
      <w:pPr>
        <w:pStyle w:val="ListParagraph"/>
        <w:numPr>
          <w:ilvl w:val="0"/>
          <w:numId w:val="6"/>
        </w:numPr>
        <w:rPr>
          <w:b/>
          <w:bCs/>
          <w:sz w:val="24"/>
          <w:szCs w:val="24"/>
        </w:rPr>
      </w:pPr>
      <w:r w:rsidRPr="0006232B">
        <w:rPr>
          <w:b/>
          <w:bCs/>
          <w:sz w:val="24"/>
          <w:szCs w:val="24"/>
        </w:rPr>
        <w:t xml:space="preserve">Eco-material Selection for </w:t>
      </w:r>
      <w:proofErr w:type="spellStart"/>
      <w:r w:rsidRPr="0006232B">
        <w:rPr>
          <w:b/>
          <w:bCs/>
          <w:sz w:val="24"/>
          <w:szCs w:val="24"/>
        </w:rPr>
        <w:t>Autobodies</w:t>
      </w:r>
      <w:proofErr w:type="spellEnd"/>
    </w:p>
    <w:p w:rsidR="00253017" w:rsidRDefault="00253017" w:rsidP="00425288">
      <w:pPr>
        <w:spacing w:line="360" w:lineRule="auto"/>
        <w:rPr>
          <w:rFonts w:asciiTheme="majorBidi" w:hAnsiTheme="majorBidi" w:cstheme="majorBidi"/>
        </w:rPr>
      </w:pPr>
      <w:r w:rsidRPr="00266D07">
        <w:rPr>
          <w:rFonts w:asciiTheme="majorBidi" w:hAnsiTheme="majorBidi" w:cstheme="majorBidi"/>
        </w:rPr>
        <w:t>The material selection process has 3 major steps: the first step is the formulation of the model with the required objectives and constraints that the material should satisfy to achieve the desired function. The second is the formulation of the performance metric to measure how well a material</w:t>
      </w:r>
      <w:r>
        <w:rPr>
          <w:rFonts w:asciiTheme="majorBidi" w:hAnsiTheme="majorBidi" w:cstheme="majorBidi"/>
        </w:rPr>
        <w:t xml:space="preserve"> can match</w:t>
      </w:r>
      <w:r w:rsidRPr="00266D07">
        <w:rPr>
          <w:rFonts w:asciiTheme="majorBidi" w:hAnsiTheme="majorBidi" w:cstheme="majorBidi"/>
        </w:rPr>
        <w:t xml:space="preserve"> a set of design requirements. And </w:t>
      </w:r>
      <w:r>
        <w:rPr>
          <w:rFonts w:asciiTheme="majorBidi" w:hAnsiTheme="majorBidi" w:cstheme="majorBidi"/>
        </w:rPr>
        <w:t xml:space="preserve">in </w:t>
      </w:r>
      <w:r w:rsidRPr="00266D07">
        <w:rPr>
          <w:rFonts w:asciiTheme="majorBidi" w:hAnsiTheme="majorBidi" w:cstheme="majorBidi"/>
        </w:rPr>
        <w:t>the third step</w:t>
      </w:r>
      <w:r>
        <w:rPr>
          <w:rFonts w:asciiTheme="majorBidi" w:hAnsiTheme="majorBidi" w:cstheme="majorBidi"/>
        </w:rPr>
        <w:t>,</w:t>
      </w:r>
      <w:r w:rsidRPr="00266D07">
        <w:rPr>
          <w:rFonts w:asciiTheme="majorBidi" w:hAnsiTheme="majorBidi" w:cstheme="majorBidi"/>
        </w:rPr>
        <w:t xml:space="preserve"> </w:t>
      </w:r>
      <w:r>
        <w:rPr>
          <w:rFonts w:asciiTheme="majorBidi" w:hAnsiTheme="majorBidi" w:cstheme="majorBidi"/>
        </w:rPr>
        <w:t xml:space="preserve">the </w:t>
      </w:r>
      <w:r w:rsidRPr="00266D07">
        <w:rPr>
          <w:rFonts w:asciiTheme="majorBidi" w:hAnsiTheme="majorBidi" w:cstheme="majorBidi"/>
        </w:rPr>
        <w:t xml:space="preserve">search procedure </w:t>
      </w:r>
      <w:r>
        <w:rPr>
          <w:rFonts w:asciiTheme="majorBidi" w:hAnsiTheme="majorBidi" w:cstheme="majorBidi"/>
        </w:rPr>
        <w:t xml:space="preserve">is used </w:t>
      </w:r>
      <w:r w:rsidRPr="00266D07">
        <w:rPr>
          <w:rFonts w:asciiTheme="majorBidi" w:hAnsiTheme="majorBidi" w:cstheme="majorBidi"/>
        </w:rPr>
        <w:t>for exploring solution</w:t>
      </w:r>
      <w:r>
        <w:rPr>
          <w:rFonts w:asciiTheme="majorBidi" w:hAnsiTheme="majorBidi" w:cstheme="majorBidi"/>
        </w:rPr>
        <w:t xml:space="preserve"> </w:t>
      </w:r>
      <w:r w:rsidRPr="00266D07">
        <w:rPr>
          <w:rFonts w:asciiTheme="majorBidi" w:hAnsiTheme="majorBidi" w:cstheme="majorBidi"/>
        </w:rPr>
        <w:t>space, identifying materials that meet the constraints</w:t>
      </w:r>
      <w:r>
        <w:rPr>
          <w:rFonts w:asciiTheme="majorBidi" w:hAnsiTheme="majorBidi" w:cstheme="majorBidi"/>
        </w:rPr>
        <w:t>,</w:t>
      </w:r>
      <w:r w:rsidRPr="00266D07">
        <w:rPr>
          <w:rFonts w:asciiTheme="majorBidi" w:hAnsiTheme="majorBidi" w:cstheme="majorBidi"/>
        </w:rPr>
        <w:t xml:space="preserve"> and ranking them by their ability to meet the requirements</w:t>
      </w:r>
      <w:r>
        <w:rPr>
          <w:rFonts w:asciiTheme="majorBidi" w:hAnsiTheme="majorBidi" w:cstheme="majorBidi"/>
        </w:rPr>
        <w:t xml:space="preserve"> (Ashby et al., 2004). </w:t>
      </w:r>
    </w:p>
    <w:p w:rsidR="00CC2404" w:rsidRDefault="00CC2404" w:rsidP="00425288">
      <w:pPr>
        <w:spacing w:line="360" w:lineRule="auto"/>
        <w:rPr>
          <w:rFonts w:ascii="Calibri" w:hAnsi="Calibri" w:cs="Calibri"/>
          <w:bCs/>
        </w:rPr>
      </w:pPr>
      <w:r w:rsidRPr="00266D07">
        <w:rPr>
          <w:rFonts w:asciiTheme="majorBidi" w:hAnsiTheme="majorBidi" w:cstheme="majorBidi"/>
          <w:bCs/>
        </w:rPr>
        <w:lastRenderedPageBreak/>
        <w:t xml:space="preserve">Here is an example of eco-material selection for a flat panel subject to bending force that has a length L, </w:t>
      </w:r>
      <w:proofErr w:type="gramStart"/>
      <w:r w:rsidRPr="00266D07">
        <w:rPr>
          <w:rFonts w:asciiTheme="majorBidi" w:hAnsiTheme="majorBidi" w:cstheme="majorBidi"/>
          <w:bCs/>
        </w:rPr>
        <w:t>width</w:t>
      </w:r>
      <w:proofErr w:type="gramEnd"/>
      <w:r w:rsidRPr="00266D07">
        <w:rPr>
          <w:rFonts w:asciiTheme="majorBidi" w:hAnsiTheme="majorBidi" w:cstheme="majorBidi"/>
          <w:bCs/>
        </w:rPr>
        <w:t xml:space="preserve"> w, and thickness t, subjected to a bending force F (</w:t>
      </w:r>
      <w:r w:rsidRPr="00266D07">
        <w:rPr>
          <w:rFonts w:asciiTheme="majorBidi" w:hAnsiTheme="majorBidi" w:cstheme="majorBidi"/>
          <w:bCs/>
        </w:rPr>
        <w:fldChar w:fldCharType="begin"/>
      </w:r>
      <w:r w:rsidRPr="00266D07">
        <w:rPr>
          <w:rFonts w:asciiTheme="majorBidi" w:hAnsiTheme="majorBidi" w:cstheme="majorBidi"/>
          <w:bCs/>
        </w:rPr>
        <w:instrText xml:space="preserve"> REF _Ref97136538 \h </w:instrText>
      </w:r>
      <w:r>
        <w:rPr>
          <w:rFonts w:asciiTheme="majorBidi" w:hAnsiTheme="majorBidi" w:cstheme="majorBidi"/>
          <w:bCs/>
        </w:rPr>
        <w:instrText xml:space="preserve"> \* MERGEFORMAT </w:instrText>
      </w:r>
      <w:r w:rsidRPr="00266D07">
        <w:rPr>
          <w:rFonts w:asciiTheme="majorBidi" w:hAnsiTheme="majorBidi" w:cstheme="majorBidi"/>
          <w:bCs/>
        </w:rPr>
      </w:r>
      <w:r w:rsidRPr="00266D07">
        <w:rPr>
          <w:rFonts w:asciiTheme="majorBidi" w:hAnsiTheme="majorBidi" w:cstheme="majorBidi"/>
          <w:bCs/>
        </w:rPr>
        <w:fldChar w:fldCharType="separate"/>
      </w:r>
      <w:r w:rsidRPr="002553F0">
        <w:rPr>
          <w:rFonts w:asciiTheme="majorBidi" w:hAnsiTheme="majorBidi" w:cstheme="majorBidi"/>
        </w:rPr>
        <w:t xml:space="preserve">Figure </w:t>
      </w:r>
      <w:r w:rsidR="00425288">
        <w:rPr>
          <w:rFonts w:asciiTheme="majorBidi" w:hAnsiTheme="majorBidi" w:cstheme="majorBidi"/>
          <w:noProof/>
        </w:rPr>
        <w:t>3</w:t>
      </w:r>
      <w:r w:rsidRPr="00266D07">
        <w:rPr>
          <w:rFonts w:asciiTheme="majorBidi" w:hAnsiTheme="majorBidi" w:cstheme="majorBidi"/>
          <w:bCs/>
        </w:rPr>
        <w:fldChar w:fldCharType="end"/>
      </w:r>
      <w:r w:rsidRPr="00266D07">
        <w:rPr>
          <w:rFonts w:asciiTheme="majorBidi" w:hAnsiTheme="majorBidi" w:cstheme="majorBidi"/>
          <w:bCs/>
        </w:rPr>
        <w:t xml:space="preserve">). Typical BIW panels that </w:t>
      </w:r>
      <w:r>
        <w:rPr>
          <w:rFonts w:asciiTheme="majorBidi" w:hAnsiTheme="majorBidi" w:cstheme="majorBidi"/>
          <w:bCs/>
        </w:rPr>
        <w:t>are under such stress</w:t>
      </w:r>
      <w:r w:rsidRPr="00266D07">
        <w:rPr>
          <w:rFonts w:asciiTheme="majorBidi" w:hAnsiTheme="majorBidi" w:cstheme="majorBidi"/>
          <w:bCs/>
        </w:rPr>
        <w:t xml:space="preserve"> include </w:t>
      </w:r>
      <w:r w:rsidRPr="00266D07">
        <w:rPr>
          <w:rFonts w:asciiTheme="majorBidi" w:eastAsia="Calibri" w:hAnsiTheme="majorBidi" w:cstheme="majorBidi"/>
          <w:color w:val="000000" w:themeColor="text1"/>
        </w:rPr>
        <w:t xml:space="preserve">roof reinforcement, inner hood panel, and inner trunk panel. Schematic of the panel dimensions and </w:t>
      </w:r>
      <w:r>
        <w:rPr>
          <w:rFonts w:asciiTheme="majorBidi" w:eastAsia="Calibri" w:hAnsiTheme="majorBidi" w:cstheme="majorBidi"/>
          <w:color w:val="000000" w:themeColor="text1"/>
        </w:rPr>
        <w:t xml:space="preserve">the force acting on it </w:t>
      </w:r>
      <w:r w:rsidRPr="00266D07">
        <w:rPr>
          <w:rFonts w:asciiTheme="majorBidi" w:eastAsia="Calibri" w:hAnsiTheme="majorBidi" w:cstheme="majorBidi"/>
          <w:color w:val="000000" w:themeColor="text1"/>
        </w:rPr>
        <w:t xml:space="preserve">are shown in </w:t>
      </w:r>
      <w:r w:rsidRPr="00266D07">
        <w:rPr>
          <w:rFonts w:asciiTheme="majorBidi" w:eastAsia="Calibri" w:hAnsiTheme="majorBidi" w:cstheme="majorBidi"/>
          <w:color w:val="000000" w:themeColor="text1"/>
        </w:rPr>
        <w:fldChar w:fldCharType="begin"/>
      </w:r>
      <w:r w:rsidRPr="00266D07">
        <w:rPr>
          <w:rFonts w:asciiTheme="majorBidi" w:eastAsia="Calibri" w:hAnsiTheme="majorBidi" w:cstheme="majorBidi"/>
          <w:color w:val="000000" w:themeColor="text1"/>
        </w:rPr>
        <w:instrText xml:space="preserve"> REF _Ref97136538 \h </w:instrText>
      </w:r>
      <w:r>
        <w:rPr>
          <w:rFonts w:asciiTheme="majorBidi" w:eastAsia="Calibri" w:hAnsiTheme="majorBidi" w:cstheme="majorBidi"/>
          <w:color w:val="000000" w:themeColor="text1"/>
        </w:rPr>
        <w:instrText xml:space="preserve"> \* MERGEFORMAT </w:instrText>
      </w:r>
      <w:r w:rsidRPr="00266D07">
        <w:rPr>
          <w:rFonts w:asciiTheme="majorBidi" w:eastAsia="Calibri" w:hAnsiTheme="majorBidi" w:cstheme="majorBidi"/>
          <w:color w:val="000000" w:themeColor="text1"/>
        </w:rPr>
      </w:r>
      <w:r w:rsidRPr="00266D07">
        <w:rPr>
          <w:rFonts w:asciiTheme="majorBidi" w:eastAsia="Calibri" w:hAnsiTheme="majorBidi" w:cstheme="majorBidi"/>
          <w:color w:val="000000" w:themeColor="text1"/>
        </w:rPr>
        <w:fldChar w:fldCharType="separate"/>
      </w:r>
      <w:r w:rsidRPr="002553F0">
        <w:rPr>
          <w:rFonts w:asciiTheme="majorBidi" w:hAnsiTheme="majorBidi" w:cstheme="majorBidi"/>
        </w:rPr>
        <w:t xml:space="preserve">Figure </w:t>
      </w:r>
      <w:r w:rsidR="00425288">
        <w:rPr>
          <w:rFonts w:asciiTheme="majorBidi" w:hAnsiTheme="majorBidi" w:cstheme="majorBidi"/>
          <w:noProof/>
        </w:rPr>
        <w:t>3</w:t>
      </w:r>
      <w:r w:rsidRPr="00266D07">
        <w:rPr>
          <w:rFonts w:asciiTheme="majorBidi" w:eastAsia="Calibri" w:hAnsiTheme="majorBidi" w:cstheme="majorBidi"/>
          <w:color w:val="000000" w:themeColor="text1"/>
        </w:rPr>
        <w:fldChar w:fldCharType="end"/>
      </w:r>
      <w:r>
        <w:rPr>
          <w:rFonts w:ascii="Calibri" w:eastAsia="Calibri" w:hAnsi="Calibri" w:cs="Calibri"/>
          <w:color w:val="000000" w:themeColor="text1"/>
        </w:rPr>
        <w:t>.</w:t>
      </w:r>
    </w:p>
    <w:p w:rsidR="00CC2404" w:rsidRDefault="00CC2404" w:rsidP="00CC2404">
      <w:pPr>
        <w:pStyle w:val="Caption"/>
        <w:keepNext/>
        <w:spacing w:line="360" w:lineRule="auto"/>
        <w:jc w:val="center"/>
      </w:pPr>
      <w:r w:rsidRPr="00266D07">
        <w:rPr>
          <w:rFonts w:ascii="Calibri" w:hAnsi="Calibri" w:cs="Calibri"/>
          <w:noProof/>
          <w:sz w:val="22"/>
          <w:szCs w:val="22"/>
        </w:rPr>
        <w:drawing>
          <wp:inline distT="0" distB="0" distL="0" distR="0" wp14:anchorId="216A0FF3" wp14:editId="7CF2A462">
            <wp:extent cx="4054475" cy="1371600"/>
            <wp:effectExtent l="0" t="0" r="317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4475" cy="1371600"/>
                    </a:xfrm>
                    <a:prstGeom prst="rect">
                      <a:avLst/>
                    </a:prstGeom>
                    <a:noFill/>
                  </pic:spPr>
                </pic:pic>
              </a:graphicData>
            </a:graphic>
          </wp:inline>
        </w:drawing>
      </w:r>
    </w:p>
    <w:p w:rsidR="00CC2404" w:rsidRPr="00AE087F" w:rsidRDefault="00CC2404" w:rsidP="00AE087F">
      <w:pPr>
        <w:jc w:val="center"/>
      </w:pPr>
      <w:bookmarkStart w:id="4" w:name="_Ref97136538"/>
      <w:r w:rsidRPr="00AE087F">
        <w:t xml:space="preserve">Figure </w:t>
      </w:r>
      <w:bookmarkEnd w:id="4"/>
      <w:r w:rsidRPr="00AE087F">
        <w:t>3. Simply Supported Solid Rectangular Panel under Bending Force</w:t>
      </w:r>
    </w:p>
    <w:p w:rsidR="00AE087F" w:rsidRDefault="00AE087F" w:rsidP="00AE087F">
      <w:bookmarkStart w:id="5" w:name="_Ref95727268"/>
      <w:r>
        <w:t xml:space="preserve">Table 1 summarizes the major functional panels in the body-in-white alongside their main design functions. Generally speaking, structural panels such as floor pan and inner pillars are designed for bending stiffness, while outer panels (e.g. roof, hood and outer trunk) are designed for dent resistance.  </w:t>
      </w:r>
    </w:p>
    <w:p w:rsidR="00AE087F" w:rsidRDefault="00AE087F" w:rsidP="00AE087F">
      <w:pPr>
        <w:jc w:val="center"/>
      </w:pPr>
    </w:p>
    <w:p w:rsidR="008F201A" w:rsidRPr="00AE087F" w:rsidRDefault="008F201A" w:rsidP="00AE087F">
      <w:pPr>
        <w:jc w:val="center"/>
      </w:pPr>
      <w:r w:rsidRPr="00AE087F">
        <w:t>Table</w:t>
      </w:r>
      <w:bookmarkEnd w:id="5"/>
      <w:r w:rsidR="00AE087F">
        <w:t xml:space="preserve"> 1</w:t>
      </w:r>
      <w:r w:rsidRPr="00AE087F">
        <w:t>. The main design function for BIW parts</w:t>
      </w:r>
      <w:r w:rsidR="00425288" w:rsidRPr="00AE087F">
        <w:t xml:space="preserve"> </w:t>
      </w:r>
      <w:r w:rsidR="00805339" w:rsidRPr="00AE087F">
        <w:t>(Mayyas et al., 2012)</w:t>
      </w:r>
    </w:p>
    <w:tbl>
      <w:tblPr>
        <w:tblStyle w:val="TableGrid"/>
        <w:tblW w:w="9360" w:type="dxa"/>
        <w:tblLayout w:type="fixed"/>
        <w:tblLook w:val="00A0" w:firstRow="1" w:lastRow="0" w:firstColumn="1" w:lastColumn="0" w:noHBand="0" w:noVBand="0"/>
      </w:tblPr>
      <w:tblGrid>
        <w:gridCol w:w="1250"/>
        <w:gridCol w:w="2430"/>
        <w:gridCol w:w="5680"/>
      </w:tblGrid>
      <w:tr w:rsidR="008F201A" w:rsidTr="008F201A">
        <w:trPr>
          <w:trHeight w:val="315"/>
        </w:trPr>
        <w:tc>
          <w:tcPr>
            <w:tcW w:w="1250" w:type="dxa"/>
            <w:tcBorders>
              <w:top w:val="single" w:sz="8" w:space="0" w:color="666666"/>
              <w:left w:val="single" w:sz="8" w:space="0" w:color="666666"/>
              <w:bottom w:val="single" w:sz="12" w:space="0" w:color="666666"/>
              <w:right w:val="single" w:sz="8" w:space="0" w:color="666666"/>
            </w:tcBorders>
          </w:tcPr>
          <w:p w:rsidR="008F201A" w:rsidRDefault="008F201A" w:rsidP="008F201A">
            <w:pPr>
              <w:spacing w:line="360" w:lineRule="auto"/>
              <w:jc w:val="center"/>
            </w:pPr>
            <w:r w:rsidRPr="1D537413">
              <w:rPr>
                <w:rFonts w:ascii="Calibri" w:eastAsia="Calibri" w:hAnsi="Calibri" w:cs="Calibri"/>
                <w:b/>
                <w:bCs/>
                <w:color w:val="000000" w:themeColor="text1"/>
              </w:rPr>
              <w:t>No.</w:t>
            </w:r>
          </w:p>
        </w:tc>
        <w:tc>
          <w:tcPr>
            <w:tcW w:w="2430" w:type="dxa"/>
            <w:tcBorders>
              <w:top w:val="single" w:sz="8" w:space="0" w:color="666666"/>
              <w:left w:val="single" w:sz="8" w:space="0" w:color="666666"/>
              <w:bottom w:val="single" w:sz="12"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Panel Name</w:t>
            </w:r>
          </w:p>
        </w:tc>
        <w:tc>
          <w:tcPr>
            <w:tcW w:w="5680" w:type="dxa"/>
            <w:tcBorders>
              <w:top w:val="single" w:sz="8" w:space="0" w:color="666666"/>
              <w:left w:val="single" w:sz="8" w:space="0" w:color="666666"/>
              <w:bottom w:val="single" w:sz="12" w:space="0" w:color="666666"/>
              <w:right w:val="single" w:sz="8" w:space="0" w:color="666666"/>
            </w:tcBorders>
          </w:tcPr>
          <w:p w:rsidR="008F201A" w:rsidRDefault="008F201A" w:rsidP="008F201A">
            <w:pPr>
              <w:spacing w:line="360" w:lineRule="auto"/>
            </w:pPr>
            <w:r w:rsidRPr="1D537413">
              <w:rPr>
                <w:rFonts w:ascii="Calibri" w:eastAsia="Calibri" w:hAnsi="Calibri" w:cs="Calibri"/>
                <w:b/>
                <w:bCs/>
                <w:color w:val="000000" w:themeColor="text1"/>
              </w:rPr>
              <w:t>Main Design Functions</w:t>
            </w:r>
          </w:p>
        </w:tc>
      </w:tr>
      <w:tr w:rsidR="008F201A" w:rsidTr="008F201A">
        <w:trPr>
          <w:trHeight w:val="300"/>
        </w:trPr>
        <w:tc>
          <w:tcPr>
            <w:tcW w:w="1250" w:type="dxa"/>
            <w:tcBorders>
              <w:top w:val="single" w:sz="12"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1</w:t>
            </w:r>
          </w:p>
        </w:tc>
        <w:tc>
          <w:tcPr>
            <w:tcW w:w="2430" w:type="dxa"/>
            <w:tcBorders>
              <w:top w:val="single" w:sz="12"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Roof</w:t>
            </w:r>
          </w:p>
        </w:tc>
        <w:tc>
          <w:tcPr>
            <w:tcW w:w="5680" w:type="dxa"/>
            <w:tcBorders>
              <w:top w:val="single" w:sz="12"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Dent Resistance,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2</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Roof Reinforcement</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Bending Stiffness, NVH, Ease of manufacturing</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3</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Hood (inner)</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Bending Stiffness, NVH, Ease of manufacturing</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4</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Hood (outer)</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Dent Resistance, NVH</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5</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Trunk (inner)</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Bending Stiffness, NVH, Ease of manufacturing</w:t>
            </w:r>
          </w:p>
        </w:tc>
      </w:tr>
      <w:tr w:rsidR="008F201A" w:rsidTr="008F201A">
        <w:trPr>
          <w:trHeight w:val="405"/>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6</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Trunk (outer)</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Dent Resistance, NVH</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7</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Trunk Pan</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Strength,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8</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Tunnel Reinforcement</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Strength,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9</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Engine Cradle</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Crashworthiness, Temperature Performance,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10</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Shock Towers</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Bending Stiffness,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11</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Splash/fire Wall</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Temperature Performance,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12</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Quarter Panel</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Dent Resistance, NVH</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13</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Front Fender</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Dent Resistance, NVH</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14</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Door (inner)</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Bending Stiffness, NVH, Ease of manufacturing</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lastRenderedPageBreak/>
              <w:t>15</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Door (outer)</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Dent Resistance, NVH</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16</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Side Members</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Bending Stiffness,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17</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Wheel House</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Bending Stiffness, NVH, Durability</w:t>
            </w:r>
          </w:p>
        </w:tc>
      </w:tr>
      <w:tr w:rsidR="008F201A" w:rsidTr="008F201A">
        <w:trPr>
          <w:trHeight w:val="300"/>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18</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A, B Pillars</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Bending Stiffness, NVH, Ease of manufacturing, Durability</w:t>
            </w:r>
          </w:p>
        </w:tc>
      </w:tr>
      <w:tr w:rsidR="008F201A" w:rsidTr="008F201A">
        <w:trPr>
          <w:trHeight w:val="315"/>
        </w:trPr>
        <w:tc>
          <w:tcPr>
            <w:tcW w:w="125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jc w:val="center"/>
            </w:pPr>
            <w:r w:rsidRPr="1D537413">
              <w:rPr>
                <w:rFonts w:ascii="Calibri" w:eastAsia="Calibri" w:hAnsi="Calibri" w:cs="Calibri"/>
                <w:b/>
                <w:bCs/>
                <w:color w:val="000000" w:themeColor="text1"/>
              </w:rPr>
              <w:t>19</w:t>
            </w:r>
          </w:p>
        </w:tc>
        <w:tc>
          <w:tcPr>
            <w:tcW w:w="243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Floor pan</w:t>
            </w:r>
          </w:p>
        </w:tc>
        <w:tc>
          <w:tcPr>
            <w:tcW w:w="5680" w:type="dxa"/>
            <w:tcBorders>
              <w:top w:val="single" w:sz="8" w:space="0" w:color="666666"/>
              <w:left w:val="single" w:sz="8" w:space="0" w:color="666666"/>
              <w:bottom w:val="single" w:sz="8" w:space="0" w:color="666666"/>
              <w:right w:val="single" w:sz="8" w:space="0" w:color="666666"/>
            </w:tcBorders>
            <w:shd w:val="clear" w:color="auto" w:fill="CCCCCC"/>
          </w:tcPr>
          <w:p w:rsidR="008F201A" w:rsidRDefault="008F201A" w:rsidP="008F201A">
            <w:pPr>
              <w:spacing w:line="360" w:lineRule="auto"/>
            </w:pPr>
            <w:r w:rsidRPr="1D537413">
              <w:rPr>
                <w:rFonts w:ascii="Calibri" w:eastAsia="Calibri" w:hAnsi="Calibri" w:cs="Calibri"/>
                <w:color w:val="000000" w:themeColor="text1"/>
              </w:rPr>
              <w:t>Strength, NVH, Durability</w:t>
            </w:r>
          </w:p>
        </w:tc>
      </w:tr>
      <w:tr w:rsidR="008F201A" w:rsidTr="008F201A">
        <w:trPr>
          <w:trHeight w:val="315"/>
        </w:trPr>
        <w:tc>
          <w:tcPr>
            <w:tcW w:w="125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jc w:val="center"/>
            </w:pPr>
            <w:r w:rsidRPr="1D537413">
              <w:rPr>
                <w:rFonts w:ascii="Calibri" w:eastAsia="Calibri" w:hAnsi="Calibri" w:cs="Calibri"/>
                <w:b/>
                <w:bCs/>
                <w:color w:val="000000" w:themeColor="text1"/>
              </w:rPr>
              <w:t>20</w:t>
            </w:r>
          </w:p>
        </w:tc>
        <w:tc>
          <w:tcPr>
            <w:tcW w:w="243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 xml:space="preserve">Bumper </w:t>
            </w:r>
          </w:p>
        </w:tc>
        <w:tc>
          <w:tcPr>
            <w:tcW w:w="5680" w:type="dxa"/>
            <w:tcBorders>
              <w:top w:val="single" w:sz="8" w:space="0" w:color="666666"/>
              <w:left w:val="single" w:sz="8" w:space="0" w:color="666666"/>
              <w:bottom w:val="single" w:sz="8" w:space="0" w:color="666666"/>
              <w:right w:val="single" w:sz="8" w:space="0" w:color="666666"/>
            </w:tcBorders>
            <w:shd w:val="clear" w:color="auto" w:fill="FFFFFF" w:themeFill="background1"/>
          </w:tcPr>
          <w:p w:rsidR="008F201A" w:rsidRDefault="008F201A" w:rsidP="008F201A">
            <w:pPr>
              <w:spacing w:line="360" w:lineRule="auto"/>
            </w:pPr>
            <w:r w:rsidRPr="1D537413">
              <w:rPr>
                <w:rFonts w:ascii="Calibri" w:eastAsia="Calibri" w:hAnsi="Calibri" w:cs="Calibri"/>
                <w:color w:val="000000" w:themeColor="text1"/>
              </w:rPr>
              <w:t>Crashworthiness, NVH, Durability</w:t>
            </w:r>
          </w:p>
        </w:tc>
      </w:tr>
    </w:tbl>
    <w:p w:rsidR="008F201A" w:rsidRPr="00614E32" w:rsidRDefault="008F201A" w:rsidP="008F201A">
      <w:pPr>
        <w:spacing w:line="360" w:lineRule="auto"/>
        <w:jc w:val="both"/>
        <w:rPr>
          <w:rFonts w:ascii="Calibri" w:eastAsia="Calibri" w:hAnsi="Calibri" w:cs="Calibri"/>
        </w:rPr>
      </w:pPr>
      <w:r w:rsidRPr="1D537413">
        <w:rPr>
          <w:rFonts w:ascii="Calibri" w:eastAsia="Calibri" w:hAnsi="Calibri" w:cs="Calibri"/>
          <w:b/>
          <w:bCs/>
        </w:rPr>
        <w:t xml:space="preserve"> </w:t>
      </w:r>
      <w:r w:rsidRPr="00614E32">
        <w:rPr>
          <w:rFonts w:ascii="Calibri" w:eastAsia="Calibri" w:hAnsi="Calibri" w:cs="Calibri"/>
        </w:rPr>
        <w:t>NVH: Noise, vibration</w:t>
      </w:r>
      <w:r>
        <w:rPr>
          <w:rFonts w:ascii="Calibri" w:eastAsia="Calibri" w:hAnsi="Calibri" w:cs="Calibri"/>
        </w:rPr>
        <w:t>,</w:t>
      </w:r>
      <w:r w:rsidRPr="00614E32">
        <w:rPr>
          <w:rFonts w:ascii="Calibri" w:eastAsia="Calibri" w:hAnsi="Calibri" w:cs="Calibri"/>
        </w:rPr>
        <w:t xml:space="preserve"> and harshness</w:t>
      </w:r>
    </w:p>
    <w:p w:rsidR="008F201A" w:rsidRPr="00266D07" w:rsidRDefault="008F201A" w:rsidP="008F201A">
      <w:pPr>
        <w:spacing w:line="360" w:lineRule="auto"/>
        <w:rPr>
          <w:rFonts w:asciiTheme="majorBidi" w:hAnsiTheme="majorBidi" w:cstheme="majorBidi"/>
        </w:rPr>
      </w:pPr>
      <w:r w:rsidRPr="00266D07">
        <w:rPr>
          <w:rFonts w:asciiTheme="majorBidi" w:hAnsiTheme="majorBidi" w:cstheme="majorBidi"/>
        </w:rPr>
        <w:t xml:space="preserve">This panel should not fail under bending </w:t>
      </w:r>
      <w:r>
        <w:rPr>
          <w:rFonts w:asciiTheme="majorBidi" w:hAnsiTheme="majorBidi" w:cstheme="majorBidi"/>
        </w:rPr>
        <w:t>force. For eco-materials selection in this example,</w:t>
      </w:r>
      <w:r w:rsidRPr="00266D07">
        <w:rPr>
          <w:rFonts w:asciiTheme="majorBidi" w:hAnsiTheme="majorBidi" w:cstheme="majorBidi"/>
        </w:rPr>
        <w:t xml:space="preserve"> the objective </w:t>
      </w:r>
      <w:r>
        <w:rPr>
          <w:rFonts w:asciiTheme="majorBidi" w:hAnsiTheme="majorBidi" w:cstheme="majorBidi"/>
        </w:rPr>
        <w:t xml:space="preserve">would be </w:t>
      </w:r>
      <w:r w:rsidRPr="00266D07">
        <w:rPr>
          <w:rFonts w:asciiTheme="majorBidi" w:hAnsiTheme="majorBidi" w:cstheme="majorBidi"/>
        </w:rPr>
        <w:t xml:space="preserve">minimizing the mass of the panel (m). That </w:t>
      </w:r>
      <w:r>
        <w:rPr>
          <w:rFonts w:asciiTheme="majorBidi" w:hAnsiTheme="majorBidi" w:cstheme="majorBidi"/>
        </w:rPr>
        <w:t>implies that</w:t>
      </w:r>
      <w:r w:rsidRPr="00266D07">
        <w:rPr>
          <w:rFonts w:asciiTheme="majorBidi" w:hAnsiTheme="majorBidi" w:cstheme="majorBidi"/>
        </w:rPr>
        <w:t xml:space="preserve"> the bending stress on the panel should not exceed its yield stress</w:t>
      </w:r>
      <w:r>
        <w:rPr>
          <w:rFonts w:asciiTheme="majorBidi" w:hAnsiTheme="majorBidi" w:cstheme="majorBidi"/>
        </w:rPr>
        <w:t xml:space="preserve"> to avoid plastic deformation. That is</w:t>
      </w:r>
      <w:r w:rsidRPr="00266D07">
        <w:rPr>
          <w:rFonts w:asciiTheme="majorBidi" w:hAnsiTheme="majorBidi" w:cstheme="majorBidi"/>
        </w:rPr>
        <w:t>:</w:t>
      </w:r>
    </w:p>
    <w:p w:rsidR="008F201A" w:rsidRPr="00266D07" w:rsidRDefault="008F201A" w:rsidP="008F201A">
      <w:pPr>
        <w:spacing w:line="360" w:lineRule="auto"/>
        <w:jc w:val="right"/>
        <w:rPr>
          <w:rFonts w:ascii="Calibri" w:eastAsiaTheme="minorEastAsia" w:hAnsi="Calibri" w:cs="Calibri"/>
        </w:rPr>
      </w:pPr>
      <m:oMath>
        <m:sSub>
          <m:sSubPr>
            <m:ctrlPr>
              <w:rPr>
                <w:rFonts w:ascii="Cambria Math" w:hAnsi="Cambria Math" w:cs="Calibri"/>
                <w:i/>
              </w:rPr>
            </m:ctrlPr>
          </m:sSubPr>
          <m:e>
            <m:r>
              <w:rPr>
                <w:rFonts w:ascii="Cambria Math" w:hAnsi="Cambria Math" w:cs="Calibri"/>
              </w:rPr>
              <m:t>σ</m:t>
            </m:r>
          </m:e>
          <m:sub>
            <m:r>
              <w:rPr>
                <w:rFonts w:ascii="Cambria Math" w:hAnsi="Cambria Math" w:cs="Calibri"/>
              </w:rPr>
              <m:t>y</m:t>
            </m:r>
          </m:sub>
        </m:sSub>
        <m:r>
          <w:rPr>
            <w:rFonts w:ascii="Cambria Math" w:hAnsi="Cambria Math" w:cs="Calibri"/>
          </w:rPr>
          <m:t>&gt;</m:t>
        </m:r>
        <m:f>
          <m:fPr>
            <m:ctrlPr>
              <w:rPr>
                <w:rFonts w:ascii="Cambria Math" w:hAnsi="Cambria Math" w:cs="Calibri"/>
                <w:i/>
              </w:rPr>
            </m:ctrlPr>
          </m:fPr>
          <m:num>
            <m:r>
              <w:rPr>
                <w:rFonts w:ascii="Cambria Math" w:hAnsi="Cambria Math" w:cs="Calibri"/>
              </w:rPr>
              <m:t>M.</m:t>
            </m:r>
            <m:f>
              <m:fPr>
                <m:type m:val="skw"/>
                <m:ctrlPr>
                  <w:rPr>
                    <w:rFonts w:ascii="Cambria Math" w:hAnsi="Cambria Math" w:cs="Calibri"/>
                    <w:i/>
                  </w:rPr>
                </m:ctrlPr>
              </m:fPr>
              <m:num>
                <m:r>
                  <w:rPr>
                    <w:rFonts w:ascii="Cambria Math" w:hAnsi="Cambria Math" w:cs="Calibri"/>
                  </w:rPr>
                  <m:t>t</m:t>
                </m:r>
              </m:num>
              <m:den>
                <m:r>
                  <w:rPr>
                    <w:rFonts w:ascii="Cambria Math" w:hAnsi="Cambria Math" w:cs="Calibri"/>
                  </w:rPr>
                  <m:t>2</m:t>
                </m:r>
              </m:den>
            </m:f>
          </m:num>
          <m:den>
            <m:r>
              <w:rPr>
                <w:rFonts w:ascii="Cambria Math" w:hAnsi="Cambria Math" w:cs="Calibri"/>
              </w:rPr>
              <m:t>I</m:t>
            </m:r>
          </m:den>
        </m:f>
        <m:r>
          <w:rPr>
            <w:rFonts w:ascii="Cambria Math" w:hAnsi="Cambria Math" w:cs="Calibri"/>
          </w:rPr>
          <m:t>=</m:t>
        </m:r>
        <m:f>
          <m:fPr>
            <m:ctrlPr>
              <w:rPr>
                <w:rFonts w:ascii="Cambria Math" w:hAnsi="Cambria Math" w:cs="Calibri"/>
                <w:i/>
              </w:rPr>
            </m:ctrlPr>
          </m:fPr>
          <m:num>
            <m:r>
              <w:rPr>
                <w:rFonts w:ascii="Cambria Math" w:hAnsi="Cambria Math" w:cs="Calibri"/>
              </w:rPr>
              <m:t>3F.L</m:t>
            </m:r>
          </m:num>
          <m:den>
            <m:r>
              <w:rPr>
                <w:rFonts w:ascii="Cambria Math" w:hAnsi="Cambria Math" w:cs="Calibri"/>
              </w:rPr>
              <m:t>w.</m:t>
            </m:r>
            <m:sSup>
              <m:sSupPr>
                <m:ctrlPr>
                  <w:rPr>
                    <w:rFonts w:ascii="Cambria Math" w:hAnsi="Cambria Math" w:cs="Calibri"/>
                    <w:i/>
                  </w:rPr>
                </m:ctrlPr>
              </m:sSupPr>
              <m:e>
                <m:r>
                  <w:rPr>
                    <w:rFonts w:ascii="Cambria Math" w:hAnsi="Cambria Math" w:cs="Calibri"/>
                  </w:rPr>
                  <m:t>t</m:t>
                </m:r>
              </m:e>
              <m:sup>
                <m:r>
                  <w:rPr>
                    <w:rFonts w:ascii="Cambria Math" w:hAnsi="Cambria Math" w:cs="Calibri"/>
                  </w:rPr>
                  <m:t>2</m:t>
                </m:r>
              </m:sup>
            </m:sSup>
          </m:den>
        </m:f>
      </m:oMath>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t>(1)</w:t>
      </w:r>
    </w:p>
    <w:p w:rsidR="008F201A" w:rsidRPr="00266D07" w:rsidRDefault="008F201A" w:rsidP="008F201A">
      <w:pPr>
        <w:spacing w:line="360" w:lineRule="auto"/>
        <w:jc w:val="right"/>
        <w:rPr>
          <w:rFonts w:ascii="Calibri" w:eastAsiaTheme="minorEastAsia" w:hAnsi="Calibri" w:cs="Calibri"/>
        </w:rPr>
      </w:pPr>
      <m:oMath>
        <m:r>
          <w:rPr>
            <w:rFonts w:ascii="Cambria Math" w:eastAsiaTheme="minorEastAsia" w:hAnsi="Cambria Math" w:cs="Calibri"/>
          </w:rPr>
          <m:t>I=</m:t>
        </m:r>
        <m:f>
          <m:fPr>
            <m:ctrlPr>
              <w:rPr>
                <w:rFonts w:ascii="Cambria Math" w:eastAsiaTheme="minorEastAsia" w:hAnsi="Cambria Math" w:cs="Calibri"/>
                <w:i/>
              </w:rPr>
            </m:ctrlPr>
          </m:fPr>
          <m:num>
            <m:r>
              <w:rPr>
                <w:rFonts w:ascii="Cambria Math" w:eastAsiaTheme="minorEastAsia" w:hAnsi="Cambria Math" w:cs="Calibri"/>
              </w:rPr>
              <m:t>w.</m:t>
            </m:r>
            <m:sSup>
              <m:sSupPr>
                <m:ctrlPr>
                  <w:rPr>
                    <w:rFonts w:ascii="Cambria Math" w:eastAsiaTheme="minorEastAsia" w:hAnsi="Cambria Math" w:cs="Calibri"/>
                    <w:i/>
                  </w:rPr>
                </m:ctrlPr>
              </m:sSupPr>
              <m:e>
                <m:r>
                  <w:rPr>
                    <w:rFonts w:ascii="Cambria Math" w:eastAsiaTheme="minorEastAsia" w:hAnsi="Cambria Math" w:cs="Calibri"/>
                  </w:rPr>
                  <m:t>t</m:t>
                </m:r>
              </m:e>
              <m:sup>
                <m:r>
                  <w:rPr>
                    <w:rFonts w:ascii="Cambria Math" w:eastAsiaTheme="minorEastAsia" w:hAnsi="Cambria Math" w:cs="Calibri"/>
                  </w:rPr>
                  <m:t>3</m:t>
                </m:r>
              </m:sup>
            </m:sSup>
          </m:num>
          <m:den>
            <m:r>
              <w:rPr>
                <w:rFonts w:ascii="Cambria Math" w:eastAsiaTheme="minorEastAsia" w:hAnsi="Cambria Math" w:cs="Calibri"/>
              </w:rPr>
              <m:t>12</m:t>
            </m:r>
          </m:den>
        </m:f>
      </m:oMath>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t>(2)</w:t>
      </w:r>
    </w:p>
    <w:p w:rsidR="008F201A" w:rsidRPr="00266D07" w:rsidRDefault="008F201A" w:rsidP="008F201A">
      <w:pPr>
        <w:spacing w:line="360" w:lineRule="auto"/>
        <w:rPr>
          <w:rFonts w:asciiTheme="majorBidi" w:hAnsiTheme="majorBidi" w:cstheme="majorBidi"/>
        </w:rPr>
      </w:pPr>
      <w:r w:rsidRPr="00266D07">
        <w:rPr>
          <w:rFonts w:asciiTheme="majorBidi" w:eastAsiaTheme="minorEastAsia" w:hAnsiTheme="majorBidi" w:cstheme="majorBidi"/>
        </w:rPr>
        <w:t xml:space="preserve">Where: </w:t>
      </w:r>
      <w:r w:rsidRPr="00266D07">
        <w:rPr>
          <w:rFonts w:asciiTheme="majorBidi" w:hAnsiTheme="majorBidi" w:cstheme="majorBidi"/>
        </w:rPr>
        <w:t xml:space="preserve">m = mass, w = width, L = length, ρ = density, t = thickness, I = </w:t>
      </w:r>
      <w:r>
        <w:rPr>
          <w:rFonts w:asciiTheme="majorBidi" w:hAnsiTheme="majorBidi" w:cstheme="majorBidi"/>
        </w:rPr>
        <w:t xml:space="preserve">the </w:t>
      </w:r>
      <w:r w:rsidRPr="00266D07">
        <w:rPr>
          <w:rFonts w:asciiTheme="majorBidi" w:hAnsiTheme="majorBidi" w:cstheme="majorBidi"/>
        </w:rPr>
        <w:t xml:space="preserve">second moment of area, </w:t>
      </w:r>
      <w:proofErr w:type="spellStart"/>
      <w:r w:rsidRPr="00266D07">
        <w:rPr>
          <w:rFonts w:asciiTheme="majorBidi" w:hAnsiTheme="majorBidi" w:cstheme="majorBidi"/>
        </w:rPr>
        <w:t>σ</w:t>
      </w:r>
      <w:r w:rsidRPr="00266D07">
        <w:rPr>
          <w:rFonts w:asciiTheme="majorBidi" w:hAnsiTheme="majorBidi" w:cstheme="majorBidi"/>
          <w:vertAlign w:val="subscript"/>
        </w:rPr>
        <w:t>y</w:t>
      </w:r>
      <w:proofErr w:type="spellEnd"/>
      <w:r w:rsidRPr="00266D07">
        <w:rPr>
          <w:rFonts w:asciiTheme="majorBidi" w:hAnsiTheme="majorBidi" w:cstheme="majorBidi"/>
        </w:rPr>
        <w:t xml:space="preserve"> = yield strength.</w:t>
      </w:r>
    </w:p>
    <w:p w:rsidR="008F201A" w:rsidRPr="00266D07" w:rsidRDefault="008F201A" w:rsidP="008F201A">
      <w:pPr>
        <w:spacing w:line="360" w:lineRule="auto"/>
        <w:rPr>
          <w:rFonts w:asciiTheme="majorBidi" w:hAnsiTheme="majorBidi" w:cstheme="majorBidi"/>
        </w:rPr>
      </w:pPr>
      <w:r w:rsidRPr="00266D07">
        <w:rPr>
          <w:rFonts w:asciiTheme="majorBidi" w:hAnsiTheme="majorBidi" w:cstheme="majorBidi"/>
        </w:rPr>
        <w:t>In this example, assuming that we have a BIW panel with fixed length and width due to the limitations in the space design while</w:t>
      </w:r>
      <w:r>
        <w:rPr>
          <w:rFonts w:asciiTheme="majorBidi" w:hAnsiTheme="majorBidi" w:cstheme="majorBidi"/>
        </w:rPr>
        <w:t xml:space="preserve"> the</w:t>
      </w:r>
      <w:r w:rsidRPr="00266D07">
        <w:rPr>
          <w:rFonts w:asciiTheme="majorBidi" w:hAnsiTheme="majorBidi" w:cstheme="majorBidi"/>
        </w:rPr>
        <w:t xml:space="preserve"> thickness can be varied to meet the design requirements. Rearranging </w:t>
      </w:r>
      <w:r>
        <w:rPr>
          <w:rFonts w:asciiTheme="majorBidi" w:hAnsiTheme="majorBidi" w:cstheme="majorBidi"/>
        </w:rPr>
        <w:t>E</w:t>
      </w:r>
      <w:r w:rsidRPr="00266D07">
        <w:rPr>
          <w:rFonts w:asciiTheme="majorBidi" w:hAnsiTheme="majorBidi" w:cstheme="majorBidi"/>
        </w:rPr>
        <w:t>quation 1 give</w:t>
      </w:r>
      <w:r>
        <w:rPr>
          <w:rFonts w:asciiTheme="majorBidi" w:hAnsiTheme="majorBidi" w:cstheme="majorBidi"/>
        </w:rPr>
        <w:t>s</w:t>
      </w:r>
      <w:r w:rsidRPr="00266D07">
        <w:rPr>
          <w:rFonts w:asciiTheme="majorBidi" w:hAnsiTheme="majorBidi" w:cstheme="majorBidi"/>
        </w:rPr>
        <w:t xml:space="preserve"> the following equation</w:t>
      </w:r>
      <w:r>
        <w:rPr>
          <w:rFonts w:asciiTheme="majorBidi" w:hAnsiTheme="majorBidi" w:cstheme="majorBidi"/>
        </w:rPr>
        <w:t xml:space="preserve"> for thickness </w:t>
      </w:r>
      <w:r w:rsidRPr="00CB03EE">
        <w:rPr>
          <w:rFonts w:asciiTheme="majorBidi" w:hAnsiTheme="majorBidi" w:cstheme="majorBidi"/>
          <w:i/>
          <w:iCs/>
        </w:rPr>
        <w:t>t</w:t>
      </w:r>
      <w:r w:rsidRPr="00266D07">
        <w:rPr>
          <w:rFonts w:asciiTheme="majorBidi" w:hAnsiTheme="majorBidi" w:cstheme="majorBidi"/>
        </w:rPr>
        <w:t xml:space="preserve"> as a function of </w:t>
      </w:r>
      <w:r>
        <w:rPr>
          <w:rFonts w:asciiTheme="majorBidi" w:hAnsiTheme="majorBidi" w:cstheme="majorBidi"/>
        </w:rPr>
        <w:t>yield strength and physical dimensions of the panel</w:t>
      </w:r>
      <w:r w:rsidRPr="00266D07">
        <w:rPr>
          <w:rFonts w:asciiTheme="majorBidi" w:hAnsiTheme="majorBidi" w:cstheme="majorBidi"/>
        </w:rPr>
        <w:t>:</w:t>
      </w:r>
    </w:p>
    <w:p w:rsidR="008F201A" w:rsidRPr="00266D07" w:rsidRDefault="008F201A" w:rsidP="008F201A">
      <w:pPr>
        <w:spacing w:line="360" w:lineRule="auto"/>
        <w:jc w:val="right"/>
        <w:rPr>
          <w:rFonts w:ascii="Calibri" w:hAnsi="Calibri" w:cs="Calibri"/>
        </w:rPr>
      </w:pPr>
      <m:oMath>
        <m:r>
          <w:rPr>
            <w:rFonts w:ascii="Cambria Math" w:hAnsi="Cambria Math" w:cs="Calibri"/>
          </w:rPr>
          <m:t>t=</m:t>
        </m:r>
        <m:sSup>
          <m:sSupPr>
            <m:ctrlPr>
              <w:rPr>
                <w:rFonts w:ascii="Cambria Math" w:hAnsi="Cambria Math" w:cs="Calibri"/>
                <w:i/>
              </w:rPr>
            </m:ctrlPr>
          </m:sSupPr>
          <m:e>
            <m:r>
              <w:rPr>
                <w:rFonts w:ascii="Cambria Math" w:hAnsi="Cambria Math" w:cs="Calibri"/>
              </w:rPr>
              <m:t>(</m:t>
            </m:r>
            <m:f>
              <m:fPr>
                <m:ctrlPr>
                  <w:rPr>
                    <w:rFonts w:ascii="Cambria Math" w:hAnsi="Cambria Math" w:cs="Calibri"/>
                    <w:i/>
                  </w:rPr>
                </m:ctrlPr>
              </m:fPr>
              <m:num>
                <m:r>
                  <w:rPr>
                    <w:rFonts w:ascii="Cambria Math" w:hAnsi="Cambria Math" w:cs="Calibri"/>
                  </w:rPr>
                  <m:t>3F.L</m:t>
                </m:r>
              </m:num>
              <m:den>
                <m:r>
                  <w:rPr>
                    <w:rFonts w:ascii="Cambria Math" w:hAnsi="Cambria Math" w:cs="Calibri"/>
                  </w:rPr>
                  <m:t>w.</m:t>
                </m:r>
                <m:sSub>
                  <m:sSubPr>
                    <m:ctrlPr>
                      <w:rPr>
                        <w:rFonts w:ascii="Cambria Math" w:hAnsi="Cambria Math" w:cs="Calibri"/>
                        <w:i/>
                      </w:rPr>
                    </m:ctrlPr>
                  </m:sSubPr>
                  <m:e>
                    <m:r>
                      <w:rPr>
                        <w:rFonts w:ascii="Cambria Math" w:hAnsi="Cambria Math" w:cs="Calibri"/>
                      </w:rPr>
                      <m:t>σ</m:t>
                    </m:r>
                  </m:e>
                  <m:sub>
                    <m:r>
                      <w:rPr>
                        <w:rFonts w:ascii="Cambria Math" w:hAnsi="Cambria Math" w:cs="Calibri"/>
                      </w:rPr>
                      <m:t>y</m:t>
                    </m:r>
                  </m:sub>
                </m:sSub>
              </m:den>
            </m:f>
            <m:r>
              <w:rPr>
                <w:rFonts w:ascii="Cambria Math" w:hAnsi="Cambria Math" w:cs="Calibri"/>
              </w:rPr>
              <m:t>)</m:t>
            </m:r>
          </m:e>
          <m:sup>
            <m:f>
              <m:fPr>
                <m:type m:val="skw"/>
                <m:ctrlPr>
                  <w:rPr>
                    <w:rFonts w:ascii="Cambria Math" w:hAnsi="Cambria Math" w:cs="Calibri"/>
                    <w:i/>
                  </w:rPr>
                </m:ctrlPr>
              </m:fPr>
              <m:num>
                <m:r>
                  <w:rPr>
                    <w:rFonts w:ascii="Cambria Math" w:hAnsi="Cambria Math" w:cs="Calibri"/>
                  </w:rPr>
                  <m:t>1</m:t>
                </m:r>
              </m:num>
              <m:den>
                <m:r>
                  <w:rPr>
                    <w:rFonts w:ascii="Cambria Math" w:hAnsi="Cambria Math" w:cs="Calibri"/>
                  </w:rPr>
                  <m:t>2</m:t>
                </m:r>
              </m:den>
            </m:f>
          </m:sup>
        </m:sSup>
      </m:oMath>
      <w:r w:rsidRPr="00266D07">
        <w:rPr>
          <w:rFonts w:ascii="Calibri" w:hAnsi="Calibri" w:cs="Calibri"/>
        </w:rPr>
        <w:tab/>
      </w:r>
      <w:r w:rsidRPr="00266D07">
        <w:rPr>
          <w:rFonts w:ascii="Calibri" w:hAnsi="Calibri" w:cs="Calibri"/>
        </w:rPr>
        <w:tab/>
      </w:r>
      <w:r w:rsidRPr="00266D07">
        <w:rPr>
          <w:rFonts w:ascii="Calibri" w:hAnsi="Calibri" w:cs="Calibri"/>
        </w:rPr>
        <w:tab/>
      </w:r>
      <w:r w:rsidRPr="00266D07">
        <w:rPr>
          <w:rFonts w:ascii="Calibri" w:hAnsi="Calibri" w:cs="Calibri"/>
        </w:rPr>
        <w:tab/>
      </w:r>
      <w:r w:rsidRPr="00266D07">
        <w:rPr>
          <w:rFonts w:ascii="Calibri" w:hAnsi="Calibri" w:cs="Calibri"/>
        </w:rPr>
        <w:tab/>
      </w:r>
      <w:r w:rsidRPr="00266D07">
        <w:rPr>
          <w:rFonts w:ascii="Calibri" w:hAnsi="Calibri" w:cs="Calibri"/>
        </w:rPr>
        <w:tab/>
        <w:t>(3)</w:t>
      </w:r>
    </w:p>
    <w:p w:rsidR="008F201A" w:rsidRPr="00266D07" w:rsidRDefault="008F201A" w:rsidP="008F201A">
      <w:pPr>
        <w:spacing w:line="360" w:lineRule="auto"/>
        <w:rPr>
          <w:rFonts w:asciiTheme="majorBidi" w:hAnsiTheme="majorBidi" w:cstheme="majorBidi"/>
        </w:rPr>
      </w:pPr>
      <w:r w:rsidRPr="00266D07">
        <w:rPr>
          <w:rFonts w:asciiTheme="majorBidi" w:hAnsiTheme="majorBidi" w:cstheme="majorBidi"/>
        </w:rPr>
        <w:t>Substituting this in the mass equation m=A.L</w:t>
      </w:r>
      <w:proofErr w:type="gramStart"/>
      <w:r w:rsidRPr="00266D07">
        <w:rPr>
          <w:rFonts w:asciiTheme="majorBidi" w:hAnsiTheme="majorBidi" w:cstheme="majorBidi"/>
        </w:rPr>
        <w:t>.</w:t>
      </w:r>
      <w:proofErr w:type="gramEnd"/>
      <w:r w:rsidRPr="00266D07">
        <w:rPr>
          <w:rFonts w:asciiTheme="majorBidi" w:eastAsia="Symbol" w:hAnsiTheme="majorBidi" w:cstheme="majorBidi"/>
        </w:rPr>
        <w:sym w:font="Symbol" w:char="F072"/>
      </w:r>
      <w:r w:rsidRPr="00266D07">
        <w:rPr>
          <w:rFonts w:asciiTheme="majorBidi" w:hAnsiTheme="majorBidi" w:cstheme="majorBidi"/>
        </w:rPr>
        <w:t xml:space="preserve">= </w:t>
      </w:r>
      <w:proofErr w:type="spellStart"/>
      <w:r w:rsidRPr="00266D07">
        <w:rPr>
          <w:rFonts w:asciiTheme="majorBidi" w:hAnsiTheme="majorBidi" w:cstheme="majorBidi"/>
        </w:rPr>
        <w:t>w.t.L</w:t>
      </w:r>
      <w:proofErr w:type="spellEnd"/>
      <w:r w:rsidRPr="00266D07">
        <w:rPr>
          <w:rFonts w:asciiTheme="majorBidi" w:hAnsiTheme="majorBidi" w:cstheme="majorBidi"/>
        </w:rPr>
        <w:t>.</w:t>
      </w:r>
      <w:r w:rsidRPr="00266D07">
        <w:rPr>
          <w:rFonts w:asciiTheme="majorBidi" w:eastAsia="Symbol" w:hAnsiTheme="majorBidi" w:cstheme="majorBidi"/>
        </w:rPr>
        <w:sym w:font="Symbol" w:char="F072"/>
      </w:r>
      <w:r w:rsidRPr="00266D07">
        <w:rPr>
          <w:rFonts w:asciiTheme="majorBidi" w:hAnsiTheme="majorBidi" w:cstheme="majorBidi"/>
        </w:rPr>
        <w:t>,</w:t>
      </w:r>
      <w:r>
        <w:rPr>
          <w:rFonts w:asciiTheme="majorBidi" w:hAnsiTheme="majorBidi" w:cstheme="majorBidi"/>
        </w:rPr>
        <w:t xml:space="preserve"> gives</w:t>
      </w:r>
      <w:r w:rsidRPr="00266D07">
        <w:rPr>
          <w:rFonts w:asciiTheme="majorBidi" w:hAnsiTheme="majorBidi" w:cstheme="majorBidi"/>
        </w:rPr>
        <w:t xml:space="preserve"> the following:</w:t>
      </w:r>
    </w:p>
    <w:p w:rsidR="008F201A" w:rsidRPr="00266D07" w:rsidRDefault="008F201A" w:rsidP="008F201A">
      <w:pPr>
        <w:spacing w:line="360" w:lineRule="auto"/>
        <w:jc w:val="right"/>
        <w:rPr>
          <w:rFonts w:ascii="Calibri" w:eastAsiaTheme="minorEastAsia" w:hAnsi="Calibri" w:cs="Calibri"/>
        </w:rPr>
      </w:pPr>
      <m:oMath>
        <m:r>
          <w:rPr>
            <w:rFonts w:ascii="Cambria Math" w:hAnsi="Cambria Math" w:cs="Calibri"/>
          </w:rPr>
          <m:t>m=</m:t>
        </m:r>
        <m:sSup>
          <m:sSupPr>
            <m:ctrlPr>
              <w:rPr>
                <w:rFonts w:ascii="Cambria Math" w:hAnsi="Cambria Math" w:cs="Calibri"/>
                <w:i/>
              </w:rPr>
            </m:ctrlPr>
          </m:sSupPr>
          <m:e>
            <m:d>
              <m:dPr>
                <m:ctrlPr>
                  <w:rPr>
                    <w:rFonts w:ascii="Cambria Math" w:hAnsi="Cambria Math" w:cs="Calibri"/>
                    <w:i/>
                  </w:rPr>
                </m:ctrlPr>
              </m:dPr>
              <m:e>
                <m:r>
                  <w:rPr>
                    <w:rFonts w:ascii="Cambria Math" w:hAnsi="Cambria Math" w:cs="Calibri"/>
                  </w:rPr>
                  <m:t>3F.w</m:t>
                </m:r>
              </m:e>
            </m:d>
          </m:e>
          <m:sup>
            <m:f>
              <m:fPr>
                <m:type m:val="skw"/>
                <m:ctrlPr>
                  <w:rPr>
                    <w:rFonts w:ascii="Cambria Math" w:hAnsi="Cambria Math" w:cs="Calibri"/>
                    <w:i/>
                  </w:rPr>
                </m:ctrlPr>
              </m:fPr>
              <m:num>
                <m:r>
                  <w:rPr>
                    <w:rFonts w:ascii="Cambria Math" w:hAnsi="Cambria Math" w:cs="Calibri"/>
                  </w:rPr>
                  <m:t>1</m:t>
                </m:r>
              </m:num>
              <m:den>
                <m:r>
                  <w:rPr>
                    <w:rFonts w:ascii="Cambria Math" w:hAnsi="Cambria Math" w:cs="Calibri"/>
                  </w:rPr>
                  <m:t>2</m:t>
                </m:r>
              </m:den>
            </m:f>
          </m:sup>
        </m:sSup>
        <m:sSup>
          <m:sSupPr>
            <m:ctrlPr>
              <w:rPr>
                <w:rFonts w:ascii="Cambria Math" w:hAnsi="Cambria Math" w:cs="Calibri"/>
                <w:i/>
              </w:rPr>
            </m:ctrlPr>
          </m:sSupPr>
          <m:e>
            <m:d>
              <m:dPr>
                <m:ctrlPr>
                  <w:rPr>
                    <w:rFonts w:ascii="Cambria Math" w:hAnsi="Cambria Math" w:cs="Calibri"/>
                    <w:i/>
                  </w:rPr>
                </m:ctrlPr>
              </m:dPr>
              <m:e>
                <m:r>
                  <w:rPr>
                    <w:rFonts w:ascii="Cambria Math" w:hAnsi="Cambria Math" w:cs="Calibri"/>
                  </w:rPr>
                  <m:t>L</m:t>
                </m:r>
              </m:e>
            </m:d>
          </m:e>
          <m:sup>
            <m:f>
              <m:fPr>
                <m:ctrlPr>
                  <w:rPr>
                    <w:rFonts w:ascii="Cambria Math" w:hAnsi="Cambria Math" w:cs="Calibri"/>
                    <w:i/>
                  </w:rPr>
                </m:ctrlPr>
              </m:fPr>
              <m:num>
                <m:r>
                  <w:rPr>
                    <w:rFonts w:ascii="Cambria Math" w:hAnsi="Cambria Math" w:cs="Calibri"/>
                  </w:rPr>
                  <m:t>3</m:t>
                </m:r>
              </m:num>
              <m:den>
                <m:r>
                  <w:rPr>
                    <w:rFonts w:ascii="Cambria Math" w:hAnsi="Cambria Math" w:cs="Calibri"/>
                  </w:rPr>
                  <m:t>2</m:t>
                </m:r>
              </m:den>
            </m:f>
          </m:sup>
        </m:sSup>
        <m:d>
          <m:dPr>
            <m:ctrlPr>
              <w:rPr>
                <w:rFonts w:ascii="Cambria Math" w:hAnsi="Cambria Math" w:cs="Calibri"/>
                <w:i/>
              </w:rPr>
            </m:ctrlPr>
          </m:dPr>
          <m:e>
            <m:f>
              <m:fPr>
                <m:ctrlPr>
                  <w:rPr>
                    <w:rFonts w:ascii="Cambria Math" w:hAnsi="Cambria Math" w:cs="Calibri"/>
                    <w:i/>
                  </w:rPr>
                </m:ctrlPr>
              </m:fPr>
              <m:num>
                <m:r>
                  <w:rPr>
                    <w:rFonts w:ascii="Cambria Math" w:hAnsi="Cambria Math" w:cs="Calibri"/>
                  </w:rPr>
                  <m:t>ρ</m:t>
                </m:r>
              </m:num>
              <m:den>
                <m:sSubSup>
                  <m:sSubSupPr>
                    <m:ctrlPr>
                      <w:rPr>
                        <w:rFonts w:ascii="Cambria Math" w:hAnsi="Cambria Math" w:cs="Calibri"/>
                        <w:i/>
                      </w:rPr>
                    </m:ctrlPr>
                  </m:sSubSupPr>
                  <m:e>
                    <m:r>
                      <w:rPr>
                        <w:rFonts w:ascii="Cambria Math" w:hAnsi="Cambria Math" w:cs="Calibri"/>
                      </w:rPr>
                      <m:t>σ</m:t>
                    </m:r>
                  </m:e>
                  <m:sub>
                    <m:r>
                      <w:rPr>
                        <w:rFonts w:ascii="Cambria Math" w:hAnsi="Cambria Math" w:cs="Calibri"/>
                      </w:rPr>
                      <m:t>y</m:t>
                    </m:r>
                  </m:sub>
                  <m:sup>
                    <m:f>
                      <m:fPr>
                        <m:type m:val="skw"/>
                        <m:ctrlPr>
                          <w:rPr>
                            <w:rFonts w:ascii="Cambria Math" w:hAnsi="Cambria Math" w:cs="Calibri"/>
                            <w:i/>
                          </w:rPr>
                        </m:ctrlPr>
                      </m:fPr>
                      <m:num>
                        <m:r>
                          <w:rPr>
                            <w:rFonts w:ascii="Cambria Math" w:hAnsi="Cambria Math" w:cs="Calibri"/>
                          </w:rPr>
                          <m:t>1</m:t>
                        </m:r>
                      </m:num>
                      <m:den>
                        <m:r>
                          <w:rPr>
                            <w:rFonts w:ascii="Cambria Math" w:hAnsi="Cambria Math" w:cs="Calibri"/>
                          </w:rPr>
                          <m:t>2</m:t>
                        </m:r>
                      </m:den>
                    </m:f>
                  </m:sup>
                </m:sSubSup>
              </m:den>
            </m:f>
          </m:e>
        </m:d>
      </m:oMath>
      <w:r w:rsidRPr="00266D07">
        <w:rPr>
          <w:rFonts w:ascii="Calibri" w:eastAsiaTheme="minorEastAsia" w:hAnsi="Calibri" w:cs="Calibri"/>
        </w:rPr>
        <w:t xml:space="preserve">= K. </w:t>
      </w:r>
      <m:oMath>
        <m:d>
          <m:dPr>
            <m:ctrlPr>
              <w:rPr>
                <w:rFonts w:ascii="Cambria Math" w:hAnsi="Cambria Math" w:cs="Calibri"/>
                <w:i/>
              </w:rPr>
            </m:ctrlPr>
          </m:dPr>
          <m:e>
            <m:f>
              <m:fPr>
                <m:ctrlPr>
                  <w:rPr>
                    <w:rFonts w:ascii="Cambria Math" w:hAnsi="Cambria Math" w:cs="Calibri"/>
                    <w:i/>
                  </w:rPr>
                </m:ctrlPr>
              </m:fPr>
              <m:num>
                <m:r>
                  <w:rPr>
                    <w:rFonts w:ascii="Cambria Math" w:hAnsi="Cambria Math" w:cs="Calibri"/>
                  </w:rPr>
                  <m:t>ρ</m:t>
                </m:r>
              </m:num>
              <m:den>
                <m:sSubSup>
                  <m:sSubSupPr>
                    <m:ctrlPr>
                      <w:rPr>
                        <w:rFonts w:ascii="Cambria Math" w:hAnsi="Cambria Math" w:cs="Calibri"/>
                        <w:i/>
                      </w:rPr>
                    </m:ctrlPr>
                  </m:sSubSupPr>
                  <m:e>
                    <m:r>
                      <w:rPr>
                        <w:rFonts w:ascii="Cambria Math" w:hAnsi="Cambria Math" w:cs="Calibri"/>
                      </w:rPr>
                      <m:t>σ</m:t>
                    </m:r>
                  </m:e>
                  <m:sub>
                    <m:r>
                      <w:rPr>
                        <w:rFonts w:ascii="Cambria Math" w:hAnsi="Cambria Math" w:cs="Calibri"/>
                      </w:rPr>
                      <m:t>y</m:t>
                    </m:r>
                  </m:sub>
                  <m:sup>
                    <m:f>
                      <m:fPr>
                        <m:type m:val="skw"/>
                        <m:ctrlPr>
                          <w:rPr>
                            <w:rFonts w:ascii="Cambria Math" w:hAnsi="Cambria Math" w:cs="Calibri"/>
                            <w:i/>
                          </w:rPr>
                        </m:ctrlPr>
                      </m:fPr>
                      <m:num>
                        <m:r>
                          <w:rPr>
                            <w:rFonts w:ascii="Cambria Math" w:hAnsi="Cambria Math" w:cs="Calibri"/>
                          </w:rPr>
                          <m:t>1</m:t>
                        </m:r>
                      </m:num>
                      <m:den>
                        <m:r>
                          <w:rPr>
                            <w:rFonts w:ascii="Cambria Math" w:hAnsi="Cambria Math" w:cs="Calibri"/>
                          </w:rPr>
                          <m:t>2</m:t>
                        </m:r>
                      </m:den>
                    </m:f>
                  </m:sup>
                </m:sSubSup>
              </m:den>
            </m:f>
          </m:e>
        </m:d>
      </m:oMath>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r>
      <w:r w:rsidRPr="00266D07">
        <w:rPr>
          <w:rFonts w:ascii="Calibri" w:eastAsiaTheme="minorEastAsia" w:hAnsi="Calibri" w:cs="Calibri"/>
        </w:rPr>
        <w:tab/>
        <w:t>(4)</w:t>
      </w:r>
    </w:p>
    <w:p w:rsidR="008F201A" w:rsidRPr="00266D07" w:rsidRDefault="008F201A" w:rsidP="008F201A">
      <w:pPr>
        <w:spacing w:line="360" w:lineRule="auto"/>
        <w:rPr>
          <w:rFonts w:asciiTheme="majorBidi" w:eastAsia="MS Mincho" w:hAnsiTheme="majorBidi" w:cstheme="majorBidi"/>
        </w:rPr>
      </w:pPr>
      <w:r w:rsidRPr="00266D07">
        <w:rPr>
          <w:rFonts w:asciiTheme="majorBidi" w:eastAsia="MS Mincho" w:hAnsiTheme="majorBidi" w:cstheme="majorBidi"/>
        </w:rPr>
        <w:t xml:space="preserve">Where </w:t>
      </w:r>
      <m:oMath>
        <m:sSup>
          <m:sSupPr>
            <m:ctrlPr>
              <w:rPr>
                <w:rFonts w:ascii="Cambria Math" w:hAnsi="Cambria Math" w:cstheme="majorBidi"/>
                <w:i/>
              </w:rPr>
            </m:ctrlPr>
          </m:sSupPr>
          <m:e>
            <m:r>
              <w:rPr>
                <w:rFonts w:ascii="Cambria Math" w:hAnsi="Cambria Math" w:cstheme="majorBidi"/>
              </w:rPr>
              <m:t>K=</m:t>
            </m:r>
            <m:d>
              <m:dPr>
                <m:ctrlPr>
                  <w:rPr>
                    <w:rFonts w:ascii="Cambria Math" w:hAnsi="Cambria Math" w:cstheme="majorBidi"/>
                    <w:i/>
                  </w:rPr>
                </m:ctrlPr>
              </m:dPr>
              <m:e>
                <m:r>
                  <w:rPr>
                    <w:rFonts w:ascii="Cambria Math" w:hAnsi="Cambria Math" w:cstheme="majorBidi"/>
                  </w:rPr>
                  <m:t>3F.w</m:t>
                </m:r>
              </m:e>
            </m:d>
          </m:e>
          <m:sup>
            <m:f>
              <m:fPr>
                <m:type m:val="skw"/>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den>
            </m:f>
          </m:sup>
        </m:sSup>
        <m:sSup>
          <m:sSupPr>
            <m:ctrlPr>
              <w:rPr>
                <w:rFonts w:ascii="Cambria Math" w:hAnsi="Cambria Math" w:cstheme="majorBidi"/>
                <w:i/>
              </w:rPr>
            </m:ctrlPr>
          </m:sSupPr>
          <m:e>
            <m:d>
              <m:dPr>
                <m:ctrlPr>
                  <w:rPr>
                    <w:rFonts w:ascii="Cambria Math" w:hAnsi="Cambria Math" w:cstheme="majorBidi"/>
                    <w:i/>
                  </w:rPr>
                </m:ctrlPr>
              </m:dPr>
              <m:e>
                <m:r>
                  <w:rPr>
                    <w:rFonts w:ascii="Cambria Math" w:hAnsi="Cambria Math" w:cstheme="majorBidi"/>
                  </w:rPr>
                  <m:t>L</m:t>
                </m:r>
              </m:e>
            </m:d>
          </m:e>
          <m:sup>
            <m:f>
              <m:fPr>
                <m:ctrlPr>
                  <w:rPr>
                    <w:rFonts w:ascii="Cambria Math" w:hAnsi="Cambria Math" w:cstheme="majorBidi"/>
                    <w:i/>
                  </w:rPr>
                </m:ctrlPr>
              </m:fPr>
              <m:num>
                <m:r>
                  <w:rPr>
                    <w:rFonts w:ascii="Cambria Math" w:hAnsi="Cambria Math" w:cstheme="majorBidi"/>
                  </w:rPr>
                  <m:t>3</m:t>
                </m:r>
              </m:num>
              <m:den>
                <m:r>
                  <w:rPr>
                    <w:rFonts w:ascii="Cambria Math" w:hAnsi="Cambria Math" w:cstheme="majorBidi"/>
                  </w:rPr>
                  <m:t>2</m:t>
                </m:r>
              </m:den>
            </m:f>
          </m:sup>
        </m:sSup>
      </m:oMath>
      <w:r w:rsidRPr="00266D07">
        <w:rPr>
          <w:rFonts w:asciiTheme="majorBidi" w:eastAsia="MS Mincho" w:hAnsiTheme="majorBidi" w:cstheme="majorBidi"/>
        </w:rPr>
        <w:t xml:space="preserve"> is constant. As mentioned above, the panel thickness can be varied </w:t>
      </w:r>
      <w:r>
        <w:rPr>
          <w:rFonts w:asciiTheme="majorBidi" w:eastAsia="MS Mincho" w:hAnsiTheme="majorBidi" w:cstheme="majorBidi"/>
        </w:rPr>
        <w:t>in</w:t>
      </w:r>
      <w:r w:rsidRPr="00266D07">
        <w:rPr>
          <w:rFonts w:asciiTheme="majorBidi" w:eastAsia="MS Mincho" w:hAnsiTheme="majorBidi" w:cstheme="majorBidi"/>
        </w:rPr>
        <w:t xml:space="preserve"> the lightweight design</w:t>
      </w:r>
      <w:r>
        <w:rPr>
          <w:rFonts w:asciiTheme="majorBidi" w:eastAsia="MS Mincho" w:hAnsiTheme="majorBidi" w:cstheme="majorBidi"/>
        </w:rPr>
        <w:t xml:space="preserve"> to meet the design requirements</w:t>
      </w:r>
      <w:r w:rsidRPr="00266D07">
        <w:rPr>
          <w:rFonts w:asciiTheme="majorBidi" w:eastAsia="MS Mincho" w:hAnsiTheme="majorBidi" w:cstheme="majorBidi"/>
        </w:rPr>
        <w:t xml:space="preserve">. Under this assumption, the mass substitution rate </w:t>
      </w:r>
      <w:r>
        <w:rPr>
          <w:rFonts w:asciiTheme="majorBidi" w:eastAsia="MS Mincho" w:hAnsiTheme="majorBidi" w:cstheme="majorBidi"/>
        </w:rPr>
        <w:t xml:space="preserve">is </w:t>
      </w:r>
      <w:r w:rsidRPr="00266D07">
        <w:rPr>
          <w:rFonts w:asciiTheme="majorBidi" w:eastAsia="MS Mincho" w:hAnsiTheme="majorBidi" w:cstheme="majorBidi"/>
        </w:rPr>
        <w:t xml:space="preserve">defined in terms of the ratio of the material density and yield strength </w:t>
      </w:r>
      <w:r>
        <w:rPr>
          <w:rFonts w:asciiTheme="majorBidi" w:eastAsia="MS Mincho" w:hAnsiTheme="majorBidi" w:cstheme="majorBidi"/>
        </w:rPr>
        <w:t>which</w:t>
      </w:r>
      <w:r w:rsidRPr="00266D07">
        <w:rPr>
          <w:rFonts w:asciiTheme="majorBidi" w:eastAsia="MS Mincho" w:hAnsiTheme="majorBidi" w:cstheme="majorBidi"/>
        </w:rPr>
        <w:t xml:space="preserve"> can be expressed mathematically </w:t>
      </w:r>
      <w:r>
        <w:rPr>
          <w:rFonts w:asciiTheme="majorBidi" w:eastAsia="MS Mincho" w:hAnsiTheme="majorBidi" w:cstheme="majorBidi"/>
        </w:rPr>
        <w:t>as</w:t>
      </w:r>
      <w:r w:rsidRPr="00266D07">
        <w:rPr>
          <w:rFonts w:asciiTheme="majorBidi" w:eastAsia="MS Mincho" w:hAnsiTheme="majorBidi" w:cstheme="majorBidi"/>
        </w:rPr>
        <w:t>:</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655"/>
        <w:gridCol w:w="8050"/>
        <w:gridCol w:w="655"/>
      </w:tblGrid>
      <w:tr w:rsidR="008F201A" w:rsidRPr="007E7FBD" w:rsidTr="008F201A">
        <w:trPr>
          <w:jc w:val="center"/>
        </w:trPr>
        <w:tc>
          <w:tcPr>
            <w:tcW w:w="350" w:type="pct"/>
          </w:tcPr>
          <w:p w:rsidR="008F201A" w:rsidRPr="00266D07" w:rsidRDefault="008F201A" w:rsidP="008F201A">
            <w:pPr>
              <w:tabs>
                <w:tab w:val="right" w:pos="9360"/>
              </w:tabs>
              <w:spacing w:line="360" w:lineRule="auto"/>
              <w:jc w:val="center"/>
              <w:rPr>
                <w:rFonts w:ascii="Calibri" w:eastAsia="MS Mincho" w:hAnsi="Calibri" w:cs="Calibri"/>
              </w:rPr>
            </w:pPr>
          </w:p>
        </w:tc>
        <w:bookmarkStart w:id="6" w:name="OLE_LINK2"/>
        <w:tc>
          <w:tcPr>
            <w:tcW w:w="4300" w:type="pct"/>
          </w:tcPr>
          <w:p w:rsidR="008F201A" w:rsidRPr="00266D07" w:rsidRDefault="008F201A" w:rsidP="008F201A">
            <w:pPr>
              <w:tabs>
                <w:tab w:val="right" w:pos="9360"/>
              </w:tabs>
              <w:spacing w:line="360" w:lineRule="auto"/>
              <w:jc w:val="center"/>
              <w:rPr>
                <w:rFonts w:ascii="Calibri" w:eastAsia="MS Mincho" w:hAnsi="Calibri" w:cs="Calibri"/>
              </w:rPr>
            </w:pPr>
            <m:oMathPara>
              <m:oMath>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m</m:t>
                        </m:r>
                      </m:e>
                      <m:sub>
                        <m:r>
                          <w:rPr>
                            <w:rFonts w:ascii="Cambria Math" w:hAnsi="Cambria Math" w:cs="Calibri"/>
                          </w:rPr>
                          <m:t>LWM</m:t>
                        </m:r>
                      </m:sub>
                    </m:sSub>
                  </m:num>
                  <m:den>
                    <m:sSub>
                      <m:sSubPr>
                        <m:ctrlPr>
                          <w:rPr>
                            <w:rFonts w:ascii="Cambria Math" w:hAnsi="Cambria Math" w:cs="Calibri"/>
                            <w:i/>
                          </w:rPr>
                        </m:ctrlPr>
                      </m:sSubPr>
                      <m:e>
                        <m:r>
                          <w:rPr>
                            <w:rFonts w:ascii="Cambria Math" w:hAnsi="Cambria Math" w:cs="Calibri"/>
                          </w:rPr>
                          <m:t>m</m:t>
                        </m:r>
                      </m:e>
                      <m:sub>
                        <m:r>
                          <w:rPr>
                            <w:rFonts w:ascii="Cambria Math" w:hAnsi="Cambria Math" w:cs="Calibri"/>
                          </w:rPr>
                          <m:t>ref</m:t>
                        </m:r>
                      </m:sub>
                    </m:sSub>
                  </m:den>
                </m:f>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ρ</m:t>
                        </m:r>
                      </m:e>
                      <m:sub>
                        <m:r>
                          <w:rPr>
                            <w:rFonts w:ascii="Cambria Math" w:hAnsi="Cambria Math" w:cs="Calibri"/>
                          </w:rPr>
                          <m:t>LWM</m:t>
                        </m:r>
                      </m:sub>
                    </m:sSub>
                  </m:num>
                  <m:den>
                    <m:rad>
                      <m:radPr>
                        <m:degHide m:val="1"/>
                        <m:ctrlPr>
                          <w:rPr>
                            <w:rFonts w:ascii="Cambria Math" w:hAnsi="Cambria Math" w:cs="Calibri"/>
                            <w:i/>
                          </w:rPr>
                        </m:ctrlPr>
                      </m:radPr>
                      <m:deg/>
                      <m:e>
                        <m:sSub>
                          <m:sSubPr>
                            <m:ctrlPr>
                              <w:rPr>
                                <w:rFonts w:ascii="Cambria Math" w:hAnsi="Cambria Math" w:cs="Calibri"/>
                                <w:i/>
                              </w:rPr>
                            </m:ctrlPr>
                          </m:sSubPr>
                          <m:e>
                            <m:r>
                              <w:rPr>
                                <w:rFonts w:ascii="Cambria Math" w:hAnsi="Cambria Math" w:cs="Calibri"/>
                              </w:rPr>
                              <m:t>σ</m:t>
                            </m:r>
                          </m:e>
                          <m:sub>
                            <m:r>
                              <w:rPr>
                                <w:rFonts w:ascii="Cambria Math" w:hAnsi="Cambria Math" w:cs="Calibri"/>
                              </w:rPr>
                              <m:t>y, LWM</m:t>
                            </m:r>
                          </m:sub>
                        </m:sSub>
                      </m:e>
                    </m:rad>
                  </m:den>
                </m:f>
                <m:f>
                  <m:fPr>
                    <m:ctrlPr>
                      <w:rPr>
                        <w:rFonts w:ascii="Cambria Math" w:hAnsi="Cambria Math" w:cs="Calibri"/>
                        <w:i/>
                      </w:rPr>
                    </m:ctrlPr>
                  </m:fPr>
                  <m:num>
                    <m:rad>
                      <m:radPr>
                        <m:degHide m:val="1"/>
                        <m:ctrlPr>
                          <w:rPr>
                            <w:rFonts w:ascii="Cambria Math" w:hAnsi="Cambria Math" w:cs="Calibri"/>
                            <w:i/>
                          </w:rPr>
                        </m:ctrlPr>
                      </m:radPr>
                      <m:deg/>
                      <m:e>
                        <m:sSub>
                          <m:sSubPr>
                            <m:ctrlPr>
                              <w:rPr>
                                <w:rFonts w:ascii="Cambria Math" w:hAnsi="Cambria Math" w:cs="Calibri"/>
                                <w:i/>
                              </w:rPr>
                            </m:ctrlPr>
                          </m:sSubPr>
                          <m:e>
                            <m:r>
                              <w:rPr>
                                <w:rFonts w:ascii="Cambria Math" w:hAnsi="Cambria Math" w:cs="Calibri"/>
                              </w:rPr>
                              <m:t>σ</m:t>
                            </m:r>
                          </m:e>
                          <m:sub>
                            <m:r>
                              <w:rPr>
                                <w:rFonts w:ascii="Cambria Math" w:hAnsi="Cambria Math" w:cs="Calibri"/>
                              </w:rPr>
                              <m:t>y, ref</m:t>
                            </m:r>
                          </m:sub>
                        </m:sSub>
                      </m:e>
                    </m:rad>
                  </m:num>
                  <m:den>
                    <m:sSub>
                      <m:sSubPr>
                        <m:ctrlPr>
                          <w:rPr>
                            <w:rFonts w:ascii="Cambria Math" w:hAnsi="Cambria Math" w:cs="Calibri"/>
                            <w:i/>
                          </w:rPr>
                        </m:ctrlPr>
                      </m:sSubPr>
                      <m:e>
                        <m:r>
                          <w:rPr>
                            <w:rFonts w:ascii="Cambria Math" w:hAnsi="Cambria Math" w:cs="Calibri"/>
                          </w:rPr>
                          <m:t>ρ</m:t>
                        </m:r>
                      </m:e>
                      <m:sub>
                        <m:r>
                          <w:rPr>
                            <w:rFonts w:ascii="Cambria Math" w:hAnsi="Cambria Math" w:cs="Calibri"/>
                          </w:rPr>
                          <m:t>ref</m:t>
                        </m:r>
                      </m:sub>
                    </m:sSub>
                  </m:den>
                </m:f>
              </m:oMath>
            </m:oMathPara>
            <w:bookmarkEnd w:id="6"/>
          </w:p>
        </w:tc>
        <w:tc>
          <w:tcPr>
            <w:tcW w:w="350" w:type="pct"/>
            <w:vAlign w:val="center"/>
          </w:tcPr>
          <w:p w:rsidR="008F201A" w:rsidRPr="00266D07" w:rsidRDefault="008F201A" w:rsidP="008F201A">
            <w:pPr>
              <w:tabs>
                <w:tab w:val="right" w:pos="9360"/>
              </w:tabs>
              <w:spacing w:line="360" w:lineRule="auto"/>
              <w:jc w:val="right"/>
              <w:rPr>
                <w:rFonts w:ascii="Calibri" w:eastAsia="MS Mincho" w:hAnsi="Calibri" w:cs="Calibri"/>
              </w:rPr>
            </w:pPr>
            <w:r w:rsidRPr="00266D07">
              <w:rPr>
                <w:rFonts w:ascii="Calibri" w:hAnsi="Calibri" w:cs="Calibri"/>
              </w:rPr>
              <w:t>(5)</w:t>
            </w:r>
          </w:p>
        </w:tc>
      </w:tr>
    </w:tbl>
    <w:p w:rsidR="008F201A" w:rsidRPr="00266D07" w:rsidRDefault="008F201A" w:rsidP="00805339">
      <w:pPr>
        <w:spacing w:line="360" w:lineRule="auto"/>
        <w:rPr>
          <w:rFonts w:asciiTheme="majorBidi" w:eastAsia="MS Mincho" w:hAnsiTheme="majorBidi" w:cstheme="majorBidi"/>
        </w:rPr>
      </w:pPr>
      <w:r w:rsidRPr="00266D07">
        <w:rPr>
          <w:rFonts w:asciiTheme="majorBidi" w:eastAsia="MS Mincho" w:hAnsiTheme="majorBidi" w:cstheme="majorBidi"/>
        </w:rPr>
        <w:t xml:space="preserve">Where subscript </w:t>
      </w:r>
      <w:r w:rsidRPr="00CB03EE">
        <w:rPr>
          <w:rFonts w:asciiTheme="majorBidi" w:eastAsia="MS Mincho" w:hAnsiTheme="majorBidi" w:cstheme="majorBidi"/>
          <w:i/>
          <w:iCs/>
        </w:rPr>
        <w:t>LWM</w:t>
      </w:r>
      <w:r w:rsidRPr="00266D07">
        <w:rPr>
          <w:rFonts w:asciiTheme="majorBidi" w:eastAsia="MS Mincho" w:hAnsiTheme="majorBidi" w:cstheme="majorBidi"/>
        </w:rPr>
        <w:t xml:space="preserve">: refers to the candidate lightweight material which can replace </w:t>
      </w:r>
      <w:r>
        <w:rPr>
          <w:rFonts w:asciiTheme="majorBidi" w:eastAsia="MS Mincho" w:hAnsiTheme="majorBidi" w:cstheme="majorBidi"/>
        </w:rPr>
        <w:t>the conventional steel in the BIW</w:t>
      </w:r>
      <w:r w:rsidRPr="00266D07">
        <w:rPr>
          <w:rFonts w:asciiTheme="majorBidi" w:eastAsia="MS Mincho" w:hAnsiTheme="majorBidi" w:cstheme="majorBidi"/>
        </w:rPr>
        <w:t xml:space="preserve">, while subscript </w:t>
      </w:r>
      <w:r w:rsidRPr="00CB03EE">
        <w:rPr>
          <w:rFonts w:asciiTheme="majorBidi" w:eastAsia="MS Mincho" w:hAnsiTheme="majorBidi" w:cstheme="majorBidi"/>
          <w:i/>
          <w:iCs/>
        </w:rPr>
        <w:t>ref</w:t>
      </w:r>
      <w:r w:rsidRPr="00266D07">
        <w:rPr>
          <w:rFonts w:asciiTheme="majorBidi" w:eastAsia="MS Mincho" w:hAnsiTheme="majorBidi" w:cstheme="majorBidi"/>
        </w:rPr>
        <w:t xml:space="preserve"> refers to the reference material (dual</w:t>
      </w:r>
      <w:r>
        <w:rPr>
          <w:rFonts w:asciiTheme="majorBidi" w:eastAsia="MS Mincho" w:hAnsiTheme="majorBidi" w:cstheme="majorBidi"/>
        </w:rPr>
        <w:t>-</w:t>
      </w:r>
      <w:r w:rsidRPr="00266D07">
        <w:rPr>
          <w:rFonts w:asciiTheme="majorBidi" w:eastAsia="MS Mincho" w:hAnsiTheme="majorBidi" w:cstheme="majorBidi"/>
        </w:rPr>
        <w:t>phase steel</w:t>
      </w:r>
      <w:r w:rsidRPr="00CB03EE">
        <w:rPr>
          <w:rFonts w:asciiTheme="majorBidi" w:eastAsia="MS Mincho" w:hAnsiTheme="majorBidi" w:cstheme="majorBidi"/>
        </w:rPr>
        <w:t xml:space="preserve"> </w:t>
      </w:r>
      <w:r w:rsidRPr="00266D07">
        <w:rPr>
          <w:rFonts w:asciiTheme="majorBidi" w:eastAsia="MS Mincho" w:hAnsiTheme="majorBidi" w:cstheme="majorBidi"/>
        </w:rPr>
        <w:t>in this context)</w:t>
      </w:r>
      <w:r w:rsidR="00805339">
        <w:rPr>
          <w:rFonts w:asciiTheme="majorBidi" w:eastAsia="MS Mincho" w:hAnsiTheme="majorBidi" w:cstheme="majorBidi"/>
        </w:rPr>
        <w:t xml:space="preserve"> (Mayyas et al., 2012</w:t>
      </w:r>
      <w:r w:rsidR="00805339">
        <w:rPr>
          <w:rFonts w:asciiTheme="majorBidi" w:hAnsiTheme="majorBidi"/>
          <w:i/>
          <w:iCs/>
        </w:rPr>
        <w:t xml:space="preserve">). </w:t>
      </w:r>
      <w:r w:rsidRPr="00266D07">
        <w:rPr>
          <w:rFonts w:asciiTheme="majorBidi" w:eastAsia="MS Mincho" w:hAnsiTheme="majorBidi" w:cstheme="majorBidi"/>
        </w:rPr>
        <w:t xml:space="preserve">In this example, we considered a </w:t>
      </w:r>
      <w:r>
        <w:rPr>
          <w:rFonts w:asciiTheme="majorBidi" w:eastAsia="MS Mincho" w:hAnsiTheme="majorBidi" w:cstheme="majorBidi"/>
        </w:rPr>
        <w:t>BIW part</w:t>
      </w:r>
      <w:r w:rsidRPr="00266D07">
        <w:rPr>
          <w:rFonts w:asciiTheme="majorBidi" w:eastAsia="MS Mincho" w:hAnsiTheme="majorBidi" w:cstheme="majorBidi"/>
        </w:rPr>
        <w:t xml:space="preserve"> with a free thickness choice, which resulted in a material selection index that has a square</w:t>
      </w:r>
      <w:r>
        <w:rPr>
          <w:rFonts w:asciiTheme="majorBidi" w:eastAsia="MS Mincho" w:hAnsiTheme="majorBidi" w:cstheme="majorBidi"/>
        </w:rPr>
        <w:t xml:space="preserve"> </w:t>
      </w:r>
      <w:r w:rsidRPr="00266D07">
        <w:rPr>
          <w:rFonts w:asciiTheme="majorBidi" w:eastAsia="MS Mincho" w:hAnsiTheme="majorBidi" w:cstheme="majorBidi"/>
        </w:rPr>
        <w:t xml:space="preserve">root in </w:t>
      </w:r>
      <w:r>
        <w:rPr>
          <w:rFonts w:asciiTheme="majorBidi" w:eastAsia="MS Mincho" w:hAnsiTheme="majorBidi" w:cstheme="majorBidi"/>
        </w:rPr>
        <w:t>the formula</w:t>
      </w:r>
      <w:r w:rsidRPr="00266D07">
        <w:rPr>
          <w:rFonts w:asciiTheme="majorBidi" w:eastAsia="MS Mincho" w:hAnsiTheme="majorBidi" w:cstheme="majorBidi"/>
        </w:rPr>
        <w:t>. Other choices such as free width or free length may result in other exponents</w:t>
      </w:r>
      <w:r>
        <w:rPr>
          <w:rFonts w:asciiTheme="majorBidi" w:eastAsia="MS Mincho" w:hAnsiTheme="majorBidi" w:cstheme="majorBidi"/>
        </w:rPr>
        <w:t xml:space="preserve"> in the equation, but with the same mechanical and physical properties</w:t>
      </w:r>
      <w:r w:rsidRPr="00266D07">
        <w:rPr>
          <w:rFonts w:asciiTheme="majorBidi" w:eastAsia="MS Mincho" w:hAnsiTheme="majorBidi" w:cstheme="majorBidi"/>
        </w:rPr>
        <w:t xml:space="preserve">. Using Equation 5 and the material yield strength will give us the mass substitution rates for this </w:t>
      </w:r>
      <w:r>
        <w:rPr>
          <w:rFonts w:asciiTheme="majorBidi" w:eastAsia="MS Mincho" w:hAnsiTheme="majorBidi" w:cstheme="majorBidi"/>
        </w:rPr>
        <w:t>panel</w:t>
      </w:r>
      <w:r w:rsidRPr="00266D07">
        <w:rPr>
          <w:rFonts w:asciiTheme="majorBidi" w:eastAsia="MS Mincho" w:hAnsiTheme="majorBidi" w:cstheme="majorBidi"/>
        </w:rPr>
        <w:t xml:space="preserve"> relative to any other material used as reference</w:t>
      </w:r>
      <w:r>
        <w:rPr>
          <w:rFonts w:asciiTheme="majorBidi" w:eastAsia="MS Mincho" w:hAnsiTheme="majorBidi" w:cstheme="majorBidi"/>
        </w:rPr>
        <w:t xml:space="preserve"> material, whether this reference material is steel or any other engineering materials</w:t>
      </w:r>
      <w:r w:rsidRPr="00266D07">
        <w:rPr>
          <w:rFonts w:asciiTheme="majorBidi" w:eastAsia="MS Mincho" w:hAnsiTheme="majorBidi" w:cstheme="majorBidi"/>
        </w:rPr>
        <w:t xml:space="preserve">.  For illustration purposes, Dual Phase 280 /600 (yield strength 280 MPa, ultimate tensile strength 600 MPa), was selected as the reference material in this example. </w:t>
      </w:r>
      <w:r w:rsidRPr="00266D07">
        <w:rPr>
          <w:rFonts w:asciiTheme="majorBidi" w:eastAsia="MS Mincho" w:hAnsiTheme="majorBidi" w:cstheme="majorBidi"/>
        </w:rPr>
        <w:fldChar w:fldCharType="begin"/>
      </w:r>
      <w:r w:rsidRPr="00266D07">
        <w:rPr>
          <w:rFonts w:asciiTheme="majorBidi" w:eastAsia="MS Mincho" w:hAnsiTheme="majorBidi" w:cstheme="majorBidi"/>
        </w:rPr>
        <w:instrText xml:space="preserve"> REF _Ref97136567 \h </w:instrText>
      </w:r>
      <w:r>
        <w:rPr>
          <w:rFonts w:asciiTheme="majorBidi" w:eastAsia="MS Mincho" w:hAnsiTheme="majorBidi" w:cstheme="majorBidi"/>
        </w:rPr>
        <w:instrText xml:space="preserve"> \* MERGEFORMAT </w:instrText>
      </w:r>
      <w:r w:rsidRPr="00266D07">
        <w:rPr>
          <w:rFonts w:asciiTheme="majorBidi" w:eastAsia="MS Mincho" w:hAnsiTheme="majorBidi" w:cstheme="majorBidi"/>
        </w:rPr>
      </w:r>
      <w:r w:rsidRPr="00266D07">
        <w:rPr>
          <w:rFonts w:asciiTheme="majorBidi" w:eastAsia="MS Mincho" w:hAnsiTheme="majorBidi" w:cstheme="majorBidi"/>
        </w:rPr>
        <w:fldChar w:fldCharType="separate"/>
      </w:r>
      <w:r w:rsidRPr="002553F0">
        <w:rPr>
          <w:rFonts w:asciiTheme="majorBidi" w:hAnsiTheme="majorBidi" w:cstheme="majorBidi"/>
        </w:rPr>
        <w:t xml:space="preserve">Figure </w:t>
      </w:r>
      <w:r w:rsidR="00425288">
        <w:rPr>
          <w:rFonts w:asciiTheme="majorBidi" w:hAnsiTheme="majorBidi" w:cstheme="majorBidi"/>
          <w:noProof/>
        </w:rPr>
        <w:t>4</w:t>
      </w:r>
      <w:r w:rsidRPr="00266D07">
        <w:rPr>
          <w:rFonts w:asciiTheme="majorBidi" w:eastAsia="MS Mincho" w:hAnsiTheme="majorBidi" w:cstheme="majorBidi"/>
        </w:rPr>
        <w:fldChar w:fldCharType="end"/>
      </w:r>
      <w:r w:rsidRPr="00266D07">
        <w:rPr>
          <w:rFonts w:asciiTheme="majorBidi" w:eastAsia="MS Mincho" w:hAnsiTheme="majorBidi" w:cstheme="majorBidi"/>
        </w:rPr>
        <w:t xml:space="preserve"> provides a comparison of the average, minimum, and maximum substitution rates within each material class. Error bars represent </w:t>
      </w:r>
      <w:r>
        <w:rPr>
          <w:rFonts w:asciiTheme="majorBidi" w:eastAsia="MS Mincho" w:hAnsiTheme="majorBidi" w:cstheme="majorBidi"/>
        </w:rPr>
        <w:t xml:space="preserve">the </w:t>
      </w:r>
      <w:r w:rsidRPr="00266D07">
        <w:rPr>
          <w:rFonts w:asciiTheme="majorBidi" w:eastAsia="MS Mincho" w:hAnsiTheme="majorBidi" w:cstheme="majorBidi"/>
        </w:rPr>
        <w:t xml:space="preserve">minimum and maximum within each material class. </w:t>
      </w:r>
    </w:p>
    <w:p w:rsidR="008F201A" w:rsidRPr="00266D07" w:rsidRDefault="008F201A" w:rsidP="008F201A">
      <w:pPr>
        <w:pStyle w:val="Caption"/>
        <w:spacing w:line="360" w:lineRule="auto"/>
        <w:rPr>
          <w:rFonts w:ascii="Calibri" w:hAnsi="Calibri" w:cs="Calibri"/>
          <w:sz w:val="22"/>
          <w:szCs w:val="22"/>
        </w:rPr>
      </w:pPr>
      <w:bookmarkStart w:id="7" w:name="_Ref485378871"/>
      <w:bookmarkStart w:id="8" w:name="_Toc494116746"/>
    </w:p>
    <w:p w:rsidR="008F201A" w:rsidRDefault="008F201A" w:rsidP="008F201A">
      <w:pPr>
        <w:keepNext/>
        <w:spacing w:line="360" w:lineRule="auto"/>
        <w:jc w:val="center"/>
      </w:pPr>
      <w:r w:rsidRPr="00266D07">
        <w:rPr>
          <w:rFonts w:ascii="Calibri" w:hAnsi="Calibri" w:cs="Calibri"/>
          <w:noProof/>
        </w:rPr>
        <w:drawing>
          <wp:inline distT="0" distB="0" distL="0" distR="0" wp14:anchorId="2EC5297A" wp14:editId="5CD4FC71">
            <wp:extent cx="4681728" cy="2926080"/>
            <wp:effectExtent l="0" t="0" r="508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1728" cy="2926080"/>
                    </a:xfrm>
                    <a:prstGeom prst="rect">
                      <a:avLst/>
                    </a:prstGeom>
                    <a:noFill/>
                  </pic:spPr>
                </pic:pic>
              </a:graphicData>
            </a:graphic>
          </wp:inline>
        </w:drawing>
      </w:r>
    </w:p>
    <w:p w:rsidR="008F201A" w:rsidRDefault="008F201A" w:rsidP="00AE087F">
      <w:pPr>
        <w:jc w:val="center"/>
      </w:pPr>
      <w:bookmarkStart w:id="9" w:name="_Ref97136567"/>
      <w:r w:rsidRPr="00AE087F">
        <w:t xml:space="preserve">Figure </w:t>
      </w:r>
      <w:bookmarkEnd w:id="9"/>
      <w:r w:rsidR="00152D9F" w:rsidRPr="00AE087F">
        <w:t>4</w:t>
      </w:r>
      <w:r w:rsidRPr="00AE087F">
        <w:t>. Average, minimum, and maximum mass substitution rates relative to Dual Phase 280/600 Steel (reference material) (error bar represents min and max).</w:t>
      </w:r>
    </w:p>
    <w:p w:rsidR="00AE087F" w:rsidRPr="00AE087F" w:rsidRDefault="00AE087F" w:rsidP="00AE087F">
      <w:pPr>
        <w:jc w:val="center"/>
      </w:pPr>
    </w:p>
    <w:bookmarkEnd w:id="7"/>
    <w:bookmarkEnd w:id="8"/>
    <w:p w:rsidR="008F201A" w:rsidRPr="00266D07" w:rsidRDefault="008F201A" w:rsidP="008F201A">
      <w:pPr>
        <w:spacing w:line="360" w:lineRule="auto"/>
        <w:jc w:val="both"/>
        <w:rPr>
          <w:rFonts w:asciiTheme="majorBidi" w:hAnsiTheme="majorBidi" w:cstheme="majorBidi"/>
          <w:sz w:val="24"/>
          <w:szCs w:val="24"/>
        </w:rPr>
      </w:pPr>
      <w:r>
        <w:rPr>
          <w:rFonts w:asciiTheme="majorBidi" w:eastAsia="MS Mincho" w:hAnsiTheme="majorBidi" w:cstheme="majorBidi"/>
        </w:rPr>
        <w:t>M</w:t>
      </w:r>
      <w:r w:rsidRPr="00266D07">
        <w:rPr>
          <w:rFonts w:asciiTheme="majorBidi" w:eastAsia="MS Mincho" w:hAnsiTheme="majorBidi" w:cstheme="majorBidi"/>
        </w:rPr>
        <w:t xml:space="preserve">aterial selection indices </w:t>
      </w:r>
      <w:r>
        <w:rPr>
          <w:rFonts w:asciiTheme="majorBidi" w:eastAsia="MS Mincho" w:hAnsiTheme="majorBidi" w:cstheme="majorBidi"/>
        </w:rPr>
        <w:t>were</w:t>
      </w:r>
      <w:r w:rsidRPr="00266D07">
        <w:rPr>
          <w:rFonts w:asciiTheme="majorBidi" w:eastAsia="MS Mincho" w:hAnsiTheme="majorBidi" w:cstheme="majorBidi"/>
        </w:rPr>
        <w:t xml:space="preserve"> derived for all major panels in the BIW shown in Table 1. These derived material selection indices were used to estimate the new weight of the BIW, which is a necessary input for </w:t>
      </w:r>
      <w:r w:rsidRPr="00266D07">
        <w:rPr>
          <w:rFonts w:asciiTheme="majorBidi" w:eastAsia="MS Mincho" w:hAnsiTheme="majorBidi" w:cstheme="majorBidi"/>
        </w:rPr>
        <w:lastRenderedPageBreak/>
        <w:t xml:space="preserve">the weight reduction estimated for all lightweight auto bodies considered in this study, namely </w:t>
      </w:r>
      <w:r>
        <w:rPr>
          <w:rFonts w:asciiTheme="majorBidi" w:eastAsia="MS Mincho" w:hAnsiTheme="majorBidi" w:cstheme="majorBidi"/>
        </w:rPr>
        <w:t>BIW</w:t>
      </w:r>
      <w:r w:rsidRPr="00266D07">
        <w:rPr>
          <w:rFonts w:asciiTheme="majorBidi" w:eastAsia="MS Mincho" w:hAnsiTheme="majorBidi" w:cstheme="majorBidi"/>
        </w:rPr>
        <w:t xml:space="preserve"> </w:t>
      </w:r>
      <w:r>
        <w:rPr>
          <w:rFonts w:asciiTheme="majorBidi" w:eastAsia="MS Mincho" w:hAnsiTheme="majorBidi" w:cstheme="majorBidi"/>
        </w:rPr>
        <w:t xml:space="preserve">with the </w:t>
      </w:r>
      <w:r w:rsidRPr="00266D07">
        <w:rPr>
          <w:rFonts w:asciiTheme="majorBidi" w:eastAsia="MS Mincho" w:hAnsiTheme="majorBidi" w:cstheme="majorBidi"/>
        </w:rPr>
        <w:t>base</w:t>
      </w:r>
      <w:r>
        <w:rPr>
          <w:rFonts w:asciiTheme="majorBidi" w:eastAsia="MS Mincho" w:hAnsiTheme="majorBidi" w:cstheme="majorBidi"/>
        </w:rPr>
        <w:t xml:space="preserve"> case (i.e. BIW </w:t>
      </w:r>
      <w:r w:rsidRPr="00266D07">
        <w:rPr>
          <w:rFonts w:asciiTheme="majorBidi" w:eastAsia="MS Mincho" w:hAnsiTheme="majorBidi" w:cstheme="majorBidi"/>
        </w:rPr>
        <w:t>made from dual</w:t>
      </w:r>
      <w:r>
        <w:rPr>
          <w:rFonts w:asciiTheme="majorBidi" w:eastAsia="MS Mincho" w:hAnsiTheme="majorBidi" w:cstheme="majorBidi"/>
        </w:rPr>
        <w:t>-</w:t>
      </w:r>
      <w:r w:rsidRPr="00266D07">
        <w:rPr>
          <w:rFonts w:asciiTheme="majorBidi" w:eastAsia="MS Mincho" w:hAnsiTheme="majorBidi" w:cstheme="majorBidi"/>
        </w:rPr>
        <w:t>phase steel</w:t>
      </w:r>
      <w:r>
        <w:rPr>
          <w:rFonts w:asciiTheme="majorBidi" w:eastAsia="MS Mincho" w:hAnsiTheme="majorBidi" w:cstheme="majorBidi"/>
        </w:rPr>
        <w:t>)</w:t>
      </w:r>
      <w:r w:rsidRPr="00266D07">
        <w:rPr>
          <w:rFonts w:asciiTheme="majorBidi" w:eastAsia="MS Mincho" w:hAnsiTheme="majorBidi" w:cstheme="majorBidi"/>
        </w:rPr>
        <w:t>,</w:t>
      </w:r>
      <w:r>
        <w:rPr>
          <w:rFonts w:asciiTheme="majorBidi" w:eastAsia="MS Mincho" w:hAnsiTheme="majorBidi" w:cstheme="majorBidi"/>
        </w:rPr>
        <w:t xml:space="preserve"> and those made using lightweight materials such as advanced high strength steels (</w:t>
      </w:r>
      <w:r w:rsidRPr="00266D07">
        <w:rPr>
          <w:rFonts w:asciiTheme="majorBidi" w:eastAsia="MS Mincho" w:hAnsiTheme="majorBidi" w:cstheme="majorBidi"/>
        </w:rPr>
        <w:t>AHSS</w:t>
      </w:r>
      <w:r>
        <w:rPr>
          <w:rFonts w:asciiTheme="majorBidi" w:eastAsia="MS Mincho" w:hAnsiTheme="majorBidi" w:cstheme="majorBidi"/>
        </w:rPr>
        <w:t>)</w:t>
      </w:r>
      <w:r w:rsidRPr="00266D07">
        <w:rPr>
          <w:rFonts w:asciiTheme="majorBidi" w:eastAsia="MS Mincho" w:hAnsiTheme="majorBidi" w:cstheme="majorBidi"/>
        </w:rPr>
        <w:t>, aluminum</w:t>
      </w:r>
      <w:r>
        <w:rPr>
          <w:rFonts w:asciiTheme="majorBidi" w:eastAsia="MS Mincho" w:hAnsiTheme="majorBidi" w:cstheme="majorBidi"/>
        </w:rPr>
        <w:t xml:space="preserve"> alloys</w:t>
      </w:r>
      <w:r w:rsidRPr="00266D07">
        <w:rPr>
          <w:rFonts w:asciiTheme="majorBidi" w:eastAsia="MS Mincho" w:hAnsiTheme="majorBidi" w:cstheme="majorBidi"/>
        </w:rPr>
        <w:t>, magnesium</w:t>
      </w:r>
      <w:r>
        <w:rPr>
          <w:rFonts w:asciiTheme="majorBidi" w:eastAsia="MS Mincho" w:hAnsiTheme="majorBidi" w:cstheme="majorBidi"/>
        </w:rPr>
        <w:t xml:space="preserve"> alloys</w:t>
      </w:r>
      <w:r w:rsidRPr="00266D07">
        <w:rPr>
          <w:rFonts w:asciiTheme="majorBidi" w:eastAsia="MS Mincho" w:hAnsiTheme="majorBidi" w:cstheme="majorBidi"/>
        </w:rPr>
        <w:t xml:space="preserve">, </w:t>
      </w:r>
      <w:r>
        <w:rPr>
          <w:rFonts w:asciiTheme="majorBidi" w:eastAsia="MS Mincho" w:hAnsiTheme="majorBidi" w:cstheme="majorBidi"/>
        </w:rPr>
        <w:t>carbon fiber reinforced plastics (</w:t>
      </w:r>
      <w:r w:rsidRPr="00266D07">
        <w:rPr>
          <w:rFonts w:asciiTheme="majorBidi" w:eastAsia="MS Mincho" w:hAnsiTheme="majorBidi" w:cstheme="majorBidi"/>
        </w:rPr>
        <w:t>CFRP</w:t>
      </w:r>
      <w:r>
        <w:rPr>
          <w:rFonts w:asciiTheme="majorBidi" w:eastAsia="MS Mincho" w:hAnsiTheme="majorBidi" w:cstheme="majorBidi"/>
        </w:rPr>
        <w:t>)</w:t>
      </w:r>
      <w:r w:rsidRPr="00266D07">
        <w:rPr>
          <w:rFonts w:asciiTheme="majorBidi" w:eastAsia="MS Mincho" w:hAnsiTheme="majorBidi" w:cstheme="majorBidi"/>
        </w:rPr>
        <w:t xml:space="preserve"> and </w:t>
      </w:r>
      <w:r>
        <w:rPr>
          <w:rFonts w:asciiTheme="majorBidi" w:eastAsia="MS Mincho" w:hAnsiTheme="majorBidi" w:cstheme="majorBidi"/>
        </w:rPr>
        <w:t>glass-fiber reinforced plastics (</w:t>
      </w:r>
      <w:r w:rsidRPr="00266D07">
        <w:rPr>
          <w:rFonts w:asciiTheme="majorBidi" w:eastAsia="MS Mincho" w:hAnsiTheme="majorBidi" w:cstheme="majorBidi"/>
        </w:rPr>
        <w:t>GFRP</w:t>
      </w:r>
      <w:r>
        <w:rPr>
          <w:rFonts w:asciiTheme="majorBidi" w:eastAsia="MS Mincho" w:hAnsiTheme="majorBidi" w:cstheme="majorBidi"/>
        </w:rPr>
        <w:t>)</w:t>
      </w:r>
      <w:r w:rsidRPr="00266D07">
        <w:rPr>
          <w:rFonts w:asciiTheme="majorBidi" w:eastAsia="MS Mincho" w:hAnsiTheme="majorBidi" w:cstheme="majorBidi"/>
        </w:rPr>
        <w:t>.</w:t>
      </w:r>
    </w:p>
    <w:p w:rsidR="008F201A" w:rsidRDefault="008F201A" w:rsidP="008F201A">
      <w:pPr>
        <w:spacing w:line="360" w:lineRule="auto"/>
        <w:ind w:firstLine="720"/>
        <w:jc w:val="both"/>
        <w:rPr>
          <w:rFonts w:asciiTheme="majorBidi" w:eastAsia="Calibri" w:hAnsiTheme="majorBidi" w:cstheme="majorBidi"/>
        </w:rPr>
      </w:pPr>
      <w:r w:rsidRPr="00266D07">
        <w:rPr>
          <w:rFonts w:asciiTheme="majorBidi" w:eastAsia="Calibri" w:hAnsiTheme="majorBidi" w:cstheme="majorBidi"/>
        </w:rPr>
        <w:t>The vehicles under consideration in this study were assumed to be combinations of different drivetrains with different lightweight materials in the body in weight (BIW) only. That means we did not consider</w:t>
      </w:r>
      <w:r>
        <w:rPr>
          <w:rFonts w:ascii="Calibri" w:eastAsia="Calibri" w:hAnsi="Calibri" w:cs="Calibri"/>
        </w:rPr>
        <w:t xml:space="preserve"> </w:t>
      </w:r>
      <w:r w:rsidRPr="00266D07">
        <w:rPr>
          <w:rFonts w:asciiTheme="majorBidi" w:eastAsia="Calibri" w:hAnsiTheme="majorBidi" w:cstheme="majorBidi"/>
        </w:rPr>
        <w:t xml:space="preserve">other weight reductions in other systems in the vehicle, which could be more complicated than the material replacement in the structural and body panels in the BIW. The drivetrains under consideration </w:t>
      </w:r>
      <w:r>
        <w:rPr>
          <w:rFonts w:asciiTheme="majorBidi" w:eastAsia="Calibri" w:hAnsiTheme="majorBidi" w:cstheme="majorBidi"/>
        </w:rPr>
        <w:t>include i</w:t>
      </w:r>
      <w:r w:rsidRPr="00266D07">
        <w:rPr>
          <w:rFonts w:asciiTheme="majorBidi" w:eastAsia="Calibri" w:hAnsiTheme="majorBidi" w:cstheme="majorBidi"/>
        </w:rPr>
        <w:t>nternal combustion engine vehicle</w:t>
      </w:r>
      <w:r>
        <w:rPr>
          <w:rFonts w:asciiTheme="majorBidi" w:eastAsia="Calibri" w:hAnsiTheme="majorBidi" w:cstheme="majorBidi"/>
        </w:rPr>
        <w:t>s</w:t>
      </w:r>
      <w:r w:rsidRPr="00266D07">
        <w:rPr>
          <w:rFonts w:asciiTheme="majorBidi" w:eastAsia="Calibri" w:hAnsiTheme="majorBidi" w:cstheme="majorBidi"/>
        </w:rPr>
        <w:t xml:space="preserve"> (ICEV), </w:t>
      </w:r>
      <w:r>
        <w:rPr>
          <w:rFonts w:asciiTheme="majorBidi" w:eastAsia="Calibri" w:hAnsiTheme="majorBidi" w:cstheme="majorBidi"/>
        </w:rPr>
        <w:t>h</w:t>
      </w:r>
      <w:r w:rsidRPr="00266D07">
        <w:rPr>
          <w:rFonts w:asciiTheme="majorBidi" w:eastAsia="Calibri" w:hAnsiTheme="majorBidi" w:cstheme="majorBidi"/>
        </w:rPr>
        <w:t>ybrid electric vehicle</w:t>
      </w:r>
      <w:r>
        <w:rPr>
          <w:rFonts w:asciiTheme="majorBidi" w:eastAsia="Calibri" w:hAnsiTheme="majorBidi" w:cstheme="majorBidi"/>
        </w:rPr>
        <w:t>s</w:t>
      </w:r>
      <w:r w:rsidRPr="00266D07">
        <w:rPr>
          <w:rFonts w:asciiTheme="majorBidi" w:eastAsia="Calibri" w:hAnsiTheme="majorBidi" w:cstheme="majorBidi"/>
        </w:rPr>
        <w:t xml:space="preserve"> (HEV), </w:t>
      </w:r>
      <w:r>
        <w:rPr>
          <w:rFonts w:asciiTheme="majorBidi" w:eastAsia="Calibri" w:hAnsiTheme="majorBidi" w:cstheme="majorBidi"/>
        </w:rPr>
        <w:t>p</w:t>
      </w:r>
      <w:r w:rsidRPr="00266D07">
        <w:rPr>
          <w:rFonts w:asciiTheme="majorBidi" w:eastAsia="Calibri" w:hAnsiTheme="majorBidi" w:cstheme="majorBidi"/>
        </w:rPr>
        <w:t>lug-in hybrid electric vehicle</w:t>
      </w:r>
      <w:r>
        <w:rPr>
          <w:rFonts w:asciiTheme="majorBidi" w:eastAsia="Calibri" w:hAnsiTheme="majorBidi" w:cstheme="majorBidi"/>
        </w:rPr>
        <w:t>s</w:t>
      </w:r>
      <w:r w:rsidRPr="00266D07">
        <w:rPr>
          <w:rFonts w:asciiTheme="majorBidi" w:eastAsia="Calibri" w:hAnsiTheme="majorBidi" w:cstheme="majorBidi"/>
        </w:rPr>
        <w:t xml:space="preserve"> (PHEV), </w:t>
      </w:r>
      <w:r>
        <w:rPr>
          <w:rFonts w:asciiTheme="majorBidi" w:eastAsia="Calibri" w:hAnsiTheme="majorBidi" w:cstheme="majorBidi"/>
        </w:rPr>
        <w:t>and e</w:t>
      </w:r>
      <w:r w:rsidRPr="00266D07">
        <w:rPr>
          <w:rFonts w:asciiTheme="majorBidi" w:eastAsia="Calibri" w:hAnsiTheme="majorBidi" w:cstheme="majorBidi"/>
        </w:rPr>
        <w:t>lectric Vehicle (EV), as for the material used in BIW we considered dual</w:t>
      </w:r>
      <w:r>
        <w:rPr>
          <w:rFonts w:asciiTheme="majorBidi" w:eastAsia="Calibri" w:hAnsiTheme="majorBidi" w:cstheme="majorBidi"/>
        </w:rPr>
        <w:t>-</w:t>
      </w:r>
      <w:r w:rsidRPr="00266D07">
        <w:rPr>
          <w:rFonts w:asciiTheme="majorBidi" w:eastAsia="Calibri" w:hAnsiTheme="majorBidi" w:cstheme="majorBidi"/>
        </w:rPr>
        <w:t>phase steel to be the base case, then we compared other lightweight materials to it. Lightweight materials include advanced high</w:t>
      </w:r>
      <w:r>
        <w:rPr>
          <w:rFonts w:asciiTheme="majorBidi" w:eastAsia="Calibri" w:hAnsiTheme="majorBidi" w:cstheme="majorBidi"/>
        </w:rPr>
        <w:t>-</w:t>
      </w:r>
      <w:r w:rsidRPr="00266D07">
        <w:rPr>
          <w:rFonts w:asciiTheme="majorBidi" w:eastAsia="Calibri" w:hAnsiTheme="majorBidi" w:cstheme="majorBidi"/>
        </w:rPr>
        <w:t xml:space="preserve">strength steel (AHSS), </w:t>
      </w:r>
      <w:r>
        <w:rPr>
          <w:rFonts w:asciiTheme="majorBidi" w:eastAsia="Calibri" w:hAnsiTheme="majorBidi" w:cstheme="majorBidi"/>
        </w:rPr>
        <w:t>a</w:t>
      </w:r>
      <w:r w:rsidRPr="00266D07">
        <w:rPr>
          <w:rFonts w:asciiTheme="majorBidi" w:eastAsia="Calibri" w:hAnsiTheme="majorBidi" w:cstheme="majorBidi"/>
        </w:rPr>
        <w:t xml:space="preserve">luminum (Al), </w:t>
      </w:r>
      <w:r>
        <w:rPr>
          <w:rFonts w:asciiTheme="majorBidi" w:eastAsia="Calibri" w:hAnsiTheme="majorBidi" w:cstheme="majorBidi"/>
        </w:rPr>
        <w:t>m</w:t>
      </w:r>
      <w:r w:rsidRPr="00266D07">
        <w:rPr>
          <w:rFonts w:asciiTheme="majorBidi" w:eastAsia="Calibri" w:hAnsiTheme="majorBidi" w:cstheme="majorBidi"/>
        </w:rPr>
        <w:t xml:space="preserve">agnesium (Mg), </w:t>
      </w:r>
      <w:r>
        <w:rPr>
          <w:rFonts w:asciiTheme="majorBidi" w:eastAsia="Calibri" w:hAnsiTheme="majorBidi" w:cstheme="majorBidi"/>
        </w:rPr>
        <w:t>g</w:t>
      </w:r>
      <w:r w:rsidRPr="00266D07">
        <w:rPr>
          <w:rFonts w:asciiTheme="majorBidi" w:eastAsia="Calibri" w:hAnsiTheme="majorBidi" w:cstheme="majorBidi"/>
        </w:rPr>
        <w:t>lass fiber</w:t>
      </w:r>
      <w:r>
        <w:rPr>
          <w:rFonts w:asciiTheme="majorBidi" w:eastAsia="Calibri" w:hAnsiTheme="majorBidi" w:cstheme="majorBidi"/>
        </w:rPr>
        <w:t>-</w:t>
      </w:r>
      <w:r w:rsidRPr="00266D07">
        <w:rPr>
          <w:rFonts w:asciiTheme="majorBidi" w:eastAsia="Calibri" w:hAnsiTheme="majorBidi" w:cstheme="majorBidi"/>
        </w:rPr>
        <w:t xml:space="preserve">reinforced plastic (GFRP), </w:t>
      </w:r>
      <w:r>
        <w:rPr>
          <w:rFonts w:asciiTheme="majorBidi" w:eastAsia="Calibri" w:hAnsiTheme="majorBidi" w:cstheme="majorBidi"/>
        </w:rPr>
        <w:t>and c</w:t>
      </w:r>
      <w:r w:rsidRPr="00266D07">
        <w:rPr>
          <w:rFonts w:asciiTheme="majorBidi" w:eastAsia="Calibri" w:hAnsiTheme="majorBidi" w:cstheme="majorBidi"/>
        </w:rPr>
        <w:t>arbon fiber</w:t>
      </w:r>
      <w:r>
        <w:rPr>
          <w:rFonts w:asciiTheme="majorBidi" w:eastAsia="Calibri" w:hAnsiTheme="majorBidi" w:cstheme="majorBidi"/>
        </w:rPr>
        <w:t>-</w:t>
      </w:r>
      <w:r w:rsidRPr="00266D07">
        <w:rPr>
          <w:rFonts w:asciiTheme="majorBidi" w:eastAsia="Calibri" w:hAnsiTheme="majorBidi" w:cstheme="majorBidi"/>
        </w:rPr>
        <w:t xml:space="preserve">reinforced plastic (CFRP). </w:t>
      </w:r>
    </w:p>
    <w:p w:rsidR="008F201A" w:rsidRPr="0006232B" w:rsidRDefault="008F201A" w:rsidP="0006232B">
      <w:pPr>
        <w:pStyle w:val="ListParagraph"/>
        <w:numPr>
          <w:ilvl w:val="0"/>
          <w:numId w:val="6"/>
        </w:numPr>
        <w:rPr>
          <w:b/>
          <w:bCs/>
          <w:sz w:val="24"/>
          <w:szCs w:val="24"/>
        </w:rPr>
      </w:pPr>
      <w:r w:rsidRPr="0006232B">
        <w:rPr>
          <w:b/>
          <w:bCs/>
          <w:sz w:val="24"/>
          <w:szCs w:val="24"/>
        </w:rPr>
        <w:t>GHG emissions in the Vehicle Production and end of Life Phases</w:t>
      </w:r>
    </w:p>
    <w:p w:rsidR="008F201A" w:rsidRPr="00266D07" w:rsidRDefault="008F201A" w:rsidP="00805339">
      <w:pPr>
        <w:spacing w:line="360" w:lineRule="auto"/>
        <w:jc w:val="both"/>
        <w:rPr>
          <w:rFonts w:asciiTheme="majorBidi" w:hAnsiTheme="majorBidi" w:cstheme="majorBidi"/>
        </w:rPr>
      </w:pPr>
      <w:r>
        <w:rPr>
          <w:rFonts w:asciiTheme="majorBidi" w:hAnsiTheme="majorBidi" w:cstheme="majorBidi"/>
        </w:rPr>
        <w:t xml:space="preserve">The UCSB model was originally developed by the University of California-Santa Barbara to help users analyze the environmental impacts of new vehicle design using a reliable LCA approach. Then, we used </w:t>
      </w:r>
      <w:r w:rsidRPr="00266D07">
        <w:rPr>
          <w:rFonts w:asciiTheme="majorBidi" w:hAnsiTheme="majorBidi" w:cstheme="majorBidi"/>
        </w:rPr>
        <w:t xml:space="preserve">the same weights obtained from </w:t>
      </w:r>
      <w:r>
        <w:rPr>
          <w:rFonts w:asciiTheme="majorBidi" w:hAnsiTheme="majorBidi" w:cstheme="majorBidi"/>
        </w:rPr>
        <w:t>UCSB</w:t>
      </w:r>
      <w:r w:rsidRPr="00266D07">
        <w:rPr>
          <w:rFonts w:asciiTheme="majorBidi" w:hAnsiTheme="majorBidi" w:cstheme="majorBidi"/>
        </w:rPr>
        <w:t xml:space="preserve"> and ratios for EOL</w:t>
      </w:r>
      <w:r>
        <w:rPr>
          <w:rFonts w:asciiTheme="majorBidi" w:hAnsiTheme="majorBidi" w:cstheme="majorBidi"/>
        </w:rPr>
        <w:t xml:space="preserve"> as inputs in</w:t>
      </w:r>
      <w:r w:rsidRPr="00266D07">
        <w:rPr>
          <w:rFonts w:asciiTheme="majorBidi" w:hAnsiTheme="majorBidi" w:cstheme="majorBidi"/>
        </w:rPr>
        <w:t xml:space="preserve"> </w:t>
      </w:r>
      <w:r>
        <w:rPr>
          <w:rFonts w:asciiTheme="majorBidi" w:hAnsiTheme="majorBidi" w:cstheme="majorBidi"/>
        </w:rPr>
        <w:t xml:space="preserve">the </w:t>
      </w:r>
      <w:r w:rsidRPr="00266D07">
        <w:rPr>
          <w:rFonts w:asciiTheme="majorBidi" w:hAnsiTheme="majorBidi" w:cstheme="majorBidi"/>
        </w:rPr>
        <w:t>GREET model to calculate the other emissions in production and EOL phases. For carbon tax</w:t>
      </w:r>
      <w:r>
        <w:rPr>
          <w:rFonts w:asciiTheme="majorBidi" w:hAnsiTheme="majorBidi" w:cstheme="majorBidi"/>
        </w:rPr>
        <w:t>,</w:t>
      </w:r>
      <w:r w:rsidRPr="00266D07">
        <w:rPr>
          <w:rFonts w:asciiTheme="majorBidi" w:hAnsiTheme="majorBidi" w:cstheme="majorBidi"/>
        </w:rPr>
        <w:t xml:space="preserve"> we used the U.S. national average of 51 USD</w:t>
      </w:r>
      <w:r>
        <w:rPr>
          <w:rFonts w:asciiTheme="majorBidi" w:hAnsiTheme="majorBidi" w:cstheme="majorBidi"/>
        </w:rPr>
        <w:t>/ton CO</w:t>
      </w:r>
      <w:r w:rsidRPr="00214462">
        <w:rPr>
          <w:rFonts w:asciiTheme="majorBidi" w:hAnsiTheme="majorBidi" w:cstheme="majorBidi"/>
          <w:vertAlign w:val="subscript"/>
        </w:rPr>
        <w:t xml:space="preserve">2-eq </w:t>
      </w:r>
      <w:r w:rsidRPr="00266D07">
        <w:rPr>
          <w:rFonts w:asciiTheme="majorBidi" w:hAnsiTheme="majorBidi" w:cstheme="majorBidi"/>
        </w:rPr>
        <w:t xml:space="preserve">that was </w:t>
      </w:r>
      <w:r>
        <w:rPr>
          <w:rFonts w:asciiTheme="majorBidi" w:hAnsiTheme="majorBidi" w:cstheme="majorBidi"/>
        </w:rPr>
        <w:t xml:space="preserve">recently set </w:t>
      </w:r>
      <w:r w:rsidRPr="00266D07">
        <w:rPr>
          <w:rFonts w:asciiTheme="majorBidi" w:hAnsiTheme="majorBidi" w:cstheme="majorBidi"/>
        </w:rPr>
        <w:t xml:space="preserve">by the </w:t>
      </w:r>
      <w:r>
        <w:rPr>
          <w:rFonts w:asciiTheme="majorBidi" w:hAnsiTheme="majorBidi" w:cstheme="majorBidi"/>
        </w:rPr>
        <w:t>federal</w:t>
      </w:r>
      <w:r w:rsidRPr="00266D07">
        <w:rPr>
          <w:rFonts w:asciiTheme="majorBidi" w:hAnsiTheme="majorBidi" w:cstheme="majorBidi"/>
        </w:rPr>
        <w:t xml:space="preserve"> government </w:t>
      </w:r>
      <w:r w:rsidR="00805339">
        <w:rPr>
          <w:rFonts w:asciiTheme="majorBidi" w:hAnsiTheme="majorBidi" w:cstheme="majorBidi"/>
        </w:rPr>
        <w:t>(</w:t>
      </w:r>
      <w:proofErr w:type="spellStart"/>
      <w:r w:rsidR="00805339">
        <w:rPr>
          <w:rFonts w:asciiTheme="majorBidi" w:hAnsiTheme="majorBidi"/>
          <w:i/>
          <w:iCs/>
        </w:rPr>
        <w:t>Skibba</w:t>
      </w:r>
      <w:proofErr w:type="spellEnd"/>
      <w:r w:rsidR="00805339">
        <w:rPr>
          <w:rFonts w:asciiTheme="majorBidi" w:hAnsiTheme="majorBidi"/>
          <w:i/>
          <w:iCs/>
        </w:rPr>
        <w:t>, 2021)</w:t>
      </w:r>
      <w:r w:rsidRPr="00266D07">
        <w:rPr>
          <w:rFonts w:asciiTheme="majorBidi" w:hAnsiTheme="majorBidi" w:cstheme="majorBidi"/>
        </w:rPr>
        <w:t>. The discount rate used to compute the NPV is 5%, and the reduction in insurance cost</w:t>
      </w:r>
      <w:r>
        <w:rPr>
          <w:rFonts w:asciiTheme="majorBidi" w:hAnsiTheme="majorBidi" w:cstheme="majorBidi"/>
        </w:rPr>
        <w:t>s</w:t>
      </w:r>
      <w:r w:rsidRPr="00266D07">
        <w:rPr>
          <w:rFonts w:asciiTheme="majorBidi" w:hAnsiTheme="majorBidi" w:cstheme="majorBidi"/>
        </w:rPr>
        <w:t xml:space="preserve"> </w:t>
      </w:r>
      <w:r>
        <w:rPr>
          <w:rFonts w:asciiTheme="majorBidi" w:hAnsiTheme="majorBidi" w:cstheme="majorBidi"/>
        </w:rPr>
        <w:t>was</w:t>
      </w:r>
      <w:r w:rsidRPr="00266D07">
        <w:rPr>
          <w:rFonts w:asciiTheme="majorBidi" w:hAnsiTheme="majorBidi" w:cstheme="majorBidi"/>
        </w:rPr>
        <w:t xml:space="preserve"> assumed to be 5% year over year (YOY).</w:t>
      </w:r>
    </w:p>
    <w:p w:rsidR="008F201A" w:rsidRDefault="008F201A" w:rsidP="00377281">
      <w:pPr>
        <w:pStyle w:val="Caption"/>
        <w:keepNext/>
        <w:spacing w:line="360" w:lineRule="auto"/>
        <w:jc w:val="center"/>
      </w:pPr>
      <w:r>
        <w:t xml:space="preserve">Table </w:t>
      </w:r>
      <w:r w:rsidR="00377281">
        <w:t>2</w:t>
      </w:r>
      <w:r>
        <w:t xml:space="preserve"> Production and End of life emission for each vehicle</w:t>
      </w:r>
    </w:p>
    <w:tbl>
      <w:tblPr>
        <w:tblStyle w:val="PlainTable2"/>
        <w:tblW w:w="10216" w:type="dxa"/>
        <w:tblLook w:val="04A0" w:firstRow="1" w:lastRow="0" w:firstColumn="1" w:lastColumn="0" w:noHBand="0" w:noVBand="1"/>
      </w:tblPr>
      <w:tblGrid>
        <w:gridCol w:w="1080"/>
        <w:gridCol w:w="900"/>
        <w:gridCol w:w="1085"/>
        <w:gridCol w:w="1170"/>
        <w:gridCol w:w="875"/>
        <w:gridCol w:w="925"/>
        <w:gridCol w:w="1080"/>
        <w:gridCol w:w="1170"/>
        <w:gridCol w:w="990"/>
        <w:gridCol w:w="900"/>
        <w:gridCol w:w="41"/>
      </w:tblGrid>
      <w:tr w:rsidR="008F201A" w:rsidRPr="00F31A4D" w:rsidTr="008F201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vMerge w:val="restart"/>
            <w:noWrap/>
            <w:hideMark/>
          </w:tcPr>
          <w:p w:rsidR="008F201A" w:rsidRPr="00F31A4D" w:rsidRDefault="008F201A" w:rsidP="008F201A">
            <w:pPr>
              <w:spacing w:line="360" w:lineRule="auto"/>
              <w:jc w:val="center"/>
              <w:rPr>
                <w:rFonts w:ascii="Calibri" w:eastAsia="Times New Roman" w:hAnsi="Calibri" w:cs="Calibri"/>
                <w:color w:val="000000"/>
                <w:sz w:val="20"/>
                <w:szCs w:val="20"/>
              </w:rPr>
            </w:pPr>
            <w:r w:rsidRPr="00F31A4D">
              <w:rPr>
                <w:rFonts w:ascii="Calibri" w:eastAsia="Times New Roman" w:hAnsi="Calibri" w:cs="Calibri"/>
                <w:color w:val="000000"/>
                <w:sz w:val="20"/>
                <w:szCs w:val="20"/>
              </w:rPr>
              <w:t>Vehicle</w:t>
            </w:r>
          </w:p>
        </w:tc>
        <w:tc>
          <w:tcPr>
            <w:tcW w:w="900" w:type="dxa"/>
            <w:vMerge w:val="restart"/>
            <w:noWrap/>
            <w:hideMark/>
          </w:tcPr>
          <w:p w:rsidR="008F201A" w:rsidRPr="00F31A4D" w:rsidRDefault="008F201A" w:rsidP="008F201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Final weight</w:t>
            </w:r>
          </w:p>
        </w:tc>
        <w:tc>
          <w:tcPr>
            <w:tcW w:w="4055" w:type="dxa"/>
            <w:gridSpan w:val="4"/>
            <w:noWrap/>
            <w:hideMark/>
          </w:tcPr>
          <w:p w:rsidR="008F201A" w:rsidRPr="00F31A4D" w:rsidRDefault="008F201A" w:rsidP="008F201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Production</w:t>
            </w:r>
          </w:p>
        </w:tc>
        <w:tc>
          <w:tcPr>
            <w:tcW w:w="4181" w:type="dxa"/>
            <w:gridSpan w:val="5"/>
            <w:noWrap/>
            <w:hideMark/>
          </w:tcPr>
          <w:p w:rsidR="008F201A" w:rsidRPr="00F31A4D" w:rsidRDefault="008F201A" w:rsidP="008F201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End Of Life</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15"/>
        </w:trPr>
        <w:tc>
          <w:tcPr>
            <w:cnfStyle w:val="001000000000" w:firstRow="0" w:lastRow="0" w:firstColumn="1" w:lastColumn="0" w:oddVBand="0" w:evenVBand="0" w:oddHBand="0" w:evenHBand="0" w:firstRowFirstColumn="0" w:firstRowLastColumn="0" w:lastRowFirstColumn="0" w:lastRowLastColumn="0"/>
            <w:tcW w:w="1080" w:type="dxa"/>
            <w:vMerge/>
            <w:hideMark/>
          </w:tcPr>
          <w:p w:rsidR="008F201A" w:rsidRPr="00F31A4D" w:rsidRDefault="008F201A" w:rsidP="008F201A">
            <w:pPr>
              <w:spacing w:line="360" w:lineRule="auto"/>
              <w:rPr>
                <w:rFonts w:ascii="Calibri" w:eastAsia="Times New Roman" w:hAnsi="Calibri" w:cs="Calibri"/>
                <w:color w:val="000000"/>
                <w:sz w:val="20"/>
                <w:szCs w:val="20"/>
              </w:rPr>
            </w:pPr>
          </w:p>
        </w:tc>
        <w:tc>
          <w:tcPr>
            <w:tcW w:w="900" w:type="dxa"/>
            <w:vMerge/>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p>
        </w:tc>
        <w:tc>
          <w:tcPr>
            <w:tcW w:w="1085"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CO2-eq kg</w:t>
            </w:r>
          </w:p>
        </w:tc>
        <w:tc>
          <w:tcPr>
            <w:tcW w:w="1170"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PM2.5</w:t>
            </w:r>
            <w:r>
              <w:rPr>
                <w:rFonts w:ascii="Calibri" w:eastAsia="Times New Roman" w:hAnsi="Calibri" w:cs="Calibri"/>
                <w:color w:val="000000"/>
                <w:sz w:val="20"/>
                <w:szCs w:val="20"/>
              </w:rPr>
              <w:t xml:space="preserve"> gm</w:t>
            </w:r>
          </w:p>
        </w:tc>
        <w:tc>
          <w:tcPr>
            <w:tcW w:w="875"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proofErr w:type="spellStart"/>
            <w:r w:rsidRPr="00F31A4D">
              <w:rPr>
                <w:rFonts w:ascii="Calibri" w:eastAsia="Times New Roman" w:hAnsi="Calibri" w:cs="Calibri"/>
                <w:color w:val="000000"/>
                <w:sz w:val="20"/>
                <w:szCs w:val="20"/>
              </w:rPr>
              <w:t>S</w:t>
            </w:r>
            <w:r>
              <w:rPr>
                <w:rFonts w:ascii="Calibri" w:eastAsia="Times New Roman" w:hAnsi="Calibri" w:cs="Calibri"/>
                <w:color w:val="000000"/>
                <w:sz w:val="20"/>
                <w:szCs w:val="20"/>
              </w:rPr>
              <w:t>O</w:t>
            </w:r>
            <w:r w:rsidRPr="00F31A4D">
              <w:rPr>
                <w:rFonts w:ascii="Calibri" w:eastAsia="Times New Roman" w:hAnsi="Calibri" w:cs="Calibri"/>
                <w:color w:val="000000"/>
                <w:sz w:val="20"/>
                <w:szCs w:val="20"/>
              </w:rPr>
              <w:t>x</w:t>
            </w:r>
            <w:proofErr w:type="spellEnd"/>
            <w:r>
              <w:rPr>
                <w:rFonts w:ascii="Calibri" w:eastAsia="Times New Roman" w:hAnsi="Calibri" w:cs="Calibri"/>
                <w:color w:val="000000"/>
                <w:sz w:val="20"/>
                <w:szCs w:val="20"/>
              </w:rPr>
              <w:t xml:space="preserve"> gm</w:t>
            </w:r>
          </w:p>
        </w:tc>
        <w:tc>
          <w:tcPr>
            <w:tcW w:w="925"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NOx</w:t>
            </w:r>
            <w:r>
              <w:rPr>
                <w:rFonts w:ascii="Calibri" w:eastAsia="Times New Roman" w:hAnsi="Calibri" w:cs="Calibri"/>
                <w:color w:val="000000"/>
                <w:sz w:val="20"/>
                <w:szCs w:val="20"/>
              </w:rPr>
              <w:t xml:space="preserve"> gm</w:t>
            </w:r>
          </w:p>
        </w:tc>
        <w:tc>
          <w:tcPr>
            <w:tcW w:w="1080"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CO2-eq kg</w:t>
            </w:r>
          </w:p>
        </w:tc>
        <w:tc>
          <w:tcPr>
            <w:tcW w:w="1170"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PM2.5 gm</w:t>
            </w:r>
          </w:p>
        </w:tc>
        <w:tc>
          <w:tcPr>
            <w:tcW w:w="990"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proofErr w:type="spellStart"/>
            <w:r w:rsidRPr="00F31A4D">
              <w:rPr>
                <w:rFonts w:ascii="Calibri" w:eastAsia="Times New Roman" w:hAnsi="Calibri" w:cs="Calibri"/>
                <w:color w:val="000000"/>
                <w:sz w:val="20"/>
                <w:szCs w:val="20"/>
              </w:rPr>
              <w:t>SOx</w:t>
            </w:r>
            <w:proofErr w:type="spellEnd"/>
            <w:r w:rsidRPr="00F31A4D">
              <w:rPr>
                <w:rFonts w:ascii="Calibri" w:eastAsia="Times New Roman" w:hAnsi="Calibri" w:cs="Calibri"/>
                <w:color w:val="000000"/>
                <w:sz w:val="20"/>
                <w:szCs w:val="20"/>
              </w:rPr>
              <w:t xml:space="preserve"> gm</w:t>
            </w:r>
          </w:p>
        </w:tc>
        <w:tc>
          <w:tcPr>
            <w:tcW w:w="900" w:type="dxa"/>
            <w:noWrap/>
            <w:hideMark/>
          </w:tcPr>
          <w:p w:rsidR="008F201A" w:rsidRPr="00F31A4D" w:rsidRDefault="008F201A" w:rsidP="008F201A">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NOx gm</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Base</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1640.0</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8462.0</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912.2</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13176.9</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4293.2</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-139.2</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-141.7</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-236.4</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-36.5</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AHSS</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1540.4</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8091.6</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841.9</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12241.6</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4048.9</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-131.4</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-129.1</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-216.9</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-34.0</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Al</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1431.2</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10432.7</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780.7</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10738.6</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3803.8</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-204.9</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-144.8</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-230.0</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-38.7</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M</w:t>
            </w:r>
            <w:r>
              <w:rPr>
                <w:rFonts w:ascii="Calibri" w:eastAsia="Times New Roman" w:hAnsi="Calibri" w:cs="Calibri"/>
                <w:color w:val="000000"/>
                <w:sz w:val="20"/>
                <w:szCs w:val="20"/>
              </w:rPr>
              <w:t>g</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1395.0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10999.9</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715.7</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10188.4</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4245.7</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-231.3</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-142.1</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-233.7</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-46.2</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GFRP</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1394.7</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8887.2</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778.7</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10172.3</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4160.0</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-111.5</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-92.3</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-139.2</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-27.0</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15"/>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ICV CFRP</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1348.0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10084.1</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759.3</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10318.6</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4301.3</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-111.5</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-79.3</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-124.5</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-24.6</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HEV Base</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1752.0</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8944.7</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978.3</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14121.7</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4574.8</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-150.1</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-155.1</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-258.5</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-39.7</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HEV AHSS</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1652.4</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8574.3</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908.1</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13186.5</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4330.5</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-142.4</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-142.4</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-238.8</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-37.2</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HEV Al</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1543.2</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10915.4</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846.9</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11683.5</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4085.5</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-215.8</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-158.1</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-252.0</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-41.8</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lastRenderedPageBreak/>
              <w:t>HEV M</w:t>
            </w:r>
            <w:r>
              <w:rPr>
                <w:rFonts w:ascii="Calibri" w:eastAsia="Times New Roman" w:hAnsi="Calibri" w:cs="Calibri"/>
                <w:color w:val="000000"/>
                <w:sz w:val="20"/>
                <w:szCs w:val="20"/>
              </w:rPr>
              <w:t>g</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1507.0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11482.5</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781.9</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11133.3</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4527.4</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-242.3</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-155.8</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-256.2</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-49.4</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HEV GFRP</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1506.7</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9369.8</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844.8</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11117.2</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4441.6</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-122.5</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-104.3</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-158.5</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-30.0</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15"/>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HEV CFRP</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1460.0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10566.8</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825.5</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11263.5</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4582.9</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-122.5</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-90.4</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-142.4</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-27.5</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Base</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1512.0</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9347.0</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935.4</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12142.7</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4582.9</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-164.1</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-155.1</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-232.5</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-41.6</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AHSS</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1412.4</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8850.8</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855.0</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11156.4</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5693.2</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-153.3</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-139.8</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-210.7</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-51.0</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Al</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1303.2</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11065.8</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783.6</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9602.2</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5278.2</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-223.6</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-149.5</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-211.6</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-55.2</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M</w:t>
            </w:r>
            <w:r>
              <w:rPr>
                <w:rFonts w:ascii="Calibri" w:eastAsia="Times New Roman" w:hAnsi="Calibri" w:cs="Calibri"/>
                <w:color w:val="000000"/>
                <w:sz w:val="20"/>
                <w:szCs w:val="20"/>
              </w:rPr>
              <w:t>g</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1267.0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11583.5</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714.5</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9031.8</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5653.4</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-248.8</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-144.9</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-211.6</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-62.8</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GFRP</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1266.7</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9470.8</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777.5</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9015.7</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5567.6</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-129.0</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-100.0</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-134.0</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-39.3</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15"/>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PHEV CFRP</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1220.0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10609.3</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753.4</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9138.3</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5630.1</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-127.6</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-85.6</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-119.9</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-35.0</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Base</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1334.0</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11544.7</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1040.2</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10678.3</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5630.1</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-226.9</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-193.0</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-228.9</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-57.3</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AHSS</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1234.4</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10838.4</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952.3</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9789.7</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9613.9</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-210.6</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-174.8</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-207.5</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-96.7</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Al</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1125.2</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13374.9</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866.7</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8118.9</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8783.8</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-291.7</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-178.5</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-193.1</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-99.1</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M</w:t>
            </w:r>
            <w:r>
              <w:rPr>
                <w:rFonts w:ascii="Calibri" w:eastAsia="Times New Roman" w:hAnsi="Calibri" w:cs="Calibri"/>
                <w:color w:val="000000"/>
                <w:sz w:val="20"/>
                <w:szCs w:val="20"/>
              </w:rPr>
              <w:t>g</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1089.0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14557.5</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784.0</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7444.0</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9253.4</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-340.2</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-173.0</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-189.7</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-111.9</w:t>
            </w:r>
          </w:p>
        </w:tc>
      </w:tr>
      <w:tr w:rsidR="008F201A" w:rsidRPr="00F31A4D" w:rsidTr="008F201A">
        <w:trPr>
          <w:gridAfter w:val="1"/>
          <w:wAfter w:w="41" w:type="dxa"/>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GFRP</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1088.7</w:t>
            </w:r>
          </w:p>
        </w:tc>
        <w:tc>
          <w:tcPr>
            <w:tcW w:w="108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11625.8</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871.4</w:t>
            </w:r>
          </w:p>
        </w:tc>
        <w:tc>
          <w:tcPr>
            <w:tcW w:w="87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7421.7</w:t>
            </w:r>
          </w:p>
        </w:tc>
        <w:tc>
          <w:tcPr>
            <w:tcW w:w="925"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9134.4</w:t>
            </w:r>
          </w:p>
        </w:tc>
        <w:tc>
          <w:tcPr>
            <w:tcW w:w="108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-174.0</w:t>
            </w:r>
          </w:p>
        </w:tc>
        <w:tc>
          <w:tcPr>
            <w:tcW w:w="117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-123.2</w:t>
            </w:r>
          </w:p>
        </w:tc>
        <w:tc>
          <w:tcPr>
            <w:tcW w:w="99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-121.1</w:t>
            </w:r>
          </w:p>
        </w:tc>
        <w:tc>
          <w:tcPr>
            <w:tcW w:w="900" w:type="dxa"/>
            <w:noWrap/>
            <w:hideMark/>
          </w:tcPr>
          <w:p w:rsidR="008F201A" w:rsidRPr="00F31A4D" w:rsidRDefault="008F201A" w:rsidP="008F201A">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-70.7</w:t>
            </w:r>
          </w:p>
        </w:tc>
      </w:tr>
      <w:tr w:rsidR="008F201A" w:rsidRPr="00F31A4D" w:rsidTr="008F201A">
        <w:trPr>
          <w:gridAfter w:val="1"/>
          <w:cnfStyle w:val="000000100000" w:firstRow="0" w:lastRow="0" w:firstColumn="0" w:lastColumn="0" w:oddVBand="0" w:evenVBand="0" w:oddHBand="1" w:evenHBand="0" w:firstRowFirstColumn="0" w:firstRowLastColumn="0" w:lastRowFirstColumn="0" w:lastRowLastColumn="0"/>
          <w:wAfter w:w="41" w:type="dxa"/>
          <w:trHeight w:val="315"/>
        </w:trPr>
        <w:tc>
          <w:tcPr>
            <w:cnfStyle w:val="001000000000" w:firstRow="0" w:lastRow="0" w:firstColumn="1" w:lastColumn="0" w:oddVBand="0" w:evenVBand="0" w:oddHBand="0" w:evenHBand="0" w:firstRowFirstColumn="0" w:firstRowLastColumn="0" w:lastRowFirstColumn="0" w:lastRowLastColumn="0"/>
            <w:tcW w:w="1080" w:type="dxa"/>
            <w:noWrap/>
            <w:hideMark/>
          </w:tcPr>
          <w:p w:rsidR="008F201A" w:rsidRPr="00F31A4D" w:rsidRDefault="008F201A" w:rsidP="008F201A">
            <w:pPr>
              <w:spacing w:line="360" w:lineRule="auto"/>
              <w:rPr>
                <w:rFonts w:ascii="Calibri" w:eastAsia="Times New Roman" w:hAnsi="Calibri" w:cs="Calibri"/>
                <w:color w:val="000000"/>
                <w:sz w:val="20"/>
                <w:szCs w:val="20"/>
              </w:rPr>
            </w:pPr>
            <w:r w:rsidRPr="00F31A4D">
              <w:rPr>
                <w:rFonts w:ascii="Calibri" w:eastAsia="Times New Roman" w:hAnsi="Calibri" w:cs="Calibri"/>
                <w:color w:val="000000"/>
                <w:sz w:val="20"/>
                <w:szCs w:val="20"/>
              </w:rPr>
              <w:t>EV CFRP</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1042.0</w:t>
            </w:r>
          </w:p>
        </w:tc>
        <w:tc>
          <w:tcPr>
            <w:tcW w:w="108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14243.0</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867.1</w:t>
            </w:r>
          </w:p>
        </w:tc>
        <w:tc>
          <w:tcPr>
            <w:tcW w:w="87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7734.7</w:t>
            </w:r>
          </w:p>
        </w:tc>
        <w:tc>
          <w:tcPr>
            <w:tcW w:w="925"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9409.0</w:t>
            </w:r>
          </w:p>
        </w:tc>
        <w:tc>
          <w:tcPr>
            <w:tcW w:w="108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-169.1</w:t>
            </w:r>
          </w:p>
        </w:tc>
        <w:tc>
          <w:tcPr>
            <w:tcW w:w="117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-97.2</w:t>
            </w:r>
          </w:p>
        </w:tc>
        <w:tc>
          <w:tcPr>
            <w:tcW w:w="99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-100.2</w:t>
            </w:r>
          </w:p>
        </w:tc>
        <w:tc>
          <w:tcPr>
            <w:tcW w:w="900" w:type="dxa"/>
            <w:noWrap/>
            <w:hideMark/>
          </w:tcPr>
          <w:p w:rsidR="008F201A" w:rsidRPr="00F31A4D" w:rsidRDefault="008F201A" w:rsidP="008F201A">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F31A4D">
              <w:rPr>
                <w:rFonts w:ascii="Calibri" w:eastAsia="Times New Roman" w:hAnsi="Calibri" w:cs="Calibri"/>
                <w:color w:val="000000"/>
                <w:sz w:val="20"/>
                <w:szCs w:val="20"/>
              </w:rPr>
              <w:t>-57.8</w:t>
            </w:r>
          </w:p>
        </w:tc>
      </w:tr>
    </w:tbl>
    <w:p w:rsidR="008F201A" w:rsidRDefault="008F201A" w:rsidP="008F201A"/>
    <w:p w:rsidR="00152D9F" w:rsidRPr="0006232B" w:rsidRDefault="00152D9F" w:rsidP="0006232B">
      <w:pPr>
        <w:pStyle w:val="ListParagraph"/>
        <w:numPr>
          <w:ilvl w:val="0"/>
          <w:numId w:val="6"/>
        </w:numPr>
        <w:rPr>
          <w:b/>
          <w:bCs/>
          <w:sz w:val="24"/>
          <w:szCs w:val="24"/>
        </w:rPr>
      </w:pPr>
      <w:r w:rsidRPr="0006232B">
        <w:rPr>
          <w:b/>
          <w:bCs/>
          <w:sz w:val="24"/>
          <w:szCs w:val="24"/>
        </w:rPr>
        <w:t>Total Cost of Ownership Results</w:t>
      </w:r>
    </w:p>
    <w:p w:rsidR="00152D9F" w:rsidRPr="00266D07" w:rsidRDefault="00152D9F" w:rsidP="00425288">
      <w:pPr>
        <w:spacing w:line="360" w:lineRule="auto"/>
        <w:jc w:val="both"/>
        <w:rPr>
          <w:rFonts w:asciiTheme="majorBidi" w:hAnsiTheme="majorBidi" w:cstheme="majorBidi"/>
        </w:rPr>
      </w:pPr>
      <w:r>
        <w:rPr>
          <w:rFonts w:asciiTheme="majorBidi" w:hAnsiTheme="majorBidi" w:cstheme="majorBidi"/>
        </w:rPr>
        <w:t>Here w</w:t>
      </w:r>
      <w:r w:rsidRPr="00266D07">
        <w:rPr>
          <w:rFonts w:asciiTheme="majorBidi" w:hAnsiTheme="majorBidi" w:cstheme="majorBidi"/>
        </w:rPr>
        <w:t>e can notice that the TCO change from one state to the other as expected because of the change in almost all parameters, like driven miles</w:t>
      </w:r>
      <w:r>
        <w:rPr>
          <w:rFonts w:asciiTheme="majorBidi" w:hAnsiTheme="majorBidi" w:cstheme="majorBidi"/>
        </w:rPr>
        <w:t>, fuel and electricity</w:t>
      </w:r>
      <w:r w:rsidRPr="00266D07">
        <w:rPr>
          <w:rFonts w:asciiTheme="majorBidi" w:hAnsiTheme="majorBidi" w:cstheme="majorBidi"/>
        </w:rPr>
        <w:t xml:space="preserve"> costs</w:t>
      </w:r>
      <w:r>
        <w:rPr>
          <w:rFonts w:asciiTheme="majorBidi" w:hAnsiTheme="majorBidi" w:cstheme="majorBidi"/>
        </w:rPr>
        <w:t>, and incentives</w:t>
      </w:r>
      <w:r w:rsidRPr="00266D07">
        <w:rPr>
          <w:rFonts w:asciiTheme="majorBidi" w:hAnsiTheme="majorBidi" w:cstheme="majorBidi"/>
        </w:rPr>
        <w:t>. In Arizona (</w:t>
      </w:r>
      <w:r w:rsidRPr="00266D07">
        <w:rPr>
          <w:rFonts w:asciiTheme="majorBidi" w:hAnsiTheme="majorBidi" w:cstheme="majorBidi"/>
          <w:highlight w:val="yellow"/>
        </w:rPr>
        <w:fldChar w:fldCharType="begin"/>
      </w:r>
      <w:r w:rsidRPr="00266D07">
        <w:rPr>
          <w:rFonts w:asciiTheme="majorBidi" w:hAnsiTheme="majorBidi" w:cstheme="majorBidi"/>
        </w:rPr>
        <w:instrText xml:space="preserve"> REF _Ref95743666 \h </w:instrText>
      </w:r>
      <w:r>
        <w:rPr>
          <w:rFonts w:asciiTheme="majorBidi" w:hAnsiTheme="majorBidi" w:cstheme="majorBidi"/>
          <w:highlight w:val="yellow"/>
        </w:rPr>
        <w:instrText xml:space="preserve"> \* MERGEFORMAT </w:instrText>
      </w:r>
      <w:r w:rsidRPr="00266D07">
        <w:rPr>
          <w:rFonts w:asciiTheme="majorBidi" w:hAnsiTheme="majorBidi" w:cstheme="majorBidi"/>
          <w:highlight w:val="yellow"/>
        </w:rPr>
      </w:r>
      <w:r w:rsidRPr="00266D07">
        <w:rPr>
          <w:rFonts w:asciiTheme="majorBidi" w:hAnsiTheme="majorBidi" w:cstheme="majorBidi"/>
          <w:highlight w:val="yellow"/>
        </w:rPr>
        <w:fldChar w:fldCharType="separate"/>
      </w:r>
      <w:r w:rsidRPr="002553F0">
        <w:rPr>
          <w:rFonts w:asciiTheme="majorBidi" w:hAnsiTheme="majorBidi" w:cstheme="majorBidi"/>
        </w:rPr>
        <w:t xml:space="preserve">Figure </w:t>
      </w:r>
      <w:r w:rsidR="00425288">
        <w:rPr>
          <w:rFonts w:asciiTheme="majorBidi" w:hAnsiTheme="majorBidi" w:cstheme="majorBidi"/>
          <w:noProof/>
        </w:rPr>
        <w:t>5</w:t>
      </w:r>
      <w:r w:rsidRPr="00266D07">
        <w:rPr>
          <w:rFonts w:asciiTheme="majorBidi" w:hAnsiTheme="majorBidi" w:cstheme="majorBidi"/>
          <w:highlight w:val="yellow"/>
        </w:rPr>
        <w:fldChar w:fldCharType="end"/>
      </w:r>
      <w:r w:rsidRPr="00266D07">
        <w:rPr>
          <w:rFonts w:asciiTheme="majorBidi" w:hAnsiTheme="majorBidi" w:cstheme="majorBidi"/>
        </w:rPr>
        <w:t>) HEV-AHSS has the lowest TCO followed by HEV-base, this is partially linked to the low driven miles (relative to other states like Wyoming</w:t>
      </w:r>
      <w:r>
        <w:rPr>
          <w:rFonts w:asciiTheme="majorBidi" w:hAnsiTheme="majorBidi" w:cstheme="majorBidi"/>
        </w:rPr>
        <w:t xml:space="preserve"> for example</w:t>
      </w:r>
      <w:r w:rsidRPr="00266D07">
        <w:rPr>
          <w:rFonts w:asciiTheme="majorBidi" w:hAnsiTheme="majorBidi" w:cstheme="majorBidi"/>
        </w:rPr>
        <w:t xml:space="preserve">), low fuel price, low emission cost, and the absence of incentives. </w:t>
      </w:r>
      <w:r w:rsidR="001D00C4">
        <w:rPr>
          <w:rFonts w:asciiTheme="majorBidi" w:hAnsiTheme="majorBidi" w:cstheme="majorBidi"/>
        </w:rPr>
        <w:t xml:space="preserve">Below are the results of the TCO model for different combinations of drivetrain-lightweight materials </w:t>
      </w:r>
      <w:r w:rsidR="006260E2">
        <w:rPr>
          <w:rFonts w:asciiTheme="majorBidi" w:hAnsiTheme="majorBidi" w:cstheme="majorBidi"/>
        </w:rPr>
        <w:t xml:space="preserve">in figures 5, 6, </w:t>
      </w:r>
      <w:r w:rsidR="006260E2">
        <w:rPr>
          <w:rFonts w:asciiTheme="majorBidi" w:hAnsiTheme="majorBidi" w:cstheme="majorBidi"/>
        </w:rPr>
        <w:t xml:space="preserve">and 7 </w:t>
      </w:r>
      <w:r w:rsidR="001D00C4">
        <w:rPr>
          <w:rFonts w:asciiTheme="majorBidi" w:hAnsiTheme="majorBidi" w:cstheme="majorBidi"/>
        </w:rPr>
        <w:t>for Arizona, Michigan and New York, respectively.</w:t>
      </w:r>
    </w:p>
    <w:p w:rsidR="00152D9F" w:rsidRPr="00152D9F" w:rsidRDefault="00152D9F" w:rsidP="008F201A">
      <w:pPr>
        <w:rPr>
          <w:b/>
          <w:bCs/>
          <w:sz w:val="24"/>
          <w:szCs w:val="24"/>
        </w:rPr>
      </w:pPr>
    </w:p>
    <w:p w:rsidR="00152D9F" w:rsidRDefault="00152D9F" w:rsidP="00152D9F">
      <w:pPr>
        <w:keepNext/>
        <w:spacing w:line="360" w:lineRule="auto"/>
        <w:jc w:val="center"/>
      </w:pPr>
      <w:r>
        <w:rPr>
          <w:noProof/>
        </w:rPr>
        <w:lastRenderedPageBreak/>
        <w:drawing>
          <wp:inline distT="0" distB="0" distL="0" distR="0" wp14:anchorId="0AC38396" wp14:editId="099BD12F">
            <wp:extent cx="4578726"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8726" cy="3657600"/>
                    </a:xfrm>
                    <a:prstGeom prst="rect">
                      <a:avLst/>
                    </a:prstGeom>
                  </pic:spPr>
                </pic:pic>
              </a:graphicData>
            </a:graphic>
          </wp:inline>
        </w:drawing>
      </w:r>
    </w:p>
    <w:p w:rsidR="00152D9F" w:rsidRPr="00B36935" w:rsidRDefault="00152D9F" w:rsidP="00B36935">
      <w:pPr>
        <w:jc w:val="center"/>
      </w:pPr>
      <w:bookmarkStart w:id="10" w:name="_Ref95743666"/>
      <w:r w:rsidRPr="00B36935">
        <w:t xml:space="preserve">Figure </w:t>
      </w:r>
      <w:bookmarkEnd w:id="10"/>
      <w:r w:rsidR="00D3342B" w:rsidRPr="00B36935">
        <w:t>5</w:t>
      </w:r>
      <w:r w:rsidRPr="00B36935">
        <w:t>. TCO in the State of Arizona</w:t>
      </w:r>
    </w:p>
    <w:p w:rsidR="00152D9F" w:rsidRDefault="00152D9F" w:rsidP="00152D9F">
      <w:pPr>
        <w:keepNext/>
        <w:spacing w:line="360" w:lineRule="auto"/>
        <w:jc w:val="center"/>
      </w:pPr>
      <w:r>
        <w:rPr>
          <w:noProof/>
        </w:rPr>
        <w:drawing>
          <wp:inline distT="0" distB="0" distL="0" distR="0" wp14:anchorId="4A18E57F" wp14:editId="38290650">
            <wp:extent cx="455618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6180" cy="3657600"/>
                    </a:xfrm>
                    <a:prstGeom prst="rect">
                      <a:avLst/>
                    </a:prstGeom>
                  </pic:spPr>
                </pic:pic>
              </a:graphicData>
            </a:graphic>
          </wp:inline>
        </w:drawing>
      </w:r>
    </w:p>
    <w:p w:rsidR="00152D9F" w:rsidRPr="00B36935" w:rsidRDefault="00152D9F" w:rsidP="00B36935">
      <w:pPr>
        <w:jc w:val="center"/>
      </w:pPr>
      <w:bookmarkStart w:id="11" w:name="_Ref95745193"/>
      <w:r w:rsidRPr="00B36935">
        <w:t xml:space="preserve">Figure </w:t>
      </w:r>
      <w:bookmarkEnd w:id="11"/>
      <w:r w:rsidR="00D3342B" w:rsidRPr="00B36935">
        <w:t>6</w:t>
      </w:r>
      <w:r w:rsidRPr="00B36935">
        <w:t>. TCO in the State of Michigan</w:t>
      </w:r>
    </w:p>
    <w:p w:rsidR="00152D9F" w:rsidRDefault="00152D9F" w:rsidP="00152D9F">
      <w:pPr>
        <w:keepNext/>
        <w:spacing w:line="360" w:lineRule="auto"/>
        <w:jc w:val="center"/>
      </w:pPr>
      <w:r>
        <w:rPr>
          <w:noProof/>
        </w:rPr>
        <w:lastRenderedPageBreak/>
        <w:drawing>
          <wp:inline distT="0" distB="0" distL="0" distR="0" wp14:anchorId="347AF837" wp14:editId="6C913583">
            <wp:extent cx="4611414" cy="36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11414" cy="3657600"/>
                    </a:xfrm>
                    <a:prstGeom prst="rect">
                      <a:avLst/>
                    </a:prstGeom>
                  </pic:spPr>
                </pic:pic>
              </a:graphicData>
            </a:graphic>
          </wp:inline>
        </w:drawing>
      </w:r>
    </w:p>
    <w:p w:rsidR="00152D9F" w:rsidRPr="00B36935" w:rsidRDefault="00152D9F" w:rsidP="00B36935">
      <w:pPr>
        <w:jc w:val="center"/>
      </w:pPr>
      <w:bookmarkStart w:id="12" w:name="_Ref95745522"/>
      <w:r w:rsidRPr="00B36935">
        <w:t xml:space="preserve">Figure </w:t>
      </w:r>
      <w:bookmarkEnd w:id="12"/>
      <w:r w:rsidR="00D3342B" w:rsidRPr="00B36935">
        <w:t>7.</w:t>
      </w:r>
      <w:r w:rsidRPr="00B36935">
        <w:t xml:space="preserve"> TCO in the State of New York</w:t>
      </w:r>
    </w:p>
    <w:p w:rsidR="00152D9F" w:rsidRDefault="00152D9F" w:rsidP="008F201A"/>
    <w:p w:rsidR="009562F2" w:rsidRDefault="009562F2" w:rsidP="008F201A"/>
    <w:p w:rsidR="009562F2" w:rsidRPr="0006232B" w:rsidRDefault="009562F2" w:rsidP="0006232B">
      <w:pPr>
        <w:pStyle w:val="ListParagraph"/>
        <w:numPr>
          <w:ilvl w:val="0"/>
          <w:numId w:val="6"/>
        </w:numPr>
        <w:rPr>
          <w:b/>
          <w:bCs/>
          <w:sz w:val="24"/>
          <w:szCs w:val="24"/>
        </w:rPr>
      </w:pPr>
      <w:r w:rsidRPr="0006232B">
        <w:rPr>
          <w:b/>
          <w:bCs/>
          <w:sz w:val="24"/>
          <w:szCs w:val="24"/>
        </w:rPr>
        <w:t>Sensitivity Analysis</w:t>
      </w:r>
    </w:p>
    <w:p w:rsidR="00236E9D" w:rsidRPr="00236E9D" w:rsidRDefault="00236E9D" w:rsidP="008F201A">
      <w:r w:rsidRPr="00236E9D">
        <w:t>Figures 8 and 9 show the results of the sensitivity analysis of the TCO model for HEV, and PHEV, respectively.</w:t>
      </w:r>
    </w:p>
    <w:p w:rsidR="009562F2" w:rsidRDefault="009562F2" w:rsidP="009562F2">
      <w:pPr>
        <w:keepNext/>
        <w:spacing w:line="360" w:lineRule="auto"/>
        <w:jc w:val="center"/>
      </w:pPr>
      <w:r>
        <w:rPr>
          <w:noProof/>
        </w:rPr>
        <w:lastRenderedPageBreak/>
        <w:drawing>
          <wp:inline distT="0" distB="0" distL="0" distR="0" wp14:anchorId="7B663CEF" wp14:editId="1C3C8966">
            <wp:extent cx="4599071" cy="36512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0872" cy="3668558"/>
                    </a:xfrm>
                    <a:prstGeom prst="rect">
                      <a:avLst/>
                    </a:prstGeom>
                  </pic:spPr>
                </pic:pic>
              </a:graphicData>
            </a:graphic>
          </wp:inline>
        </w:drawing>
      </w:r>
    </w:p>
    <w:p w:rsidR="009562F2" w:rsidRPr="00B36935" w:rsidRDefault="009562F2" w:rsidP="00B36935">
      <w:pPr>
        <w:jc w:val="center"/>
      </w:pPr>
      <w:r w:rsidRPr="00B36935">
        <w:t>Figure 8. Sensitivity analysis for HEV</w:t>
      </w:r>
    </w:p>
    <w:p w:rsidR="009562F2" w:rsidRDefault="009562F2" w:rsidP="009562F2">
      <w:pPr>
        <w:keepNext/>
        <w:spacing w:line="360" w:lineRule="auto"/>
        <w:jc w:val="center"/>
      </w:pPr>
      <w:r>
        <w:rPr>
          <w:noProof/>
        </w:rPr>
        <w:drawing>
          <wp:inline distT="0" distB="0" distL="0" distR="0" wp14:anchorId="596FC92C" wp14:editId="308582E3">
            <wp:extent cx="4383892" cy="34982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0542" cy="3503521"/>
                    </a:xfrm>
                    <a:prstGeom prst="rect">
                      <a:avLst/>
                    </a:prstGeom>
                  </pic:spPr>
                </pic:pic>
              </a:graphicData>
            </a:graphic>
          </wp:inline>
        </w:drawing>
      </w:r>
    </w:p>
    <w:p w:rsidR="009562F2" w:rsidRPr="00B36935" w:rsidRDefault="009562F2" w:rsidP="00B36935">
      <w:pPr>
        <w:jc w:val="center"/>
      </w:pPr>
      <w:r w:rsidRPr="00B36935">
        <w:t>Figure 9. Sensitivity analysis for PHEV</w:t>
      </w:r>
    </w:p>
    <w:p w:rsidR="00425288" w:rsidRPr="00805339" w:rsidRDefault="00425288" w:rsidP="00805339">
      <w:pPr>
        <w:rPr>
          <w:rFonts w:ascii="Times New Roman" w:hAnsi="Times New Roman" w:cs="Times New Roman"/>
          <w:b/>
          <w:bCs/>
          <w:sz w:val="24"/>
          <w:szCs w:val="24"/>
        </w:rPr>
      </w:pPr>
      <w:r w:rsidRPr="00805339">
        <w:rPr>
          <w:rFonts w:ascii="Times New Roman" w:hAnsi="Times New Roman" w:cs="Times New Roman"/>
          <w:b/>
          <w:bCs/>
          <w:sz w:val="24"/>
          <w:szCs w:val="24"/>
        </w:rPr>
        <w:lastRenderedPageBreak/>
        <w:t>References</w:t>
      </w:r>
    </w:p>
    <w:p w:rsidR="006A640C" w:rsidRPr="0049387A" w:rsidRDefault="006A640C" w:rsidP="00805339">
      <w:pPr>
        <w:ind w:left="720" w:hanging="720"/>
        <w:rPr>
          <w:rFonts w:ascii="Times New Roman" w:hAnsi="Times New Roman" w:cs="Times New Roman"/>
          <w:sz w:val="24"/>
          <w:szCs w:val="24"/>
        </w:rPr>
      </w:pPr>
      <w:bookmarkStart w:id="13" w:name="_Ref97141964"/>
      <w:r w:rsidRPr="0049387A">
        <w:rPr>
          <w:rFonts w:ascii="Times New Roman" w:hAnsi="Times New Roman" w:cs="Times New Roman"/>
          <w:sz w:val="24"/>
          <w:szCs w:val="24"/>
        </w:rPr>
        <w:t xml:space="preserve">EPA (December 12, 2022). U.S. Environmental Protection Agency. Highlights of the Automotive Trends Report.  </w:t>
      </w:r>
      <w:r w:rsidR="00805339" w:rsidRPr="0049387A">
        <w:rPr>
          <w:rFonts w:ascii="Times New Roman" w:hAnsi="Times New Roman" w:cs="Times New Roman"/>
          <w:sz w:val="24"/>
          <w:szCs w:val="24"/>
        </w:rPr>
        <w:t>Retrieved</w:t>
      </w:r>
      <w:r w:rsidRPr="0049387A">
        <w:rPr>
          <w:rFonts w:ascii="Times New Roman" w:hAnsi="Times New Roman" w:cs="Times New Roman"/>
          <w:sz w:val="24"/>
          <w:szCs w:val="24"/>
        </w:rPr>
        <w:t xml:space="preserve"> February, 20, 2023. </w:t>
      </w:r>
      <w:hyperlink r:id="rId14" w:history="1">
        <w:r w:rsidRPr="0049387A">
          <w:rPr>
            <w:rStyle w:val="Hyperlink"/>
            <w:rFonts w:ascii="Times New Roman" w:hAnsi="Times New Roman" w:cs="Times New Roman"/>
            <w:sz w:val="24"/>
            <w:szCs w:val="24"/>
          </w:rPr>
          <w:t>https://www.epa.gov/automotive-tr</w:t>
        </w:r>
        <w:r w:rsidRPr="0049387A">
          <w:rPr>
            <w:rStyle w:val="Hyperlink"/>
            <w:rFonts w:ascii="Times New Roman" w:hAnsi="Times New Roman" w:cs="Times New Roman"/>
            <w:sz w:val="24"/>
            <w:szCs w:val="24"/>
          </w:rPr>
          <w:t>e</w:t>
        </w:r>
        <w:r w:rsidRPr="0049387A">
          <w:rPr>
            <w:rStyle w:val="Hyperlink"/>
            <w:rFonts w:ascii="Times New Roman" w:hAnsi="Times New Roman" w:cs="Times New Roman"/>
            <w:sz w:val="24"/>
            <w:szCs w:val="24"/>
          </w:rPr>
          <w:t>nds/highlights-automotive-trends-report</w:t>
        </w:r>
      </w:hyperlink>
    </w:p>
    <w:p w:rsidR="00425288" w:rsidRPr="0049387A" w:rsidRDefault="00425288" w:rsidP="00805339">
      <w:pPr>
        <w:ind w:left="720" w:hanging="720"/>
        <w:rPr>
          <w:rFonts w:ascii="Times New Roman" w:hAnsi="Times New Roman" w:cs="Times New Roman"/>
          <w:sz w:val="24"/>
          <w:szCs w:val="24"/>
        </w:rPr>
      </w:pPr>
      <w:proofErr w:type="spellStart"/>
      <w:r w:rsidRPr="0049387A">
        <w:rPr>
          <w:rFonts w:ascii="Times New Roman" w:hAnsi="Times New Roman" w:cs="Times New Roman"/>
          <w:sz w:val="24"/>
          <w:szCs w:val="24"/>
        </w:rPr>
        <w:t>Goguen</w:t>
      </w:r>
      <w:proofErr w:type="spellEnd"/>
      <w:r w:rsidRPr="0049387A">
        <w:rPr>
          <w:rFonts w:ascii="Times New Roman" w:hAnsi="Times New Roman" w:cs="Times New Roman"/>
          <w:sz w:val="24"/>
          <w:szCs w:val="24"/>
        </w:rPr>
        <w:t xml:space="preserve"> S, </w:t>
      </w:r>
      <w:proofErr w:type="spellStart"/>
      <w:r w:rsidRPr="0049387A">
        <w:rPr>
          <w:rFonts w:ascii="Times New Roman" w:hAnsi="Times New Roman" w:cs="Times New Roman"/>
          <w:sz w:val="24"/>
          <w:szCs w:val="24"/>
        </w:rPr>
        <w:t>Schutte</w:t>
      </w:r>
      <w:proofErr w:type="spellEnd"/>
      <w:r w:rsidRPr="0049387A">
        <w:rPr>
          <w:rFonts w:ascii="Times New Roman" w:hAnsi="Times New Roman" w:cs="Times New Roman"/>
          <w:sz w:val="24"/>
          <w:szCs w:val="24"/>
        </w:rPr>
        <w:t xml:space="preserve"> C, </w:t>
      </w:r>
      <w:proofErr w:type="spellStart"/>
      <w:r w:rsidRPr="0049387A">
        <w:rPr>
          <w:rFonts w:ascii="Times New Roman" w:hAnsi="Times New Roman" w:cs="Times New Roman"/>
          <w:sz w:val="24"/>
          <w:szCs w:val="24"/>
        </w:rPr>
        <w:t>Joost</w:t>
      </w:r>
      <w:proofErr w:type="spellEnd"/>
      <w:r w:rsidRPr="0049387A">
        <w:rPr>
          <w:rFonts w:ascii="Times New Roman" w:hAnsi="Times New Roman" w:cs="Times New Roman"/>
          <w:sz w:val="24"/>
          <w:szCs w:val="24"/>
        </w:rPr>
        <w:t xml:space="preserve"> W. </w:t>
      </w:r>
      <w:r w:rsidR="00805339" w:rsidRPr="0049387A">
        <w:rPr>
          <w:rFonts w:ascii="Times New Roman" w:hAnsi="Times New Roman" w:cs="Times New Roman"/>
          <w:sz w:val="24"/>
          <w:szCs w:val="24"/>
        </w:rPr>
        <w:t xml:space="preserve"> (2015). </w:t>
      </w:r>
      <w:r w:rsidRPr="0049387A">
        <w:rPr>
          <w:rFonts w:ascii="Times New Roman" w:hAnsi="Times New Roman" w:cs="Times New Roman"/>
          <w:sz w:val="24"/>
          <w:szCs w:val="24"/>
        </w:rPr>
        <w:t>Lightweight materials. Vehicle Technologies Office’s Annual Merit Review, Washington, D.C. June 2015.</w:t>
      </w:r>
      <w:bookmarkEnd w:id="13"/>
    </w:p>
    <w:p w:rsidR="00425288" w:rsidRPr="0049387A" w:rsidRDefault="00425288" w:rsidP="00805339">
      <w:pPr>
        <w:ind w:left="720" w:hanging="720"/>
        <w:rPr>
          <w:rFonts w:ascii="Times New Roman" w:hAnsi="Times New Roman" w:cs="Times New Roman"/>
          <w:sz w:val="24"/>
          <w:szCs w:val="24"/>
        </w:rPr>
      </w:pPr>
      <w:bookmarkStart w:id="14" w:name="_Ref97141972"/>
      <w:proofErr w:type="spellStart"/>
      <w:r w:rsidRPr="0049387A">
        <w:rPr>
          <w:rFonts w:ascii="Times New Roman" w:hAnsi="Times New Roman" w:cs="Times New Roman"/>
          <w:sz w:val="24"/>
          <w:szCs w:val="24"/>
        </w:rPr>
        <w:t>Cheah</w:t>
      </w:r>
      <w:proofErr w:type="spellEnd"/>
      <w:r w:rsidR="00805339" w:rsidRPr="0049387A">
        <w:rPr>
          <w:rFonts w:ascii="Times New Roman" w:hAnsi="Times New Roman" w:cs="Times New Roman"/>
          <w:sz w:val="24"/>
          <w:szCs w:val="24"/>
        </w:rPr>
        <w:t>,</w:t>
      </w:r>
      <w:r w:rsidRPr="0049387A">
        <w:rPr>
          <w:rFonts w:ascii="Times New Roman" w:hAnsi="Times New Roman" w:cs="Times New Roman"/>
          <w:sz w:val="24"/>
          <w:szCs w:val="24"/>
        </w:rPr>
        <w:t xml:space="preserve"> L</w:t>
      </w:r>
      <w:r w:rsidR="00805339" w:rsidRPr="0049387A">
        <w:rPr>
          <w:rFonts w:ascii="Times New Roman" w:hAnsi="Times New Roman" w:cs="Times New Roman"/>
          <w:sz w:val="24"/>
          <w:szCs w:val="24"/>
        </w:rPr>
        <w:t>.</w:t>
      </w:r>
      <w:r w:rsidRPr="0049387A">
        <w:rPr>
          <w:rFonts w:ascii="Times New Roman" w:hAnsi="Times New Roman" w:cs="Times New Roman"/>
          <w:sz w:val="24"/>
          <w:szCs w:val="24"/>
        </w:rPr>
        <w:t xml:space="preserve">W. </w:t>
      </w:r>
      <w:r w:rsidR="00805339" w:rsidRPr="0049387A">
        <w:rPr>
          <w:rFonts w:ascii="Times New Roman" w:hAnsi="Times New Roman" w:cs="Times New Roman"/>
          <w:sz w:val="24"/>
          <w:szCs w:val="24"/>
        </w:rPr>
        <w:t xml:space="preserve"> (2009). </w:t>
      </w:r>
      <w:proofErr w:type="gramStart"/>
      <w:r w:rsidRPr="0049387A">
        <w:rPr>
          <w:rFonts w:ascii="Times New Roman" w:hAnsi="Times New Roman" w:cs="Times New Roman"/>
          <w:sz w:val="24"/>
          <w:szCs w:val="24"/>
        </w:rPr>
        <w:t>The</w:t>
      </w:r>
      <w:proofErr w:type="gramEnd"/>
      <w:r w:rsidRPr="0049387A">
        <w:rPr>
          <w:rFonts w:ascii="Times New Roman" w:hAnsi="Times New Roman" w:cs="Times New Roman"/>
          <w:sz w:val="24"/>
          <w:szCs w:val="24"/>
        </w:rPr>
        <w:t xml:space="preserve"> trade-off between automobile acceleration performance, weight, and fuel consumption. </w:t>
      </w:r>
      <w:r w:rsidRPr="0049387A">
        <w:rPr>
          <w:rFonts w:ascii="Times New Roman" w:hAnsi="Times New Roman" w:cs="Times New Roman"/>
          <w:i/>
          <w:iCs/>
          <w:sz w:val="24"/>
          <w:szCs w:val="24"/>
        </w:rPr>
        <w:t xml:space="preserve">SAE International </w:t>
      </w:r>
      <w:r w:rsidR="00805339" w:rsidRPr="0049387A">
        <w:rPr>
          <w:rFonts w:ascii="Times New Roman" w:hAnsi="Times New Roman" w:cs="Times New Roman"/>
          <w:i/>
          <w:iCs/>
          <w:sz w:val="24"/>
          <w:szCs w:val="24"/>
        </w:rPr>
        <w:t>Journal of Fuels and Lubricants</w:t>
      </w:r>
      <w:r w:rsidR="00805339" w:rsidRPr="0049387A">
        <w:rPr>
          <w:rFonts w:ascii="Times New Roman" w:hAnsi="Times New Roman" w:cs="Times New Roman"/>
          <w:sz w:val="24"/>
          <w:szCs w:val="24"/>
        </w:rPr>
        <w:t xml:space="preserve">, </w:t>
      </w:r>
      <w:r w:rsidRPr="0049387A">
        <w:rPr>
          <w:rFonts w:ascii="Times New Roman" w:hAnsi="Times New Roman" w:cs="Times New Roman"/>
          <w:sz w:val="24"/>
          <w:szCs w:val="24"/>
        </w:rPr>
        <w:t>1:771-777</w:t>
      </w:r>
      <w:bookmarkEnd w:id="14"/>
    </w:p>
    <w:p w:rsidR="006A640C" w:rsidRPr="0049387A" w:rsidRDefault="006A640C" w:rsidP="00805339">
      <w:pPr>
        <w:ind w:left="720" w:hanging="720"/>
        <w:rPr>
          <w:rFonts w:ascii="Times New Roman" w:hAnsi="Times New Roman" w:cs="Times New Roman"/>
          <w:sz w:val="24"/>
          <w:szCs w:val="24"/>
        </w:rPr>
      </w:pPr>
      <w:bookmarkStart w:id="15" w:name="_Ref97140921"/>
      <w:bookmarkStart w:id="16" w:name="_Ref97141975"/>
      <w:r w:rsidRPr="0049387A">
        <w:rPr>
          <w:rFonts w:ascii="Times New Roman" w:hAnsi="Times New Roman" w:cs="Times New Roman"/>
          <w:sz w:val="24"/>
          <w:szCs w:val="24"/>
        </w:rPr>
        <w:t xml:space="preserve">Fuchs, E, Field, F, Roth, R, </w:t>
      </w:r>
      <w:proofErr w:type="spellStart"/>
      <w:r w:rsidRPr="0049387A">
        <w:rPr>
          <w:rFonts w:ascii="Times New Roman" w:hAnsi="Times New Roman" w:cs="Times New Roman"/>
          <w:sz w:val="24"/>
          <w:szCs w:val="24"/>
        </w:rPr>
        <w:t>Kirchain</w:t>
      </w:r>
      <w:proofErr w:type="spellEnd"/>
      <w:r w:rsidRPr="0049387A">
        <w:rPr>
          <w:rFonts w:ascii="Times New Roman" w:hAnsi="Times New Roman" w:cs="Times New Roman"/>
          <w:sz w:val="24"/>
          <w:szCs w:val="24"/>
        </w:rPr>
        <w:t>, R.  (2008). Strategic materials selection in the automobile body: Economic opportunities for polymer composite design. Composites Science and Technology, 68:1989-2002</w:t>
      </w:r>
      <w:bookmarkEnd w:id="16"/>
    </w:p>
    <w:p w:rsidR="006A640C" w:rsidRPr="0049387A" w:rsidRDefault="006A640C" w:rsidP="00805339">
      <w:pPr>
        <w:ind w:left="720" w:hanging="720"/>
        <w:rPr>
          <w:rFonts w:ascii="Times New Roman" w:hAnsi="Times New Roman" w:cs="Times New Roman"/>
          <w:sz w:val="24"/>
          <w:szCs w:val="24"/>
        </w:rPr>
      </w:pPr>
      <w:bookmarkStart w:id="17" w:name="_Ref97142158"/>
      <w:bookmarkEnd w:id="15"/>
      <w:r w:rsidRPr="0049387A">
        <w:rPr>
          <w:rFonts w:ascii="Times New Roman" w:hAnsi="Times New Roman" w:cs="Times New Roman"/>
          <w:sz w:val="24"/>
          <w:szCs w:val="24"/>
        </w:rPr>
        <w:t xml:space="preserve">Das, S. (2000). The life-cycle impacts of aluminum body-in-white automotive material. </w:t>
      </w:r>
      <w:r w:rsidRPr="0049387A">
        <w:rPr>
          <w:rFonts w:ascii="Times New Roman" w:hAnsi="Times New Roman" w:cs="Times New Roman"/>
          <w:i/>
          <w:iCs/>
          <w:sz w:val="24"/>
          <w:szCs w:val="24"/>
        </w:rPr>
        <w:t>Journal of the Minerals, Metals and Materials Society</w:t>
      </w:r>
      <w:r w:rsidRPr="0049387A">
        <w:rPr>
          <w:rFonts w:ascii="Times New Roman" w:hAnsi="Times New Roman" w:cs="Times New Roman"/>
          <w:sz w:val="24"/>
          <w:szCs w:val="24"/>
        </w:rPr>
        <w:t>, 52:41-44</w:t>
      </w:r>
    </w:p>
    <w:p w:rsidR="001F5BF1" w:rsidRPr="0049387A" w:rsidRDefault="001F5BF1" w:rsidP="00EE38DF">
      <w:pPr>
        <w:ind w:left="720" w:hanging="720"/>
        <w:rPr>
          <w:rFonts w:ascii="Times New Roman" w:hAnsi="Times New Roman" w:cs="Times New Roman"/>
          <w:sz w:val="24"/>
          <w:szCs w:val="24"/>
        </w:rPr>
      </w:pPr>
      <w:bookmarkStart w:id="18" w:name="_Ref97140849"/>
      <w:bookmarkEnd w:id="17"/>
      <w:r w:rsidRPr="0049387A">
        <w:rPr>
          <w:rFonts w:ascii="Times New Roman" w:hAnsi="Times New Roman" w:cs="Times New Roman"/>
          <w:sz w:val="24"/>
          <w:szCs w:val="24"/>
        </w:rPr>
        <w:t>DOE (U.S. Department of Energy). (August, 25, 2016). Timeline: A Path to Lightweight Materials in Cars and Trucks. Energy.Gov. Retrieved</w:t>
      </w:r>
      <w:r w:rsidR="00EE38DF" w:rsidRPr="0049387A">
        <w:rPr>
          <w:rFonts w:ascii="Times New Roman" w:hAnsi="Times New Roman" w:cs="Times New Roman"/>
          <w:sz w:val="24"/>
          <w:szCs w:val="24"/>
        </w:rPr>
        <w:t xml:space="preserve"> February 21,</w:t>
      </w:r>
      <w:r w:rsidRPr="0049387A">
        <w:rPr>
          <w:rFonts w:ascii="Times New Roman" w:hAnsi="Times New Roman" w:cs="Times New Roman"/>
          <w:sz w:val="24"/>
          <w:szCs w:val="24"/>
        </w:rPr>
        <w:t xml:space="preserve"> 2022, from </w:t>
      </w:r>
      <w:hyperlink r:id="rId15" w:history="1">
        <w:r w:rsidRPr="0049387A">
          <w:rPr>
            <w:rStyle w:val="Hyperlink"/>
            <w:rFonts w:ascii="Times New Roman" w:hAnsi="Times New Roman" w:cs="Times New Roman"/>
            <w:sz w:val="24"/>
            <w:szCs w:val="24"/>
          </w:rPr>
          <w:t>https://www.energy.gov/eere/articles/timeline-path-lightweight-materials-cars-and-trucks</w:t>
        </w:r>
      </w:hyperlink>
      <w:r w:rsidRPr="0049387A">
        <w:rPr>
          <w:rFonts w:ascii="Times New Roman" w:hAnsi="Times New Roman" w:cs="Times New Roman"/>
          <w:sz w:val="24"/>
          <w:szCs w:val="24"/>
        </w:rPr>
        <w:t xml:space="preserve"> </w:t>
      </w:r>
    </w:p>
    <w:p w:rsidR="006A640C" w:rsidRPr="0049387A" w:rsidRDefault="006A640C" w:rsidP="00805339">
      <w:pPr>
        <w:ind w:left="720" w:hanging="720"/>
        <w:rPr>
          <w:rFonts w:ascii="Times New Roman" w:hAnsi="Times New Roman" w:cs="Times New Roman"/>
          <w:sz w:val="24"/>
          <w:szCs w:val="24"/>
        </w:rPr>
      </w:pPr>
      <w:r w:rsidRPr="0049387A">
        <w:rPr>
          <w:rFonts w:ascii="Times New Roman" w:hAnsi="Times New Roman" w:cs="Times New Roman"/>
          <w:sz w:val="24"/>
          <w:szCs w:val="24"/>
        </w:rPr>
        <w:t xml:space="preserve">Czerwinski, F. (2021). Current trends in automotive </w:t>
      </w:r>
      <w:proofErr w:type="spellStart"/>
      <w:r w:rsidRPr="0049387A">
        <w:rPr>
          <w:rFonts w:ascii="Times New Roman" w:hAnsi="Times New Roman" w:cs="Times New Roman"/>
          <w:sz w:val="24"/>
          <w:szCs w:val="24"/>
        </w:rPr>
        <w:t>lightweighting</w:t>
      </w:r>
      <w:proofErr w:type="spellEnd"/>
      <w:r w:rsidRPr="0049387A">
        <w:rPr>
          <w:rFonts w:ascii="Times New Roman" w:hAnsi="Times New Roman" w:cs="Times New Roman"/>
          <w:sz w:val="24"/>
          <w:szCs w:val="24"/>
        </w:rPr>
        <w:t xml:space="preserve"> strategies and materials. </w:t>
      </w:r>
      <w:r w:rsidRPr="0049387A">
        <w:rPr>
          <w:rFonts w:ascii="Times New Roman" w:hAnsi="Times New Roman" w:cs="Times New Roman"/>
          <w:i/>
          <w:iCs/>
          <w:sz w:val="24"/>
          <w:szCs w:val="24"/>
        </w:rPr>
        <w:t>Materials</w:t>
      </w:r>
      <w:r w:rsidRPr="0049387A">
        <w:rPr>
          <w:rFonts w:ascii="Times New Roman" w:hAnsi="Times New Roman" w:cs="Times New Roman"/>
          <w:sz w:val="24"/>
          <w:szCs w:val="24"/>
        </w:rPr>
        <w:t xml:space="preserve">, 14(21), 6631. </w:t>
      </w:r>
    </w:p>
    <w:p w:rsidR="00425288" w:rsidRPr="0049387A" w:rsidRDefault="00425288" w:rsidP="00805339">
      <w:pPr>
        <w:ind w:left="720" w:hanging="720"/>
        <w:rPr>
          <w:rFonts w:ascii="Times New Roman" w:hAnsi="Times New Roman" w:cs="Times New Roman"/>
          <w:color w:val="000000" w:themeColor="text1"/>
          <w:sz w:val="24"/>
          <w:szCs w:val="24"/>
        </w:rPr>
      </w:pPr>
      <w:r w:rsidRPr="0049387A">
        <w:rPr>
          <w:rFonts w:ascii="Times New Roman" w:hAnsi="Times New Roman" w:cs="Times New Roman"/>
          <w:sz w:val="24"/>
          <w:szCs w:val="24"/>
        </w:rPr>
        <w:t xml:space="preserve">Mayyas AT, </w:t>
      </w:r>
      <w:proofErr w:type="spellStart"/>
      <w:r w:rsidRPr="0049387A">
        <w:rPr>
          <w:rFonts w:ascii="Times New Roman" w:hAnsi="Times New Roman" w:cs="Times New Roman"/>
          <w:sz w:val="24"/>
          <w:szCs w:val="24"/>
        </w:rPr>
        <w:t>Qattawi</w:t>
      </w:r>
      <w:proofErr w:type="spellEnd"/>
      <w:r w:rsidRPr="0049387A">
        <w:rPr>
          <w:rFonts w:ascii="Times New Roman" w:hAnsi="Times New Roman" w:cs="Times New Roman"/>
          <w:sz w:val="24"/>
          <w:szCs w:val="24"/>
        </w:rPr>
        <w:t xml:space="preserve"> A, Mayyas A, Omar M. </w:t>
      </w:r>
      <w:r w:rsidR="00805339" w:rsidRPr="0049387A">
        <w:rPr>
          <w:rFonts w:ascii="Times New Roman" w:hAnsi="Times New Roman" w:cs="Times New Roman"/>
          <w:sz w:val="24"/>
          <w:szCs w:val="24"/>
        </w:rPr>
        <w:t xml:space="preserve">(2012). </w:t>
      </w:r>
      <w:r w:rsidRPr="0049387A">
        <w:rPr>
          <w:rFonts w:ascii="Times New Roman" w:hAnsi="Times New Roman" w:cs="Times New Roman"/>
          <w:sz w:val="24"/>
          <w:szCs w:val="24"/>
        </w:rPr>
        <w:t xml:space="preserve">Life cycle assessment-based selection for a </w:t>
      </w:r>
      <w:r w:rsidRPr="0049387A">
        <w:rPr>
          <w:rFonts w:ascii="Times New Roman" w:hAnsi="Times New Roman" w:cs="Times New Roman"/>
          <w:color w:val="000000" w:themeColor="text1"/>
          <w:sz w:val="24"/>
          <w:szCs w:val="24"/>
        </w:rPr>
        <w:t>sustainable lightweig</w:t>
      </w:r>
      <w:r w:rsidR="00805339" w:rsidRPr="0049387A">
        <w:rPr>
          <w:rFonts w:ascii="Times New Roman" w:hAnsi="Times New Roman" w:cs="Times New Roman"/>
          <w:color w:val="000000" w:themeColor="text1"/>
          <w:sz w:val="24"/>
          <w:szCs w:val="24"/>
        </w:rPr>
        <w:t xml:space="preserve">ht body-in-white design. </w:t>
      </w:r>
      <w:r w:rsidR="00805339" w:rsidRPr="0049387A">
        <w:rPr>
          <w:rFonts w:ascii="Times New Roman" w:hAnsi="Times New Roman" w:cs="Times New Roman"/>
          <w:i/>
          <w:iCs/>
          <w:color w:val="000000" w:themeColor="text1"/>
          <w:sz w:val="24"/>
          <w:szCs w:val="24"/>
        </w:rPr>
        <w:t>Energy</w:t>
      </w:r>
      <w:r w:rsidR="00805339" w:rsidRPr="0049387A">
        <w:rPr>
          <w:rFonts w:ascii="Times New Roman" w:hAnsi="Times New Roman" w:cs="Times New Roman"/>
          <w:color w:val="000000" w:themeColor="text1"/>
          <w:sz w:val="24"/>
          <w:szCs w:val="24"/>
        </w:rPr>
        <w:t xml:space="preserve">, </w:t>
      </w:r>
      <w:r w:rsidRPr="0049387A">
        <w:rPr>
          <w:rFonts w:ascii="Times New Roman" w:hAnsi="Times New Roman" w:cs="Times New Roman"/>
          <w:color w:val="000000" w:themeColor="text1"/>
          <w:sz w:val="24"/>
          <w:szCs w:val="24"/>
        </w:rPr>
        <w:t>39: 412-425</w:t>
      </w:r>
      <w:bookmarkEnd w:id="18"/>
    </w:p>
    <w:p w:rsidR="001F5BF1" w:rsidRPr="0049387A" w:rsidRDefault="00805339" w:rsidP="00805339">
      <w:pPr>
        <w:ind w:left="720" w:hanging="720"/>
        <w:rPr>
          <w:rFonts w:ascii="Times New Roman" w:hAnsi="Times New Roman" w:cs="Times New Roman"/>
          <w:color w:val="000000" w:themeColor="text1"/>
          <w:sz w:val="24"/>
          <w:szCs w:val="24"/>
        </w:rPr>
      </w:pPr>
      <w:bookmarkStart w:id="19" w:name="_Ref97142544"/>
      <w:r w:rsidRPr="0049387A">
        <w:rPr>
          <w:rFonts w:ascii="Times New Roman" w:hAnsi="Times New Roman" w:cs="Times New Roman"/>
          <w:color w:val="000000" w:themeColor="text1"/>
          <w:sz w:val="24"/>
          <w:szCs w:val="24"/>
          <w:shd w:val="clear" w:color="auto" w:fill="FFFFFF"/>
        </w:rPr>
        <w:t>Brooker, A. D., Ward, J., &amp; Wang, L. (2013). </w:t>
      </w:r>
      <w:proofErr w:type="spellStart"/>
      <w:r w:rsidRPr="0049387A">
        <w:rPr>
          <w:rFonts w:ascii="Times New Roman" w:hAnsi="Times New Roman" w:cs="Times New Roman"/>
          <w:i/>
          <w:iCs/>
          <w:color w:val="000000" w:themeColor="text1"/>
          <w:sz w:val="24"/>
          <w:szCs w:val="24"/>
          <w:shd w:val="clear" w:color="auto" w:fill="FFFFFF"/>
        </w:rPr>
        <w:t>Lightweighting</w:t>
      </w:r>
      <w:proofErr w:type="spellEnd"/>
      <w:r w:rsidRPr="0049387A">
        <w:rPr>
          <w:rFonts w:ascii="Times New Roman" w:hAnsi="Times New Roman" w:cs="Times New Roman"/>
          <w:i/>
          <w:iCs/>
          <w:color w:val="000000" w:themeColor="text1"/>
          <w:sz w:val="24"/>
          <w:szCs w:val="24"/>
          <w:shd w:val="clear" w:color="auto" w:fill="FFFFFF"/>
        </w:rPr>
        <w:t xml:space="preserve"> impacts on fuel economy, cost, and component losses</w:t>
      </w:r>
      <w:r w:rsidRPr="0049387A">
        <w:rPr>
          <w:rFonts w:ascii="Times New Roman" w:hAnsi="Times New Roman" w:cs="Times New Roman"/>
          <w:color w:val="000000" w:themeColor="text1"/>
          <w:sz w:val="24"/>
          <w:szCs w:val="24"/>
          <w:shd w:val="clear" w:color="auto" w:fill="FFFFFF"/>
        </w:rPr>
        <w:t> (Vol. 1, No. NREL/CP-5400-57607). National Renewable Energy Lab</w:t>
      </w:r>
      <w:proofErr w:type="gramStart"/>
      <w:r w:rsidRPr="0049387A">
        <w:rPr>
          <w:rFonts w:ascii="Times New Roman" w:hAnsi="Times New Roman" w:cs="Times New Roman"/>
          <w:color w:val="000000" w:themeColor="text1"/>
          <w:sz w:val="24"/>
          <w:szCs w:val="24"/>
          <w:shd w:val="clear" w:color="auto" w:fill="FFFFFF"/>
        </w:rPr>
        <w:t>.(</w:t>
      </w:r>
      <w:proofErr w:type="gramEnd"/>
      <w:r w:rsidRPr="0049387A">
        <w:rPr>
          <w:rFonts w:ascii="Times New Roman" w:hAnsi="Times New Roman" w:cs="Times New Roman"/>
          <w:color w:val="000000" w:themeColor="text1"/>
          <w:sz w:val="24"/>
          <w:szCs w:val="24"/>
          <w:shd w:val="clear" w:color="auto" w:fill="FFFFFF"/>
        </w:rPr>
        <w:t>NREL), Golden, CO (United States).</w:t>
      </w:r>
      <w:r w:rsidRPr="0049387A">
        <w:rPr>
          <w:rFonts w:ascii="Times New Roman" w:hAnsi="Times New Roman" w:cs="Times New Roman"/>
          <w:color w:val="000000" w:themeColor="text1"/>
          <w:sz w:val="24"/>
          <w:szCs w:val="24"/>
        </w:rPr>
        <w:t xml:space="preserve"> </w:t>
      </w:r>
    </w:p>
    <w:p w:rsidR="001F5BF1" w:rsidRPr="0049387A" w:rsidRDefault="001F5BF1" w:rsidP="00805339">
      <w:pPr>
        <w:ind w:left="720" w:hanging="720"/>
        <w:rPr>
          <w:rFonts w:ascii="Times New Roman" w:hAnsi="Times New Roman" w:cs="Times New Roman"/>
          <w:color w:val="000000" w:themeColor="text1"/>
          <w:sz w:val="24"/>
          <w:szCs w:val="24"/>
        </w:rPr>
      </w:pPr>
      <w:bookmarkStart w:id="20" w:name="_Ref97142956"/>
      <w:bookmarkEnd w:id="19"/>
      <w:proofErr w:type="spellStart"/>
      <w:r w:rsidRPr="0049387A">
        <w:rPr>
          <w:rFonts w:ascii="Times New Roman" w:hAnsi="Times New Roman" w:cs="Times New Roman"/>
          <w:color w:val="000000" w:themeColor="text1"/>
          <w:sz w:val="24"/>
          <w:szCs w:val="24"/>
          <w:shd w:val="clear" w:color="auto" w:fill="FFFFFF"/>
        </w:rPr>
        <w:t>Cheah</w:t>
      </w:r>
      <w:proofErr w:type="spellEnd"/>
      <w:r w:rsidRPr="0049387A">
        <w:rPr>
          <w:rFonts w:ascii="Times New Roman" w:hAnsi="Times New Roman" w:cs="Times New Roman"/>
          <w:color w:val="000000" w:themeColor="text1"/>
          <w:sz w:val="24"/>
          <w:szCs w:val="24"/>
          <w:shd w:val="clear" w:color="auto" w:fill="FFFFFF"/>
        </w:rPr>
        <w:t>, L. W. (2010). </w:t>
      </w:r>
      <w:r w:rsidRPr="0049387A">
        <w:rPr>
          <w:rFonts w:ascii="Times New Roman" w:hAnsi="Times New Roman" w:cs="Times New Roman"/>
          <w:i/>
          <w:iCs/>
          <w:color w:val="000000" w:themeColor="text1"/>
          <w:sz w:val="24"/>
          <w:szCs w:val="24"/>
          <w:shd w:val="clear" w:color="auto" w:fill="FFFFFF"/>
        </w:rPr>
        <w:t>Cars on a diet: the material and energy impacts of passenger vehicle weight reduction in the US</w:t>
      </w:r>
      <w:r w:rsidRPr="0049387A">
        <w:rPr>
          <w:rFonts w:ascii="Times New Roman" w:hAnsi="Times New Roman" w:cs="Times New Roman"/>
          <w:color w:val="000000" w:themeColor="text1"/>
          <w:sz w:val="24"/>
          <w:szCs w:val="24"/>
          <w:shd w:val="clear" w:color="auto" w:fill="FFFFFF"/>
        </w:rPr>
        <w:t> (Doctoral dissertation, Massachusetts Institute of Technology).</w:t>
      </w:r>
      <w:r w:rsidRPr="0049387A">
        <w:rPr>
          <w:rFonts w:ascii="Times New Roman" w:hAnsi="Times New Roman" w:cs="Times New Roman"/>
          <w:color w:val="000000" w:themeColor="text1"/>
          <w:sz w:val="24"/>
          <w:szCs w:val="24"/>
        </w:rPr>
        <w:t xml:space="preserve"> </w:t>
      </w:r>
    </w:p>
    <w:p w:rsidR="001F5BF1" w:rsidRPr="0049387A" w:rsidRDefault="001F5BF1" w:rsidP="00805339">
      <w:pPr>
        <w:ind w:left="720" w:hanging="720"/>
        <w:rPr>
          <w:rFonts w:ascii="Times New Roman" w:hAnsi="Times New Roman" w:cs="Times New Roman"/>
          <w:color w:val="000000" w:themeColor="text1"/>
          <w:sz w:val="24"/>
          <w:szCs w:val="24"/>
        </w:rPr>
      </w:pPr>
      <w:bookmarkStart w:id="21" w:name="_Ref97142903"/>
      <w:bookmarkEnd w:id="20"/>
      <w:proofErr w:type="spellStart"/>
      <w:r w:rsidRPr="0049387A">
        <w:rPr>
          <w:rFonts w:ascii="Times New Roman" w:hAnsi="Times New Roman" w:cs="Times New Roman"/>
          <w:color w:val="000000" w:themeColor="text1"/>
          <w:sz w:val="24"/>
          <w:szCs w:val="24"/>
          <w:shd w:val="clear" w:color="auto" w:fill="FFFFFF"/>
        </w:rPr>
        <w:t>Farag</w:t>
      </w:r>
      <w:proofErr w:type="spellEnd"/>
      <w:r w:rsidRPr="0049387A">
        <w:rPr>
          <w:rFonts w:ascii="Times New Roman" w:hAnsi="Times New Roman" w:cs="Times New Roman"/>
          <w:color w:val="000000" w:themeColor="text1"/>
          <w:sz w:val="24"/>
          <w:szCs w:val="24"/>
          <w:shd w:val="clear" w:color="auto" w:fill="FFFFFF"/>
        </w:rPr>
        <w:t>, M. M. (2006). Quantitative methods of materials selection. </w:t>
      </w:r>
      <w:r w:rsidRPr="0049387A">
        <w:rPr>
          <w:rFonts w:ascii="Times New Roman" w:hAnsi="Times New Roman" w:cs="Times New Roman"/>
          <w:i/>
          <w:iCs/>
          <w:color w:val="000000" w:themeColor="text1"/>
          <w:sz w:val="24"/>
          <w:szCs w:val="24"/>
          <w:shd w:val="clear" w:color="auto" w:fill="FFFFFF"/>
        </w:rPr>
        <w:t>Materials and Mechanical Design</w:t>
      </w:r>
      <w:r w:rsidRPr="0049387A">
        <w:rPr>
          <w:rFonts w:ascii="Times New Roman" w:hAnsi="Times New Roman" w:cs="Times New Roman"/>
          <w:color w:val="000000" w:themeColor="text1"/>
          <w:sz w:val="24"/>
          <w:szCs w:val="24"/>
          <w:shd w:val="clear" w:color="auto" w:fill="FFFFFF"/>
        </w:rPr>
        <w:t>, 466.</w:t>
      </w:r>
    </w:p>
    <w:p w:rsidR="00425288" w:rsidRPr="0049387A" w:rsidRDefault="00425288" w:rsidP="00805339">
      <w:pPr>
        <w:ind w:left="720" w:hanging="720"/>
        <w:rPr>
          <w:rFonts w:ascii="Times New Roman" w:hAnsi="Times New Roman" w:cs="Times New Roman"/>
          <w:sz w:val="24"/>
          <w:szCs w:val="24"/>
        </w:rPr>
      </w:pPr>
      <w:r w:rsidRPr="0049387A">
        <w:rPr>
          <w:rFonts w:ascii="Times New Roman" w:hAnsi="Times New Roman" w:cs="Times New Roman"/>
          <w:sz w:val="24"/>
          <w:szCs w:val="24"/>
        </w:rPr>
        <w:t xml:space="preserve">Ashby, M., </w:t>
      </w:r>
      <w:proofErr w:type="spellStart"/>
      <w:r w:rsidRPr="0049387A">
        <w:rPr>
          <w:rFonts w:ascii="Times New Roman" w:hAnsi="Times New Roman" w:cs="Times New Roman"/>
          <w:sz w:val="24"/>
          <w:szCs w:val="24"/>
        </w:rPr>
        <w:t>Bréchet</w:t>
      </w:r>
      <w:proofErr w:type="spellEnd"/>
      <w:r w:rsidRPr="0049387A">
        <w:rPr>
          <w:rFonts w:ascii="Times New Roman" w:hAnsi="Times New Roman" w:cs="Times New Roman"/>
          <w:sz w:val="24"/>
          <w:szCs w:val="24"/>
        </w:rPr>
        <w:t xml:space="preserve">, Y., </w:t>
      </w:r>
      <w:proofErr w:type="spellStart"/>
      <w:r w:rsidRPr="0049387A">
        <w:rPr>
          <w:rFonts w:ascii="Times New Roman" w:hAnsi="Times New Roman" w:cs="Times New Roman"/>
          <w:sz w:val="24"/>
          <w:szCs w:val="24"/>
        </w:rPr>
        <w:t>Cebon</w:t>
      </w:r>
      <w:proofErr w:type="spellEnd"/>
      <w:r w:rsidRPr="0049387A">
        <w:rPr>
          <w:rFonts w:ascii="Times New Roman" w:hAnsi="Times New Roman" w:cs="Times New Roman"/>
          <w:sz w:val="24"/>
          <w:szCs w:val="24"/>
        </w:rPr>
        <w:t xml:space="preserve">, D., &amp; Salvo, L. (2004). Selection strategies for materials and processes. Materials &amp; Design, 25(1), 51-67. </w:t>
      </w:r>
      <w:proofErr w:type="gramStart"/>
      <w:r w:rsidRPr="0049387A">
        <w:rPr>
          <w:rFonts w:ascii="Times New Roman" w:hAnsi="Times New Roman" w:cs="Times New Roman"/>
          <w:sz w:val="24"/>
          <w:szCs w:val="24"/>
        </w:rPr>
        <w:t>doi:</w:t>
      </w:r>
      <w:proofErr w:type="gramEnd"/>
      <w:r w:rsidRPr="0049387A">
        <w:rPr>
          <w:rFonts w:ascii="Times New Roman" w:hAnsi="Times New Roman" w:cs="Times New Roman"/>
          <w:sz w:val="24"/>
          <w:szCs w:val="24"/>
        </w:rPr>
        <w:t>10.1016/s0261-3069(03)00159-6</w:t>
      </w:r>
      <w:bookmarkEnd w:id="21"/>
    </w:p>
    <w:p w:rsidR="00425288" w:rsidRPr="0049387A" w:rsidRDefault="00425288" w:rsidP="0049387A">
      <w:pPr>
        <w:ind w:left="720" w:hanging="720"/>
        <w:rPr>
          <w:rFonts w:ascii="Times New Roman" w:hAnsi="Times New Roman" w:cs="Times New Roman"/>
          <w:sz w:val="24"/>
          <w:szCs w:val="24"/>
        </w:rPr>
      </w:pPr>
      <w:bookmarkStart w:id="22" w:name="_Ref97143290"/>
      <w:proofErr w:type="spellStart"/>
      <w:r w:rsidRPr="0049387A">
        <w:rPr>
          <w:rFonts w:ascii="Times New Roman" w:hAnsi="Times New Roman" w:cs="Times New Roman"/>
          <w:sz w:val="24"/>
          <w:szCs w:val="24"/>
        </w:rPr>
        <w:t>Skibba</w:t>
      </w:r>
      <w:proofErr w:type="spellEnd"/>
      <w:r w:rsidRPr="0049387A">
        <w:rPr>
          <w:rFonts w:ascii="Times New Roman" w:hAnsi="Times New Roman" w:cs="Times New Roman"/>
          <w:sz w:val="24"/>
          <w:szCs w:val="24"/>
        </w:rPr>
        <w:t xml:space="preserve">, R. (2021, March 6). The Biden Administration Weighs the Social Cost of Carbon. Wired. </w:t>
      </w:r>
      <w:hyperlink r:id="rId16" w:history="1">
        <w:r w:rsidRPr="0049387A">
          <w:rPr>
            <w:rStyle w:val="Hyperlink"/>
            <w:rFonts w:ascii="Times New Roman" w:hAnsi="Times New Roman" w:cs="Times New Roman"/>
            <w:sz w:val="24"/>
            <w:szCs w:val="24"/>
          </w:rPr>
          <w:t>https://www.wired.com/story/the-biden-administration-weighs-the-social-cost-of-carbon/</w:t>
        </w:r>
      </w:hyperlink>
      <w:bookmarkEnd w:id="22"/>
    </w:p>
    <w:sectPr w:rsidR="00425288" w:rsidRPr="00493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F0124"/>
    <w:multiLevelType w:val="hybridMultilevel"/>
    <w:tmpl w:val="B9C07F52"/>
    <w:lvl w:ilvl="0" w:tplc="DD3268FE">
      <w:start w:val="1"/>
      <w:numFmt w:val="decimal"/>
      <w:lvlText w:val="[%1]."/>
      <w:lvlJc w:val="right"/>
      <w:pPr>
        <w:ind w:left="720" w:hanging="360"/>
      </w:pPr>
      <w:rPr>
        <w:rFonts w:asciiTheme="majorBidi" w:hAnsiTheme="majorBidi" w:cstheme="majorBidi" w:hint="default"/>
        <w:b w:val="0"/>
        <w:bCs w:val="0"/>
        <w:i w:val="0"/>
        <w:iCs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26052"/>
    <w:multiLevelType w:val="hybridMultilevel"/>
    <w:tmpl w:val="D80E46C2"/>
    <w:lvl w:ilvl="0" w:tplc="B4FCA6BE">
      <w:start w:val="1"/>
      <w:numFmt w:val="decimal"/>
      <w:lvlText w:val="[%1]."/>
      <w:lvlJc w:val="right"/>
      <w:pPr>
        <w:ind w:left="720" w:hanging="360"/>
      </w:pPr>
      <w:rPr>
        <w:rFonts w:asciiTheme="majorBidi" w:hAnsiTheme="majorBidi" w:cstheme="majorBidi" w:hint="default"/>
        <w:b w:val="0"/>
        <w:bCs w:val="0"/>
        <w:i w:val="0"/>
        <w:iCs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A72691"/>
    <w:multiLevelType w:val="hybridMultilevel"/>
    <w:tmpl w:val="A1468212"/>
    <w:lvl w:ilvl="0" w:tplc="FEBAC3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83BFE"/>
    <w:multiLevelType w:val="hybridMultilevel"/>
    <w:tmpl w:val="6BA4CFDA"/>
    <w:lvl w:ilvl="0" w:tplc="E28CBD46">
      <w:start w:val="10"/>
      <w:numFmt w:val="decimal"/>
      <w:lvlText w:val="[%1]."/>
      <w:lvlJc w:val="right"/>
      <w:pPr>
        <w:ind w:left="720" w:hanging="360"/>
      </w:pPr>
      <w:rPr>
        <w:rFonts w:asciiTheme="majorBidi" w:hAnsiTheme="majorBidi" w:cstheme="majorBidi" w:hint="default"/>
        <w:b w:val="0"/>
        <w:bCs w:val="0"/>
        <w:i w:val="0"/>
        <w:iCs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7F187D"/>
    <w:multiLevelType w:val="multilevel"/>
    <w:tmpl w:val="5D6ED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AC23585"/>
    <w:multiLevelType w:val="hybridMultilevel"/>
    <w:tmpl w:val="32425CD8"/>
    <w:lvl w:ilvl="0" w:tplc="8EEEBB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DF"/>
    <w:rsid w:val="0006232B"/>
    <w:rsid w:val="000B319A"/>
    <w:rsid w:val="000C46DF"/>
    <w:rsid w:val="00101F10"/>
    <w:rsid w:val="00152D9F"/>
    <w:rsid w:val="001C253C"/>
    <w:rsid w:val="001D00C4"/>
    <w:rsid w:val="001F5BF1"/>
    <w:rsid w:val="00236E9D"/>
    <w:rsid w:val="00253017"/>
    <w:rsid w:val="00354036"/>
    <w:rsid w:val="00377281"/>
    <w:rsid w:val="00425288"/>
    <w:rsid w:val="0049387A"/>
    <w:rsid w:val="00601EDF"/>
    <w:rsid w:val="006260E2"/>
    <w:rsid w:val="006A640C"/>
    <w:rsid w:val="00805339"/>
    <w:rsid w:val="008F201A"/>
    <w:rsid w:val="009562F2"/>
    <w:rsid w:val="009774E0"/>
    <w:rsid w:val="00AE087F"/>
    <w:rsid w:val="00AF7248"/>
    <w:rsid w:val="00B36935"/>
    <w:rsid w:val="00CC2404"/>
    <w:rsid w:val="00CF43B2"/>
    <w:rsid w:val="00D3342B"/>
    <w:rsid w:val="00E3578D"/>
    <w:rsid w:val="00EE38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718BA"/>
  <w15:chartTrackingRefBased/>
  <w15:docId w15:val="{F6BACA47-8706-41B5-A087-955B521F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6DF"/>
  </w:style>
  <w:style w:type="paragraph" w:styleId="Heading1">
    <w:name w:val="heading 1"/>
    <w:basedOn w:val="Normal"/>
    <w:next w:val="Normal"/>
    <w:link w:val="Heading1Char"/>
    <w:uiPriority w:val="9"/>
    <w:qFormat/>
    <w:rsid w:val="00425288"/>
    <w:pPr>
      <w:keepNext/>
      <w:keepLines/>
      <w:spacing w:before="120" w:after="120" w:line="240" w:lineRule="auto"/>
      <w:outlineLvl w:val="0"/>
    </w:pPr>
    <w:rPr>
      <w:rFonts w:eastAsiaTheme="majorEastAsia"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F201A"/>
    <w:pPr>
      <w:ind w:left="720"/>
      <w:contextualSpacing/>
    </w:pPr>
  </w:style>
  <w:style w:type="paragraph" w:styleId="Caption">
    <w:name w:val="caption"/>
    <w:basedOn w:val="Normal"/>
    <w:next w:val="Normal"/>
    <w:uiPriority w:val="35"/>
    <w:unhideWhenUsed/>
    <w:qFormat/>
    <w:rsid w:val="008F201A"/>
    <w:pPr>
      <w:spacing w:after="200" w:line="240" w:lineRule="auto"/>
    </w:pPr>
    <w:rPr>
      <w:i/>
      <w:iCs/>
      <w:color w:val="44546A" w:themeColor="text2"/>
      <w:sz w:val="18"/>
      <w:szCs w:val="18"/>
    </w:rPr>
  </w:style>
  <w:style w:type="table" w:styleId="TableGrid">
    <w:name w:val="Table Grid"/>
    <w:basedOn w:val="TableNormal"/>
    <w:uiPriority w:val="59"/>
    <w:rsid w:val="008F20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8F20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25288"/>
    <w:rPr>
      <w:rFonts w:eastAsiaTheme="majorEastAsia" w:cstheme="majorBidi"/>
      <w:bCs/>
      <w:szCs w:val="28"/>
    </w:rPr>
  </w:style>
  <w:style w:type="character" w:styleId="Hyperlink">
    <w:name w:val="Hyperlink"/>
    <w:basedOn w:val="DefaultParagraphFont"/>
    <w:uiPriority w:val="99"/>
    <w:unhideWhenUsed/>
    <w:rsid w:val="00425288"/>
    <w:rPr>
      <w:color w:val="0563C1"/>
      <w:u w:val="single"/>
    </w:rPr>
  </w:style>
  <w:style w:type="character" w:customStyle="1" w:styleId="bibmenu">
    <w:name w:val="bibmenu"/>
    <w:basedOn w:val="DefaultParagraphFont"/>
    <w:rsid w:val="00425288"/>
  </w:style>
  <w:style w:type="character" w:styleId="FollowedHyperlink">
    <w:name w:val="FollowedHyperlink"/>
    <w:basedOn w:val="DefaultParagraphFont"/>
    <w:uiPriority w:val="99"/>
    <w:semiHidden/>
    <w:unhideWhenUsed/>
    <w:rsid w:val="006A64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red.com/story/the-biden-administration-weighs-the-social-cost-of-carbon/"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energy.gov/eere/articles/timeline-path-lightweight-materials-cars-and-trucks"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epa.gov/automotive-trends/highlights-automotive-trend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12</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Mayyas</dc:creator>
  <cp:keywords/>
  <dc:description/>
  <cp:lastModifiedBy>Wasayf Altawafshih</cp:lastModifiedBy>
  <cp:revision>19</cp:revision>
  <dcterms:created xsi:type="dcterms:W3CDTF">2023-02-20T07:03:00Z</dcterms:created>
  <dcterms:modified xsi:type="dcterms:W3CDTF">2023-02-22T16:49:00Z</dcterms:modified>
</cp:coreProperties>
</file>