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C33AF" w14:textId="77777777" w:rsidR="0019099B" w:rsidRPr="00E82AA4" w:rsidRDefault="0019099B" w:rsidP="0019099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E82AA4">
        <w:rPr>
          <w:rFonts w:ascii="Times New Roman" w:hAnsi="Times New Roman" w:cs="Times New Roman"/>
          <w:b/>
          <w:bCs/>
          <w:color w:val="000000" w:themeColor="text1"/>
        </w:rPr>
        <w:t>Diagnosis of ICUAW</w:t>
      </w:r>
    </w:p>
    <w:p w14:paraId="07826400" w14:textId="72CADD0C" w:rsidR="00582B30" w:rsidRPr="00582B30" w:rsidRDefault="00582B30" w:rsidP="002A15FC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</w:rPr>
      </w:pPr>
      <w:r w:rsidRPr="00582B30">
        <w:rPr>
          <w:rFonts w:ascii="TimesNewRomanPSMT" w:eastAsia="宋体" w:hAnsi="TimesNewRomanPSMT" w:cs="宋体"/>
          <w:kern w:val="0"/>
          <w:sz w:val="24"/>
        </w:rPr>
        <w:t xml:space="preserve">CT images of the third lumbar vertebra (L3) were evaluated. For all patients included, skeletal muscle area at L3 slices (L3SMA) includes the psoas, erector spine, quadratus lumborum, transverse </w:t>
      </w:r>
      <w:proofErr w:type="spellStart"/>
      <w:r w:rsidRPr="00582B30">
        <w:rPr>
          <w:rFonts w:ascii="TimesNewRomanPSMT" w:eastAsia="宋体" w:hAnsi="TimesNewRomanPSMT" w:cs="宋体"/>
          <w:kern w:val="0"/>
          <w:sz w:val="24"/>
        </w:rPr>
        <w:t>abdominous</w:t>
      </w:r>
      <w:proofErr w:type="spellEnd"/>
      <w:r w:rsidRPr="00582B30">
        <w:rPr>
          <w:rFonts w:ascii="TimesNewRomanPSMT" w:eastAsia="宋体" w:hAnsi="TimesNewRomanPSMT" w:cs="宋体"/>
          <w:kern w:val="0"/>
          <w:sz w:val="24"/>
        </w:rPr>
        <w:t xml:space="preserve">, external and internal obliques, and rectus </w:t>
      </w:r>
      <w:proofErr w:type="spellStart"/>
      <w:r w:rsidRPr="00582B30">
        <w:rPr>
          <w:rFonts w:ascii="TimesNewRomanPSMT" w:eastAsia="宋体" w:hAnsi="TimesNewRomanPSMT" w:cs="宋体"/>
          <w:kern w:val="0"/>
          <w:sz w:val="24"/>
        </w:rPr>
        <w:t>abdominous</w:t>
      </w:r>
      <w:proofErr w:type="spellEnd"/>
      <w:r w:rsidRPr="00582B30">
        <w:rPr>
          <w:rFonts w:ascii="TimesNewRomanPSMT" w:eastAsia="宋体" w:hAnsi="TimesNewRomanPSMT" w:cs="宋体"/>
          <w:kern w:val="0"/>
          <w:sz w:val="24"/>
        </w:rPr>
        <w:t xml:space="preserve">. Images were analyzed by a trained specialist (J.J) with Image J software version 1.48 (https://imagej.nih.gov/ij/index.html; NIH, Bethesda, MD, USA), which used predetermined thresholds (-29 to +150 Hounsfield units) to demarcate skeletal muscle tissues </w:t>
      </w:r>
      <w:r w:rsidRPr="00582B30">
        <w:rPr>
          <w:rFonts w:ascii="TimesNewRomanPSMT" w:eastAsia="宋体" w:hAnsi="TimesNewRomanPSMT" w:cs="宋体"/>
          <w:kern w:val="0"/>
          <w:position w:val="8"/>
          <w:sz w:val="16"/>
          <w:szCs w:val="16"/>
        </w:rPr>
        <w:t>[</w:t>
      </w:r>
      <w:r w:rsidR="002A15FC">
        <w:rPr>
          <w:rFonts w:ascii="TimesNewRomanPSMT" w:eastAsia="宋体" w:hAnsi="TimesNewRomanPSMT" w:cs="宋体"/>
          <w:kern w:val="0"/>
          <w:position w:val="8"/>
          <w:sz w:val="16"/>
          <w:szCs w:val="16"/>
        </w:rPr>
        <w:t>1</w:t>
      </w:r>
      <w:r w:rsidRPr="00582B30">
        <w:rPr>
          <w:rFonts w:ascii="TimesNewRomanPSMT" w:eastAsia="宋体" w:hAnsi="TimesNewRomanPSMT" w:cs="宋体"/>
          <w:kern w:val="0"/>
          <w:position w:val="8"/>
          <w:sz w:val="16"/>
          <w:szCs w:val="16"/>
        </w:rPr>
        <w:t>]</w:t>
      </w:r>
      <w:r w:rsidRPr="00582B30">
        <w:rPr>
          <w:rFonts w:ascii="TimesNewRomanPSMT" w:eastAsia="宋体" w:hAnsi="TimesNewRomanPSMT" w:cs="宋体"/>
          <w:kern w:val="0"/>
          <w:sz w:val="24"/>
        </w:rPr>
        <w:t>. Tissue boundaries were manually corrected if needed. L3SMA was calculated automatically by summing the skeletal muscle-tissue pixels and multiplying them by the surface area of each pixel. L3SMA was adjusted by the square of the height (SMA/height</w:t>
      </w:r>
      <w:r w:rsidRPr="00582B30">
        <w:rPr>
          <w:rFonts w:ascii="TimesNewRomanPSMT" w:eastAsia="宋体" w:hAnsi="TimesNewRomanPSMT" w:cs="宋体"/>
          <w:kern w:val="0"/>
          <w:sz w:val="24"/>
          <w:vertAlign w:val="superscript"/>
        </w:rPr>
        <w:t>2</w:t>
      </w:r>
      <w:r w:rsidRPr="00582B30">
        <w:rPr>
          <w:rFonts w:ascii="TimesNewRomanPSMT" w:eastAsia="宋体" w:hAnsi="TimesNewRomanPSMT" w:cs="宋体"/>
          <w:kern w:val="0"/>
          <w:sz w:val="24"/>
        </w:rPr>
        <w:t xml:space="preserve">), which was referred to as the skeletal muscle index (L3SMI). L3SMI= L3SMA/ height </w:t>
      </w:r>
      <w:r w:rsidRPr="00582B30">
        <w:rPr>
          <w:rFonts w:ascii="TimesNewRomanPSMT" w:eastAsia="宋体" w:hAnsi="TimesNewRomanPSMT" w:cs="宋体"/>
          <w:kern w:val="0"/>
          <w:sz w:val="24"/>
          <w:vertAlign w:val="superscript"/>
        </w:rPr>
        <w:t>2</w:t>
      </w:r>
      <w:r w:rsidRPr="00582B30">
        <w:rPr>
          <w:rFonts w:ascii="TimesNewRomanPSMT" w:eastAsia="宋体" w:hAnsi="TimesNewRomanPSMT" w:cs="宋体"/>
          <w:kern w:val="0"/>
          <w:sz w:val="24"/>
        </w:rPr>
        <w:t xml:space="preserve">. L3SMA was assessed on ICU admission and at least one more in-ICU follow-up CT. If the patient had more than twice upper abdominal CT scans during the ICU stay, only the first and second CT scan results were evaluated. </w:t>
      </w:r>
    </w:p>
    <w:p w14:paraId="30430299" w14:textId="2A5EB4F5" w:rsidR="00582B30" w:rsidRPr="00582B30" w:rsidRDefault="00582B30" w:rsidP="002A15FC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</w:rPr>
      </w:pPr>
      <w:r w:rsidRPr="00582B30">
        <w:rPr>
          <w:rFonts w:ascii="TimesNewRomanPSMT" w:eastAsia="宋体" w:hAnsi="TimesNewRomanPSMT" w:cs="宋体"/>
          <w:kern w:val="0"/>
          <w:sz w:val="24"/>
        </w:rPr>
        <w:t xml:space="preserve">ICUAW was defined as </w:t>
      </w:r>
      <w:r w:rsidRPr="00582B30">
        <w:rPr>
          <w:rFonts w:ascii="CambriaMath" w:eastAsia="宋体" w:hAnsi="CambriaMath" w:cs="宋体"/>
          <w:kern w:val="0"/>
          <w:sz w:val="24"/>
        </w:rPr>
        <w:t xml:space="preserve">△ </w:t>
      </w:r>
      <w:r w:rsidRPr="00582B30">
        <w:rPr>
          <w:rFonts w:ascii="TimesNewRomanPSMT" w:eastAsia="宋体" w:hAnsi="TimesNewRomanPSMT" w:cs="宋体"/>
          <w:kern w:val="0"/>
          <w:sz w:val="24"/>
        </w:rPr>
        <w:t xml:space="preserve">L3SMI≥ 10% obtained from admission CT L3 muscle </w:t>
      </w:r>
    </w:p>
    <w:p w14:paraId="53086017" w14:textId="77777777" w:rsidR="002A15FC" w:rsidRDefault="00582B30" w:rsidP="002A15FC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</w:rPr>
      </w:pPr>
      <w:r w:rsidRPr="00582B30">
        <w:rPr>
          <w:rFonts w:ascii="TimesNewRomanPSMT" w:eastAsia="宋体" w:hAnsi="TimesNewRomanPSMT" w:cs="宋体"/>
          <w:kern w:val="0"/>
          <w:sz w:val="24"/>
        </w:rPr>
        <w:t>area and follow-up CT L3 muscle area</w:t>
      </w:r>
      <w:r w:rsidR="002A15FC">
        <w:rPr>
          <w:rFonts w:ascii="TimesNewRomanPSMT" w:eastAsia="宋体" w:hAnsi="TimesNewRomanPSMT" w:cs="宋体"/>
          <w:kern w:val="0"/>
          <w:sz w:val="24"/>
        </w:rPr>
        <w:t xml:space="preserve"> </w:t>
      </w:r>
      <w:r w:rsidRPr="00582B30">
        <w:rPr>
          <w:rFonts w:ascii="TimesNewRomanPSMT" w:eastAsia="宋体" w:hAnsi="TimesNewRomanPSMT" w:cs="宋体"/>
          <w:kern w:val="0"/>
          <w:position w:val="8"/>
          <w:sz w:val="16"/>
          <w:szCs w:val="16"/>
        </w:rPr>
        <w:t>[</w:t>
      </w:r>
      <w:r w:rsidR="002A15FC">
        <w:rPr>
          <w:rFonts w:ascii="TimesNewRomanPSMT" w:eastAsia="宋体" w:hAnsi="TimesNewRomanPSMT" w:cs="宋体"/>
          <w:kern w:val="0"/>
          <w:position w:val="8"/>
          <w:sz w:val="16"/>
          <w:szCs w:val="16"/>
        </w:rPr>
        <w:t>2</w:t>
      </w:r>
      <w:r w:rsidRPr="00582B30">
        <w:rPr>
          <w:rFonts w:ascii="TimesNewRomanPSMT" w:eastAsia="宋体" w:hAnsi="TimesNewRomanPSMT" w:cs="宋体"/>
          <w:kern w:val="0"/>
          <w:position w:val="8"/>
          <w:sz w:val="16"/>
          <w:szCs w:val="16"/>
        </w:rPr>
        <w:t>]</w:t>
      </w:r>
      <w:r w:rsidRPr="00582B30">
        <w:rPr>
          <w:rFonts w:ascii="TimesNewRomanPSMT" w:eastAsia="宋体" w:hAnsi="TimesNewRomanPSMT" w:cs="宋体"/>
          <w:kern w:val="0"/>
          <w:sz w:val="24"/>
        </w:rPr>
        <w:t>, as follows</w:t>
      </w:r>
      <w:r w:rsidRPr="00582B30">
        <w:rPr>
          <w:rFonts w:ascii="宋体" w:eastAsia="宋体" w:hAnsi="宋体" w:cs="宋体" w:hint="eastAsia"/>
          <w:kern w:val="0"/>
          <w:sz w:val="24"/>
        </w:rPr>
        <w:t>:</w:t>
      </w:r>
    </w:p>
    <w:p w14:paraId="1F56CD8C" w14:textId="7303AEAA" w:rsidR="00582B30" w:rsidRDefault="002A15FC" w:rsidP="002A15FC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2A15FC">
        <w:rPr>
          <w:rFonts w:ascii="Cambria Math" w:hAnsi="Cambria Math" w:cs="Times New Roman"/>
          <w:color w:val="000000" w:themeColor="text1"/>
        </w:rPr>
        <w:br/>
      </w: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</w:rPr>
            <m:t>△ L3SMI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lang w:bidi="ar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lang w:bidi="a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lang w:bidi="ar"/>
                </w:rPr>
                <m:t xml:space="preserve">admission CT L3SMI  -  Follow up CT L3SMI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lang w:bidi="ar"/>
                </w:rPr>
                <m:t>admission CT L3SMI</m:t>
              </m:r>
            </m:den>
          </m:f>
          <m:r>
            <m:rPr>
              <m:sty m:val="p"/>
            </m:rPr>
            <w:rPr>
              <w:rFonts w:ascii="宋体" w:eastAsia="宋体" w:hAnsi="宋体" w:cs="宋体" w:hint="eastAsia"/>
              <w:kern w:val="0"/>
              <w:sz w:val="24"/>
            </w:rPr>
            <w:br/>
          </m:r>
        </m:oMath>
      </m:oMathPara>
    </w:p>
    <w:p w14:paraId="01C6D991" w14:textId="77777777" w:rsidR="002A15FC" w:rsidRDefault="002A15FC" w:rsidP="002A15FC">
      <w:pPr>
        <w:tabs>
          <w:tab w:val="left" w:pos="1728"/>
        </w:tabs>
        <w:spacing w:line="360" w:lineRule="auto"/>
        <w:rPr>
          <w:rFonts w:ascii="Times" w:hAnsi="Times"/>
        </w:rPr>
      </w:pPr>
    </w:p>
    <w:p w14:paraId="6F50A252" w14:textId="68F107D8" w:rsidR="002A15FC" w:rsidRPr="002A15FC" w:rsidRDefault="002A15FC" w:rsidP="002A15FC">
      <w:pPr>
        <w:tabs>
          <w:tab w:val="left" w:pos="1728"/>
        </w:tabs>
        <w:spacing w:line="360" w:lineRule="auto"/>
        <w:rPr>
          <w:rFonts w:ascii="Times" w:hAnsi="Times"/>
          <w:sz w:val="24"/>
        </w:rPr>
      </w:pPr>
      <w:r w:rsidRPr="002A15FC">
        <w:rPr>
          <w:rFonts w:ascii="Times" w:hAnsi="Times"/>
          <w:sz w:val="24"/>
        </w:rPr>
        <w:t>References</w:t>
      </w:r>
      <w:r w:rsidRPr="002A15FC">
        <w:rPr>
          <w:rFonts w:ascii="Times" w:hAnsi="Times" w:hint="eastAsia"/>
          <w:sz w:val="24"/>
        </w:rPr>
        <w:t>：</w:t>
      </w:r>
    </w:p>
    <w:p w14:paraId="32032044" w14:textId="243983FE" w:rsidR="002A15FC" w:rsidRDefault="002A15FC" w:rsidP="002A15FC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[1] </w:t>
      </w:r>
      <w:proofErr w:type="spellStart"/>
      <w:r>
        <w:rPr>
          <w:rFonts w:ascii="Times New Roman" w:hAnsi="Times New Roman" w:cs="Times New Roman"/>
          <w:color w:val="000000" w:themeColor="text1"/>
        </w:rPr>
        <w:t>Kashani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KB, Frazee EN, </w:t>
      </w:r>
      <w:proofErr w:type="spellStart"/>
      <w:r>
        <w:rPr>
          <w:rFonts w:ascii="Times New Roman" w:hAnsi="Times New Roman" w:cs="Times New Roman"/>
          <w:color w:val="000000" w:themeColor="text1"/>
        </w:rPr>
        <w:t>Kukrálová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L, </w:t>
      </w:r>
      <w:proofErr w:type="spellStart"/>
      <w:r>
        <w:rPr>
          <w:rFonts w:ascii="Times New Roman" w:hAnsi="Times New Roman" w:cs="Times New Roman"/>
          <w:color w:val="000000" w:themeColor="text1"/>
        </w:rPr>
        <w:t>Sarvottam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K, </w:t>
      </w:r>
      <w:proofErr w:type="spellStart"/>
      <w:r>
        <w:rPr>
          <w:rFonts w:ascii="Times New Roman" w:hAnsi="Times New Roman" w:cs="Times New Roman"/>
          <w:color w:val="000000" w:themeColor="text1"/>
        </w:rPr>
        <w:t>Herasevich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V, Young PM, Kashyap R, Lieske JC. Evaluating Muscle Mass by Using Markers of Kidney Function: Development of the Sarcopenia Index. Crit Care Med. 2017 Jan;45(1): e23-e29. </w:t>
      </w:r>
    </w:p>
    <w:p w14:paraId="3CF98D78" w14:textId="7E07D810" w:rsidR="002A15FC" w:rsidRDefault="002A15FC" w:rsidP="002A15FC">
      <w:pPr>
        <w:spacing w:line="36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[2]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 xml:space="preserve">Van den </w:t>
      </w:r>
      <w:proofErr w:type="spellStart"/>
      <w:r>
        <w:rPr>
          <w:rFonts w:ascii="Times" w:hAnsi="Times"/>
          <w:color w:val="000000" w:themeColor="text1"/>
        </w:rPr>
        <w:t>Berghe</w:t>
      </w:r>
      <w:proofErr w:type="spellEnd"/>
      <w:r>
        <w:rPr>
          <w:rFonts w:ascii="Times" w:hAnsi="Times"/>
          <w:color w:val="000000" w:themeColor="text1"/>
        </w:rPr>
        <w:t xml:space="preserve"> G. On the </w:t>
      </w:r>
      <w:proofErr w:type="spellStart"/>
      <w:r>
        <w:rPr>
          <w:rFonts w:ascii="Times" w:hAnsi="Times"/>
          <w:color w:val="000000" w:themeColor="text1"/>
        </w:rPr>
        <w:t>neuroendocrinopathy</w:t>
      </w:r>
      <w:proofErr w:type="spellEnd"/>
      <w:r>
        <w:rPr>
          <w:rFonts w:ascii="Times" w:hAnsi="Times"/>
          <w:color w:val="000000" w:themeColor="text1"/>
        </w:rPr>
        <w:t xml:space="preserve"> of critical illness. perspectives for feeding and novel treatments. Am J Respir Crit Care Med. 2016 Dec 1;194(11):1337-1348. </w:t>
      </w:r>
    </w:p>
    <w:p w14:paraId="4A160CF4" w14:textId="77777777" w:rsidR="00582B30" w:rsidRDefault="00582B30"/>
    <w:sectPr w:rsidR="00582B30" w:rsidSect="003C09A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20B0604020202020204"/>
    <w:charset w:val="00"/>
    <w:family w:val="auto"/>
    <w:pitch w:val="default"/>
  </w:font>
  <w:font w:name="CambriaMath">
    <w:altName w:val="苹方-简"/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30"/>
    <w:rsid w:val="00021C2F"/>
    <w:rsid w:val="000D7394"/>
    <w:rsid w:val="00137E94"/>
    <w:rsid w:val="001527CC"/>
    <w:rsid w:val="0019099B"/>
    <w:rsid w:val="002A15FC"/>
    <w:rsid w:val="0038177E"/>
    <w:rsid w:val="00395CEF"/>
    <w:rsid w:val="003C09A8"/>
    <w:rsid w:val="004332AA"/>
    <w:rsid w:val="00460F53"/>
    <w:rsid w:val="004B1802"/>
    <w:rsid w:val="004E7555"/>
    <w:rsid w:val="00560310"/>
    <w:rsid w:val="00582B30"/>
    <w:rsid w:val="00677311"/>
    <w:rsid w:val="007E48AE"/>
    <w:rsid w:val="00BB31DE"/>
    <w:rsid w:val="00CA0D61"/>
    <w:rsid w:val="00F27F0E"/>
    <w:rsid w:val="00FC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D0AC8D"/>
  <w15:chartTrackingRefBased/>
  <w15:docId w15:val="{E5B901C1-A2C4-774D-8A21-AE0FDC7A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B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6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6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9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7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2022-09-20T07:45:00Z</dcterms:created>
  <dcterms:modified xsi:type="dcterms:W3CDTF">2023-02-02T13:28:00Z</dcterms:modified>
</cp:coreProperties>
</file>