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284" w:tblpY="2106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2502"/>
        <w:gridCol w:w="2542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tblHeader/>
        </w:trPr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Characteristics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Low expression of SASH3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High expression of SASH3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n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75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75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Gender,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Female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32 (21.3%)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35 (23.3%)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43 (28.7%)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40 (26.7%)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Race,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0.593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Asian&amp;Black or African American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6 (4%)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8 (5.4%)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White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68 (45.6%)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67 (45%)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WBC count(x10^9/L),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&lt;= 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41 (27.5%)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35 (23.5%)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&gt; 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33 (22.1%)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40 (26.8%)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BM blasts(%),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&lt;= 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32 (21.3%)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27 (18%)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&gt; 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43 (28.7%)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48 (32%)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PB blasts(%),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0.624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&lt;= 70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34 (22.7%)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37 (24.7%)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&gt; 70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41 (27.3%)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38 (25.3%)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Cytogenetic risk,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Favorable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23 (15.5%)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7 (4.7%)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Intermediate/normal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32 (21.6%)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50 (33.8%)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Poor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19 (12.8%)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17 (11.5%)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FAB classifications,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M0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8 (5.5%)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7 (4.8%)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M1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15 (10.3%)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20 (13.7%)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M2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21 (14.4%)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17 (11.6%)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M3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13 (8.9%)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 (0.7%)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M4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11 (7.5%)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18 (12.3%)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M5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 (2.7%)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11 (7.5%)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Cytogenetics, n (%)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Normal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26 (19.4%)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43 (32.1%)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Abnormal</w:t>
            </w: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42 (31.3%)</w:t>
            </w: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23 (17.2%)</w:t>
            </w: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r>
        <w:rPr>
          <w:rFonts w:hint="default" w:ascii="Times New Roman" w:hAnsi="Times New Roman" w:eastAsia="宋体" w:cs="Times New Roman"/>
          <w:b/>
          <w:color w:val="000000"/>
          <w:kern w:val="0"/>
          <w:sz w:val="22"/>
          <w:szCs w:val="22"/>
        </w:rPr>
        <w:t>Supplementary Table S1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</w:rPr>
        <w:t>：</w:t>
      </w:r>
      <w:bookmarkStart w:id="0" w:name="_GoBack"/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  <w:t xml:space="preserve">Clinicopathological characteristics of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  <w:t>low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  <w:t xml:space="preserve">- and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  <w:t>high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  <w:t>SASH3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  <w:t xml:space="preserve"> expression groups.</w:t>
      </w:r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NzUxMGZiYTk0YTM5MDVkNjY1ZTM3YjA2ZTZiMmM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42C0BC6"/>
    <w:rsid w:val="75496F41"/>
    <w:rsid w:val="7F12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807</Characters>
  <Lines>0</Lines>
  <Paragraphs>0</Paragraphs>
  <TotalTime>2</TotalTime>
  <ScaleCrop>false</ScaleCrop>
  <LinksUpToDate>false</LinksUpToDate>
  <CharactersWithSpaces>895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Qiu zhengqi</dc:creator>
  <cp:lastModifiedBy>Qiu zhengqi</cp:lastModifiedBy>
  <dcterms:modified xsi:type="dcterms:W3CDTF">2023-03-04T19:59:53Z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7A8C7DC7C6994F2D9CD316F2E543CF2B</vt:lpwstr>
  </property>
</Properties>
</file>