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rPr>
          <w:rFonts w:ascii="Times New Roman" w:hAnsi="Times New Roman" w:cs="Times New Roman"/>
          <w:color w:val="auto"/>
          <w:sz w:val="24"/>
          <w:szCs w:val="24"/>
        </w:rPr>
      </w:pPr>
      <w:r>
        <w:rPr>
          <w:rFonts w:hint="eastAsia" w:ascii="Times New Roman" w:hAnsi="Times New Roman" w:cs="Times New Roman"/>
          <w:color w:val="auto"/>
          <w:sz w:val="24"/>
          <w:szCs w:val="24"/>
        </w:rPr>
        <w:t xml:space="preserve">Supplementary </w:t>
      </w:r>
      <w:r>
        <w:rPr>
          <w:rFonts w:ascii="Times New Roman" w:hAnsi="Times New Roman" w:cs="Times New Roman"/>
          <w:color w:val="auto"/>
          <w:sz w:val="24"/>
          <w:szCs w:val="24"/>
        </w:rPr>
        <w:t xml:space="preserve">Figures </w:t>
      </w:r>
    </w:p>
    <w:p>
      <w:pPr>
        <w:pStyle w:val="4"/>
        <w:spacing w:line="360" w:lineRule="auto"/>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eastAsia="zh-CN"/>
        </w:rPr>
        <w:drawing>
          <wp:inline distT="0" distB="0" distL="114300" distR="114300">
            <wp:extent cx="5268595" cy="6729730"/>
            <wp:effectExtent l="0" t="0" r="8255" b="13970"/>
            <wp:docPr id="1" name="图片 1"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1"/>
                    <pic:cNvPicPr>
                      <a:picLocks noChangeAspect="1"/>
                    </pic:cNvPicPr>
                  </pic:nvPicPr>
                  <pic:blipFill>
                    <a:blip r:embed="rId4"/>
                    <a:srcRect b="6609"/>
                    <a:stretch>
                      <a:fillRect/>
                    </a:stretch>
                  </pic:blipFill>
                  <pic:spPr>
                    <a:xfrm>
                      <a:off x="0" y="0"/>
                      <a:ext cx="5268595" cy="6729730"/>
                    </a:xfrm>
                    <a:prstGeom prst="rect">
                      <a:avLst/>
                    </a:prstGeom>
                  </pic:spPr>
                </pic:pic>
              </a:graphicData>
            </a:graphic>
          </wp:inline>
        </w:drawing>
      </w:r>
    </w:p>
    <w:p>
      <w:pPr>
        <w:spacing w:line="360" w:lineRule="auto"/>
        <w:rPr>
          <w:rFonts w:ascii="Times New Roman" w:hAnsi="Times New Roman" w:cs="Times New Roman"/>
          <w:b/>
          <w:bCs/>
          <w:color w:val="auto"/>
          <w:sz w:val="24"/>
          <w:szCs w:val="24"/>
        </w:rPr>
      </w:pPr>
      <w:r>
        <w:rPr>
          <w:rFonts w:hint="eastAsia" w:ascii="Times New Roman" w:hAnsi="Times New Roman" w:cs="Times New Roman"/>
          <w:b/>
          <w:bCs/>
          <w:color w:val="auto"/>
          <w:sz w:val="24"/>
          <w:szCs w:val="24"/>
        </w:rPr>
        <w:t>Figure S1 Summary of serum proteome and quality control of standards</w:t>
      </w:r>
    </w:p>
    <w:p>
      <w:pPr>
        <w:numPr>
          <w:ilvl w:val="0"/>
          <w:numId w:val="1"/>
        </w:numPr>
        <w:spacing w:line="360" w:lineRule="auto"/>
        <w:rPr>
          <w:rFonts w:ascii="Times New Roman" w:hAnsi="Times New Roman" w:cs="Times New Roman"/>
          <w:b/>
          <w:bCs/>
          <w:color w:val="auto"/>
          <w:sz w:val="24"/>
          <w:szCs w:val="24"/>
        </w:rPr>
      </w:pPr>
      <w:r>
        <w:rPr>
          <w:rFonts w:ascii="Times New Roman" w:hAnsi="Times New Roman" w:eastAsia="宋体" w:cs="Times New Roman"/>
          <w:color w:val="auto"/>
          <w:sz w:val="24"/>
          <w:lang w:bidi="ar"/>
        </w:rPr>
        <w:t>The protein number accumulation curve distinguishing the data acquisition mode.</w:t>
      </w:r>
      <w:r>
        <w:rPr>
          <w:rFonts w:hint="eastAsia" w:ascii="Times New Roman" w:hAnsi="Times New Roman" w:eastAsia="宋体" w:cs="Times New Roman"/>
          <w:color w:val="auto"/>
          <w:sz w:val="24"/>
          <w:lang w:bidi="ar"/>
        </w:rPr>
        <w:t xml:space="preserve"> </w:t>
      </w:r>
      <w:r>
        <w:rPr>
          <w:rFonts w:hint="eastAsia" w:ascii="Times New Roman" w:hAnsi="Times New Roman" w:eastAsia="宋体" w:cs="Times New Roman"/>
          <w:b/>
          <w:bCs/>
          <w:color w:val="auto"/>
          <w:sz w:val="24"/>
          <w:lang w:bidi="ar"/>
        </w:rPr>
        <w:t xml:space="preserve">B. </w:t>
      </w:r>
      <w:r>
        <w:rPr>
          <w:rFonts w:hint="eastAsia" w:ascii="Times New Roman" w:hAnsi="Times New Roman" w:cs="Times New Roman"/>
          <w:b w:val="0"/>
          <w:bCs/>
          <w:color w:val="auto"/>
          <w:sz w:val="24"/>
          <w:szCs w:val="24"/>
          <w:lang w:val="en-US" w:eastAsia="zh-CN"/>
        </w:rPr>
        <w:t>Comparison of the number of proteins identified in the serum proteome and the spectral library.</w:t>
      </w:r>
      <w:r>
        <w:rPr>
          <w:rFonts w:ascii="Times New Roman" w:hAnsi="Times New Roman" w:eastAsia="宋体" w:cs="Times New Roman"/>
          <w:color w:val="auto"/>
          <w:sz w:val="24"/>
          <w:lang w:bidi="ar"/>
        </w:rPr>
        <w:t xml:space="preserve"> </w:t>
      </w:r>
      <w:r>
        <w:rPr>
          <w:rFonts w:hint="eastAsia" w:ascii="Times New Roman" w:hAnsi="Times New Roman" w:cs="Times New Roman"/>
          <w:b/>
          <w:bCs/>
          <w:color w:val="auto"/>
          <w:sz w:val="24"/>
          <w:szCs w:val="24"/>
        </w:rPr>
        <w:t xml:space="preserve">C. </w:t>
      </w:r>
      <w:r>
        <w:rPr>
          <w:rFonts w:hint="eastAsia" w:ascii="Times New Roman" w:hAnsi="Times New Roman" w:cs="Times New Roman"/>
          <w:color w:val="auto"/>
          <w:sz w:val="24"/>
          <w:szCs w:val="24"/>
        </w:rPr>
        <w:t xml:space="preserve">Correlation coefficient distribution of identified proteins in every two groups. </w:t>
      </w:r>
      <w:r>
        <w:rPr>
          <w:rFonts w:hint="eastAsia" w:ascii="Times New Roman" w:hAnsi="Times New Roman" w:cs="Times New Roman"/>
          <w:b/>
          <w:bCs/>
          <w:color w:val="auto"/>
          <w:sz w:val="24"/>
          <w:szCs w:val="24"/>
        </w:rPr>
        <w:t xml:space="preserve">D. </w:t>
      </w:r>
      <w:r>
        <w:rPr>
          <w:rFonts w:hint="eastAsia" w:ascii="Times New Roman" w:hAnsi="Times New Roman" w:cs="Times New Roman"/>
          <w:color w:val="auto"/>
          <w:sz w:val="24"/>
          <w:szCs w:val="24"/>
        </w:rPr>
        <w:t xml:space="preserve">Quantitative analysis of AFP_MS, AFP_Clinical and </w:t>
      </w:r>
      <w:r>
        <w:rPr>
          <w:rFonts w:hint="eastAsia" w:ascii="Times New Roman" w:hAnsi="Times New Roman" w:cs="Times New Roman"/>
          <w:bCs/>
          <w:color w:val="auto"/>
          <w:sz w:val="24"/>
          <w:szCs w:val="24"/>
        </w:rPr>
        <w:t xml:space="preserve">PIVKA-II_Clinical </w:t>
      </w:r>
      <w:r>
        <w:rPr>
          <w:rFonts w:hint="eastAsia" w:ascii="Times New Roman" w:hAnsi="Times New Roman" w:cs="Times New Roman"/>
          <w:color w:val="auto"/>
          <w:sz w:val="24"/>
          <w:szCs w:val="24"/>
        </w:rPr>
        <w:t xml:space="preserve">in HCC and non-HCC patients. </w:t>
      </w:r>
      <w:r>
        <w:rPr>
          <w:rFonts w:hint="eastAsia" w:ascii="Times New Roman" w:hAnsi="Times New Roman" w:cs="Times New Roman"/>
          <w:b/>
          <w:bCs/>
          <w:color w:val="auto"/>
          <w:sz w:val="24"/>
          <w:szCs w:val="24"/>
        </w:rPr>
        <w:t xml:space="preserve">E. </w:t>
      </w:r>
      <w:r>
        <w:rPr>
          <w:rFonts w:ascii="Times New Roman" w:hAnsi="Times New Roman" w:eastAsia="宋体" w:cs="Times New Roman"/>
          <w:color w:val="auto"/>
          <w:sz w:val="24"/>
          <w:lang w:bidi="ar"/>
        </w:rPr>
        <w:t>The pear</w:t>
      </w:r>
      <w:r>
        <w:rPr>
          <w:rFonts w:hint="eastAsia" w:ascii="Times New Roman" w:hAnsi="Times New Roman" w:eastAsia="宋体" w:cs="Times New Roman"/>
          <w:color w:val="auto"/>
          <w:sz w:val="24"/>
          <w:lang w:bidi="ar"/>
        </w:rPr>
        <w:t>so</w:t>
      </w:r>
      <w:r>
        <w:rPr>
          <w:rFonts w:ascii="Times New Roman" w:hAnsi="Times New Roman" w:eastAsia="宋体" w:cs="Times New Roman"/>
          <w:color w:val="auto"/>
          <w:sz w:val="24"/>
          <w:lang w:bidi="ar"/>
        </w:rPr>
        <w:t xml:space="preserve">n’s correlation coefficients of </w:t>
      </w:r>
      <w:r>
        <w:rPr>
          <w:rFonts w:hint="eastAsia" w:ascii="Times New Roman" w:hAnsi="Times New Roman" w:eastAsia="宋体" w:cs="Times New Roman"/>
          <w:color w:val="auto"/>
          <w:sz w:val="24"/>
          <w:lang w:bidi="ar"/>
        </w:rPr>
        <w:t>standards</w:t>
      </w:r>
      <w:r>
        <w:rPr>
          <w:rFonts w:ascii="Times New Roman" w:hAnsi="Times New Roman" w:eastAsia="宋体" w:cs="Times New Roman"/>
          <w:color w:val="auto"/>
          <w:sz w:val="24"/>
          <w:lang w:bidi="ar"/>
        </w:rPr>
        <w:t xml:space="preserve"> through library process </w:t>
      </w:r>
      <w:r>
        <w:rPr>
          <w:rFonts w:hint="eastAsia" w:ascii="Times New Roman" w:hAnsi="Times New Roman" w:eastAsia="宋体" w:cs="Times New Roman"/>
          <w:color w:val="auto"/>
          <w:sz w:val="24"/>
          <w:lang w:bidi="ar"/>
        </w:rPr>
        <w:t xml:space="preserve">in DDA mode, </w:t>
      </w:r>
      <w:r>
        <w:rPr>
          <w:rFonts w:ascii="Times New Roman" w:hAnsi="Times New Roman" w:eastAsia="宋体" w:cs="Times New Roman"/>
          <w:color w:val="auto"/>
          <w:sz w:val="24"/>
          <w:lang w:bidi="ar"/>
        </w:rPr>
        <w:t xml:space="preserve">and targeted process </w:t>
      </w:r>
      <w:r>
        <w:rPr>
          <w:rFonts w:hint="eastAsia" w:ascii="Times New Roman" w:hAnsi="Times New Roman" w:eastAsia="宋体" w:cs="Times New Roman"/>
          <w:color w:val="auto"/>
          <w:sz w:val="24"/>
          <w:lang w:bidi="ar"/>
        </w:rPr>
        <w:t>in</w:t>
      </w:r>
      <w:r>
        <w:rPr>
          <w:rFonts w:ascii="Times New Roman" w:hAnsi="Times New Roman" w:eastAsia="宋体" w:cs="Times New Roman"/>
          <w:color w:val="auto"/>
          <w:sz w:val="24"/>
          <w:lang w:bidi="ar"/>
        </w:rPr>
        <w:t xml:space="preserve"> DIA mode</w:t>
      </w:r>
      <w:r>
        <w:rPr>
          <w:rFonts w:hint="eastAsia" w:ascii="Times New Roman" w:hAnsi="Times New Roman" w:eastAsia="宋体" w:cs="Times New Roman"/>
          <w:color w:val="auto"/>
          <w:sz w:val="24"/>
          <w:lang w:bidi="ar"/>
        </w:rPr>
        <w:t xml:space="preserve"> (</w:t>
      </w:r>
      <w:r>
        <w:rPr>
          <w:rFonts w:hint="eastAsia" w:ascii="Times New Roman" w:hAnsi="Times New Roman" w:eastAsia="宋体" w:cs="Times New Roman"/>
          <w:b/>
          <w:bCs/>
          <w:color w:val="auto"/>
          <w:sz w:val="24"/>
          <w:lang w:bidi="ar"/>
        </w:rPr>
        <w:t>F</w:t>
      </w:r>
      <w:r>
        <w:rPr>
          <w:rFonts w:hint="eastAsia" w:ascii="Times New Roman" w:hAnsi="Times New Roman" w:eastAsia="宋体" w:cs="Times New Roman"/>
          <w:color w:val="auto"/>
          <w:sz w:val="24"/>
          <w:lang w:bidi="ar"/>
        </w:rPr>
        <w:t>).</w:t>
      </w:r>
    </w:p>
    <w:p>
      <w:pPr>
        <w:numPr>
          <w:numId w:val="0"/>
        </w:numPr>
        <w:spacing w:line="360" w:lineRule="auto"/>
        <w:rPr>
          <w:rFonts w:hint="eastAsia" w:ascii="Times New Roman" w:hAnsi="Times New Roman" w:cs="Times New Roman" w:eastAsiaTheme="minorEastAsia"/>
          <w:b/>
          <w:bCs/>
          <w:color w:val="auto"/>
          <w:sz w:val="24"/>
          <w:szCs w:val="24"/>
          <w:lang w:eastAsia="zh-CN"/>
        </w:rPr>
      </w:pPr>
      <w:r>
        <w:rPr>
          <w:rFonts w:hint="eastAsia" w:ascii="Times New Roman" w:hAnsi="Times New Roman" w:cs="Times New Roman" w:eastAsiaTheme="minorEastAsia"/>
          <w:b/>
          <w:bCs/>
          <w:color w:val="auto"/>
          <w:sz w:val="24"/>
          <w:szCs w:val="24"/>
          <w:lang w:eastAsia="zh-CN"/>
        </w:rPr>
        <w:drawing>
          <wp:inline distT="0" distB="0" distL="114300" distR="114300">
            <wp:extent cx="5268595" cy="3785870"/>
            <wp:effectExtent l="0" t="0" r="8255" b="5080"/>
            <wp:docPr id="2" name="图片 2"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S2"/>
                    <pic:cNvPicPr>
                      <a:picLocks noChangeAspect="1"/>
                    </pic:cNvPicPr>
                  </pic:nvPicPr>
                  <pic:blipFill>
                    <a:blip r:embed="rId5"/>
                    <a:srcRect b="47467"/>
                    <a:stretch>
                      <a:fillRect/>
                    </a:stretch>
                  </pic:blipFill>
                  <pic:spPr>
                    <a:xfrm>
                      <a:off x="0" y="0"/>
                      <a:ext cx="5268595" cy="3785870"/>
                    </a:xfrm>
                    <a:prstGeom prst="rect">
                      <a:avLst/>
                    </a:prstGeom>
                  </pic:spPr>
                </pic:pic>
              </a:graphicData>
            </a:graphic>
          </wp:inline>
        </w:drawing>
      </w:r>
    </w:p>
    <w:p>
      <w:pPr>
        <w:spacing w:line="360" w:lineRule="auto"/>
        <w:rPr>
          <w:rFonts w:ascii="Times New Roman" w:hAnsi="Times New Roman" w:cs="Times New Roman"/>
          <w:b/>
          <w:bCs/>
          <w:color w:val="auto"/>
          <w:sz w:val="24"/>
          <w:szCs w:val="24"/>
        </w:rPr>
      </w:pPr>
      <w:r>
        <w:rPr>
          <w:rFonts w:hint="eastAsia" w:ascii="Times New Roman" w:hAnsi="Times New Roman" w:cs="Times New Roman"/>
          <w:b/>
          <w:bCs/>
          <w:color w:val="auto"/>
          <w:sz w:val="24"/>
          <w:szCs w:val="24"/>
        </w:rPr>
        <w:t>Figure S2 Screening of differentially abundant proteins.</w:t>
      </w:r>
    </w:p>
    <w:p>
      <w:pPr>
        <w:numPr>
          <w:ilvl w:val="0"/>
          <w:numId w:val="2"/>
        </w:numPr>
        <w:spacing w:line="360" w:lineRule="auto"/>
        <w:rPr>
          <w:rFonts w:ascii="Times New Roman" w:hAnsi="Times New Roman" w:cs="Times New Roman"/>
          <w:color w:val="auto"/>
          <w:sz w:val="24"/>
          <w:szCs w:val="24"/>
        </w:rPr>
      </w:pPr>
      <w:r>
        <w:rPr>
          <w:rFonts w:hint="eastAsia" w:ascii="Times New Roman" w:hAnsi="Times New Roman" w:cs="Times New Roman"/>
          <w:color w:val="auto"/>
          <w:sz w:val="24"/>
          <w:szCs w:val="24"/>
        </w:rPr>
        <w:t>Volcano plot represented the protein abundance changes in the comparison between HCC and AsC, HCC and BLD, and HCC and LC groups, respectively. Dashed lines delimit significantly down-regulated (blue dots) and up-regulated proteins (red dots).</w:t>
      </w:r>
      <w:r>
        <w:rPr>
          <w:rFonts w:hint="eastAsia" w:ascii="Times New Roman" w:hAnsi="Times New Roman" w:cs="Times New Roman"/>
          <w:b/>
          <w:bCs/>
          <w:color w:val="auto"/>
          <w:sz w:val="24"/>
          <w:szCs w:val="24"/>
        </w:rPr>
        <w:t xml:space="preserve"> B. </w:t>
      </w:r>
      <w:r>
        <w:rPr>
          <w:rFonts w:hint="eastAsia" w:ascii="Times New Roman" w:hAnsi="Times New Roman" w:cs="Times New Roman"/>
          <w:color w:val="auto"/>
          <w:sz w:val="24"/>
          <w:szCs w:val="24"/>
        </w:rPr>
        <w:t xml:space="preserve">Venn diagrams exhibited the overlay of these differentially abundant proteins in 3 comparisons. Up-regulated proteins were shown on the left and down-regulated proteins were shown on the right. </w:t>
      </w:r>
    </w:p>
    <w:p>
      <w:pPr>
        <w:numPr>
          <w:numId w:val="0"/>
        </w:numPr>
        <w:spacing w:line="360" w:lineRule="auto"/>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eastAsia="zh-CN"/>
        </w:rPr>
        <w:drawing>
          <wp:inline distT="0" distB="0" distL="114300" distR="114300">
            <wp:extent cx="5270500" cy="3598545"/>
            <wp:effectExtent l="0" t="0" r="6350" b="1905"/>
            <wp:docPr id="3" name="图片 3"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S3"/>
                    <pic:cNvPicPr>
                      <a:picLocks noChangeAspect="1"/>
                    </pic:cNvPicPr>
                  </pic:nvPicPr>
                  <pic:blipFill>
                    <a:blip r:embed="rId6"/>
                    <a:srcRect b="50066"/>
                    <a:stretch>
                      <a:fillRect/>
                    </a:stretch>
                  </pic:blipFill>
                  <pic:spPr>
                    <a:xfrm>
                      <a:off x="0" y="0"/>
                      <a:ext cx="5270500" cy="3598545"/>
                    </a:xfrm>
                    <a:prstGeom prst="rect">
                      <a:avLst/>
                    </a:prstGeom>
                  </pic:spPr>
                </pic:pic>
              </a:graphicData>
            </a:graphic>
          </wp:inline>
        </w:drawing>
      </w:r>
    </w:p>
    <w:p>
      <w:pPr>
        <w:spacing w:line="360" w:lineRule="auto"/>
        <w:rPr>
          <w:rFonts w:hint="eastAsia" w:ascii="Times New Roman" w:hAnsi="Times New Roman" w:cs="Times New Roman"/>
          <w:b/>
          <w:bCs/>
          <w:color w:val="auto"/>
          <w:sz w:val="24"/>
          <w:szCs w:val="24"/>
        </w:rPr>
      </w:pPr>
      <w:r>
        <w:rPr>
          <w:rFonts w:hint="eastAsia" w:ascii="Times New Roman" w:hAnsi="Times New Roman" w:cs="Times New Roman"/>
          <w:b/>
          <w:bCs/>
          <w:color w:val="auto"/>
          <w:sz w:val="24"/>
          <w:szCs w:val="24"/>
        </w:rPr>
        <w:t>Figure S3 Peak contributions of the individual fragment ions from the unique peptide of MBL2, HABP2, CAMP, CETP and CD163.</w:t>
      </w:r>
    </w:p>
    <w:p>
      <w:pPr>
        <w:spacing w:line="360" w:lineRule="auto"/>
        <w:rPr>
          <w:rFonts w:hint="eastAsia" w:ascii="Times New Roman" w:hAnsi="Times New Roman" w:cs="Times New Roman" w:eastAsiaTheme="minorEastAsia"/>
          <w:b/>
          <w:bCs/>
          <w:color w:val="auto"/>
          <w:sz w:val="24"/>
          <w:szCs w:val="24"/>
          <w:lang w:eastAsia="zh-CN"/>
        </w:rPr>
      </w:pPr>
      <w:r>
        <w:rPr>
          <w:rFonts w:hint="eastAsia" w:ascii="Times New Roman" w:hAnsi="Times New Roman" w:cs="Times New Roman" w:eastAsiaTheme="minorEastAsia"/>
          <w:b/>
          <w:bCs/>
          <w:color w:val="auto"/>
          <w:sz w:val="24"/>
          <w:szCs w:val="24"/>
          <w:lang w:eastAsia="zh-CN"/>
        </w:rPr>
        <w:drawing>
          <wp:inline distT="0" distB="0" distL="114300" distR="114300">
            <wp:extent cx="5271770" cy="6141720"/>
            <wp:effectExtent l="0" t="0" r="5080" b="11430"/>
            <wp:docPr id="4" name="图片 4"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S4"/>
                    <pic:cNvPicPr>
                      <a:picLocks noChangeAspect="1"/>
                    </pic:cNvPicPr>
                  </pic:nvPicPr>
                  <pic:blipFill>
                    <a:blip r:embed="rId7"/>
                    <a:srcRect b="14814"/>
                    <a:stretch>
                      <a:fillRect/>
                    </a:stretch>
                  </pic:blipFill>
                  <pic:spPr>
                    <a:xfrm>
                      <a:off x="0" y="0"/>
                      <a:ext cx="5271770" cy="6141720"/>
                    </a:xfrm>
                    <a:prstGeom prst="rect">
                      <a:avLst/>
                    </a:prstGeom>
                  </pic:spPr>
                </pic:pic>
              </a:graphicData>
            </a:graphic>
          </wp:inline>
        </w:drawing>
      </w:r>
    </w:p>
    <w:p>
      <w:pPr>
        <w:pStyle w:val="4"/>
        <w:spacing w:line="360" w:lineRule="auto"/>
        <w:rPr>
          <w:rFonts w:ascii="Times New Roman" w:hAnsi="Times New Roman" w:cs="Times New Roman"/>
          <w:color w:val="auto"/>
          <w:sz w:val="24"/>
          <w:szCs w:val="24"/>
        </w:rPr>
      </w:pPr>
      <w:r>
        <w:rPr>
          <w:rFonts w:hint="eastAsia" w:ascii="Times New Roman" w:hAnsi="Times New Roman" w:cs="Times New Roman"/>
          <w:bCs/>
          <w:color w:val="auto"/>
          <w:sz w:val="24"/>
          <w:szCs w:val="24"/>
        </w:rPr>
        <w:t xml:space="preserve">Figure S4 </w:t>
      </w:r>
      <w:r>
        <w:rPr>
          <w:rFonts w:hint="eastAsia" w:ascii="Times New Roman" w:hAnsi="Times New Roman" w:cs="Times New Roman"/>
          <w:color w:val="auto"/>
          <w:sz w:val="24"/>
          <w:szCs w:val="24"/>
        </w:rPr>
        <w:t xml:space="preserve">Performance of the </w:t>
      </w:r>
      <w:r>
        <w:rPr>
          <w:rFonts w:hint="eastAsia" w:ascii="Times New Roman" w:hAnsi="Times New Roman" w:cs="Times New Roman"/>
          <w:bCs/>
          <w:color w:val="auto"/>
          <w:sz w:val="24"/>
          <w:szCs w:val="24"/>
        </w:rPr>
        <w:t>HABP2+</w:t>
      </w:r>
      <w:r>
        <w:rPr>
          <w:rFonts w:hint="eastAsia" w:ascii="Times New Roman" w:hAnsi="Times New Roman" w:cs="Times New Roman"/>
          <w:color w:val="auto"/>
          <w:sz w:val="24"/>
          <w:szCs w:val="24"/>
        </w:rPr>
        <w:t xml:space="preserve"> </w:t>
      </w:r>
      <w:r>
        <w:rPr>
          <w:rFonts w:hint="eastAsia" w:ascii="Times New Roman" w:hAnsi="Times New Roman" w:cs="Times New Roman"/>
          <w:bCs/>
          <w:color w:val="auto"/>
          <w:sz w:val="24"/>
          <w:szCs w:val="24"/>
        </w:rPr>
        <w:t xml:space="preserve">CD163 </w:t>
      </w:r>
      <w:r>
        <w:rPr>
          <w:rFonts w:hint="eastAsia" w:ascii="Times New Roman" w:hAnsi="Times New Roman" w:cs="Times New Roman"/>
          <w:color w:val="auto"/>
          <w:sz w:val="24"/>
          <w:szCs w:val="24"/>
        </w:rPr>
        <w:t>panel</w:t>
      </w:r>
      <w:r>
        <w:rPr>
          <w:rFonts w:hint="eastAsia" w:ascii="Times New Roman" w:hAnsi="Times New Roman" w:cs="Times New Roman"/>
          <w:bCs/>
          <w:color w:val="auto"/>
          <w:sz w:val="24"/>
          <w:szCs w:val="24"/>
        </w:rPr>
        <w:t xml:space="preserve"> </w:t>
      </w:r>
      <w:r>
        <w:rPr>
          <w:rFonts w:hint="eastAsia" w:ascii="Times New Roman" w:hAnsi="Times New Roman" w:cs="Times New Roman"/>
          <w:color w:val="auto"/>
          <w:sz w:val="24"/>
          <w:szCs w:val="24"/>
        </w:rPr>
        <w:t xml:space="preserve">in validation cohort. </w:t>
      </w:r>
    </w:p>
    <w:p>
      <w:pPr>
        <w:numPr>
          <w:ilvl w:val="0"/>
          <w:numId w:val="3"/>
        </w:numPr>
        <w:spacing w:line="360" w:lineRule="auto"/>
        <w:rPr>
          <w:rFonts w:ascii="Times New Roman" w:hAnsi="Times New Roman" w:cs="Times New Roman"/>
          <w:b/>
          <w:bCs/>
          <w:color w:val="auto"/>
          <w:sz w:val="24"/>
          <w:szCs w:val="24"/>
        </w:rPr>
      </w:pPr>
      <w:r>
        <w:rPr>
          <w:rFonts w:hint="eastAsia" w:ascii="Times New Roman" w:hAnsi="Times New Roman" w:cs="Times New Roman"/>
          <w:bCs/>
          <w:color w:val="auto"/>
          <w:sz w:val="24"/>
          <w:szCs w:val="24"/>
        </w:rPr>
        <w:t>ROC curves of the</w:t>
      </w:r>
      <w:r>
        <w:rPr>
          <w:rFonts w:hint="eastAsia" w:ascii="Times New Roman" w:hAnsi="Times New Roman" w:cs="Times New Roman"/>
          <w:color w:val="auto"/>
          <w:sz w:val="24"/>
          <w:szCs w:val="24"/>
        </w:rPr>
        <w:t xml:space="preserve"> HABP2+ CD163 panel,</w:t>
      </w:r>
      <w:r>
        <w:rPr>
          <w:rFonts w:hint="eastAsia" w:ascii="Times New Roman" w:hAnsi="Times New Roman" w:cs="Times New Roman"/>
          <w:bCs/>
          <w:color w:val="auto"/>
          <w:sz w:val="24"/>
          <w:szCs w:val="24"/>
        </w:rPr>
        <w:t xml:space="preserve"> AFP, PIVKA-II and their combination for HCC patients versus LC patients in the validation cohort. </w:t>
      </w:r>
      <w:r>
        <w:rPr>
          <w:rFonts w:hint="eastAsia" w:ascii="Times New Roman" w:hAnsi="Times New Roman" w:cs="Times New Roman"/>
          <w:b/>
          <w:color w:val="auto"/>
          <w:sz w:val="24"/>
          <w:szCs w:val="24"/>
        </w:rPr>
        <w:t>B.</w:t>
      </w:r>
      <w:r>
        <w:rPr>
          <w:rFonts w:hint="eastAsia" w:ascii="Times New Roman" w:hAnsi="Times New Roman" w:cs="Times New Roman"/>
          <w:bCs/>
          <w:color w:val="auto"/>
          <w:sz w:val="24"/>
          <w:szCs w:val="24"/>
        </w:rPr>
        <w:t xml:space="preserve"> ROC curves of the</w:t>
      </w:r>
      <w:r>
        <w:rPr>
          <w:rFonts w:hint="eastAsia" w:ascii="Times New Roman" w:hAnsi="Times New Roman" w:cs="Times New Roman"/>
          <w:color w:val="auto"/>
          <w:sz w:val="24"/>
          <w:szCs w:val="24"/>
        </w:rPr>
        <w:t xml:space="preserve"> HABP2+ CD163 panel</w:t>
      </w:r>
      <w:r>
        <w:rPr>
          <w:rFonts w:hint="eastAsia" w:ascii="Times New Roman" w:hAnsi="Times New Roman" w:cs="Times New Roman"/>
          <w:bCs/>
          <w:color w:val="auto"/>
          <w:sz w:val="24"/>
          <w:szCs w:val="24"/>
        </w:rPr>
        <w:t xml:space="preserve"> and PIVKA-II for HCC AFP-negative patients versus LC patients. </w:t>
      </w:r>
      <w:r>
        <w:rPr>
          <w:rFonts w:hint="eastAsia" w:ascii="Times New Roman" w:hAnsi="Times New Roman" w:cs="Times New Roman"/>
          <w:b/>
          <w:color w:val="auto"/>
          <w:sz w:val="24"/>
          <w:szCs w:val="24"/>
        </w:rPr>
        <w:t>C.</w:t>
      </w:r>
      <w:r>
        <w:rPr>
          <w:rFonts w:hint="eastAsia" w:ascii="Times New Roman" w:hAnsi="Times New Roman" w:cs="Times New Roman"/>
          <w:bCs/>
          <w:color w:val="auto"/>
          <w:sz w:val="24"/>
          <w:szCs w:val="24"/>
        </w:rPr>
        <w:t xml:space="preserve"> ROC curves of the</w:t>
      </w:r>
      <w:r>
        <w:rPr>
          <w:rFonts w:hint="eastAsia" w:ascii="Times New Roman" w:hAnsi="Times New Roman" w:cs="Times New Roman"/>
          <w:color w:val="auto"/>
          <w:sz w:val="24"/>
          <w:szCs w:val="24"/>
        </w:rPr>
        <w:t xml:space="preserve"> HABP2+ CD163 panel</w:t>
      </w:r>
      <w:r>
        <w:rPr>
          <w:rFonts w:hint="eastAsia" w:ascii="Times New Roman" w:hAnsi="Times New Roman" w:cs="Times New Roman"/>
          <w:bCs/>
          <w:color w:val="auto"/>
          <w:sz w:val="24"/>
          <w:szCs w:val="24"/>
        </w:rPr>
        <w:t xml:space="preserve"> and AFP for HCC PIVKA-II -negative patients versus LC patients. </w:t>
      </w:r>
      <w:r>
        <w:rPr>
          <w:rFonts w:hint="eastAsia" w:ascii="Times New Roman" w:hAnsi="Times New Roman" w:cs="Times New Roman"/>
          <w:b/>
          <w:color w:val="auto"/>
          <w:sz w:val="24"/>
          <w:szCs w:val="24"/>
        </w:rPr>
        <w:t>D.</w:t>
      </w:r>
      <w:r>
        <w:rPr>
          <w:rFonts w:hint="eastAsia" w:ascii="Times New Roman" w:hAnsi="Times New Roman" w:cs="Times New Roman"/>
          <w:bCs/>
          <w:color w:val="auto"/>
          <w:sz w:val="24"/>
          <w:szCs w:val="24"/>
        </w:rPr>
        <w:t xml:space="preserve"> ROC curves of the</w:t>
      </w:r>
      <w:r>
        <w:rPr>
          <w:rFonts w:hint="eastAsia" w:ascii="Times New Roman" w:hAnsi="Times New Roman" w:cs="Times New Roman"/>
          <w:color w:val="auto"/>
          <w:sz w:val="24"/>
          <w:szCs w:val="24"/>
        </w:rPr>
        <w:t xml:space="preserve"> HABP2+ CD163 panel</w:t>
      </w:r>
      <w:r>
        <w:rPr>
          <w:rFonts w:hint="eastAsia" w:ascii="Times New Roman" w:hAnsi="Times New Roman" w:cs="Times New Roman"/>
          <w:bCs/>
          <w:color w:val="auto"/>
          <w:sz w:val="24"/>
          <w:szCs w:val="24"/>
        </w:rPr>
        <w:t xml:space="preserve"> for AFP-negative and PIVKA-II-negative of HCC patients versus LC patients. </w:t>
      </w:r>
    </w:p>
    <w:p>
      <w:pPr>
        <w:pStyle w:val="4"/>
        <w:spacing w:line="360" w:lineRule="auto"/>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eastAsia="zh-CN"/>
        </w:rPr>
        <w:drawing>
          <wp:inline distT="0" distB="0" distL="114300" distR="114300">
            <wp:extent cx="5271770" cy="7209790"/>
            <wp:effectExtent l="0" t="0" r="5080" b="10160"/>
            <wp:docPr id="5" name="图片 5"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S5"/>
                    <pic:cNvPicPr>
                      <a:picLocks noChangeAspect="1"/>
                    </pic:cNvPicPr>
                  </pic:nvPicPr>
                  <pic:blipFill>
                    <a:blip r:embed="rId8"/>
                    <a:stretch>
                      <a:fillRect/>
                    </a:stretch>
                  </pic:blipFill>
                  <pic:spPr>
                    <a:xfrm>
                      <a:off x="0" y="0"/>
                      <a:ext cx="5271770" cy="7209790"/>
                    </a:xfrm>
                    <a:prstGeom prst="rect">
                      <a:avLst/>
                    </a:prstGeom>
                  </pic:spPr>
                </pic:pic>
              </a:graphicData>
            </a:graphic>
          </wp:inline>
        </w:drawing>
      </w:r>
    </w:p>
    <w:p>
      <w:pPr>
        <w:pStyle w:val="4"/>
        <w:spacing w:line="360" w:lineRule="auto"/>
        <w:rPr>
          <w:rFonts w:ascii="Times New Roman" w:hAnsi="Times New Roman" w:cs="Times New Roman"/>
          <w:color w:val="auto"/>
          <w:sz w:val="24"/>
          <w:szCs w:val="24"/>
        </w:rPr>
      </w:pPr>
      <w:r>
        <w:rPr>
          <w:rFonts w:hint="eastAsia" w:ascii="Times New Roman" w:hAnsi="Times New Roman" w:cs="Times New Roman"/>
          <w:color w:val="auto"/>
          <w:sz w:val="24"/>
          <w:szCs w:val="24"/>
        </w:rPr>
        <w:t xml:space="preserve">Figure S5 Diagnosis performance of the P4 model in training set and testing set. </w:t>
      </w:r>
    </w:p>
    <w:p>
      <w:pPr>
        <w:pStyle w:val="4"/>
        <w:numPr>
          <w:ilvl w:val="0"/>
          <w:numId w:val="4"/>
        </w:numPr>
        <w:spacing w:line="360" w:lineRule="auto"/>
        <w:jc w:val="both"/>
        <w:rPr>
          <w:rFonts w:ascii="Times New Roman" w:hAnsi="Times New Roman" w:cs="Times New Roman"/>
          <w:b w:val="0"/>
          <w:bCs/>
          <w:color w:val="auto"/>
          <w:sz w:val="24"/>
          <w:szCs w:val="24"/>
        </w:rPr>
      </w:pPr>
      <w:r>
        <w:rPr>
          <w:rFonts w:hint="eastAsia" w:ascii="Times New Roman" w:hAnsi="Times New Roman" w:cs="Times New Roman"/>
          <w:b w:val="0"/>
          <w:bCs/>
          <w:color w:val="auto"/>
          <w:sz w:val="24"/>
          <w:szCs w:val="24"/>
        </w:rPr>
        <w:t xml:space="preserve">ROC curves of P4 panel, AFP, PIVKA-II and their combination for HCC patients versus LC patients </w:t>
      </w:r>
      <w:bookmarkStart w:id="0" w:name="OLE_LINK80"/>
      <w:r>
        <w:rPr>
          <w:rFonts w:hint="eastAsia" w:ascii="Times New Roman" w:hAnsi="Times New Roman" w:cs="Times New Roman"/>
          <w:b w:val="0"/>
          <w:bCs/>
          <w:color w:val="auto"/>
          <w:sz w:val="24"/>
          <w:szCs w:val="24"/>
        </w:rPr>
        <w:t>in the training set and testing set (</w:t>
      </w:r>
      <w:r>
        <w:rPr>
          <w:rFonts w:hint="eastAsia" w:ascii="Times New Roman" w:hAnsi="Times New Roman" w:cs="Times New Roman"/>
          <w:color w:val="auto"/>
          <w:sz w:val="24"/>
          <w:szCs w:val="24"/>
        </w:rPr>
        <w:t>B</w:t>
      </w:r>
      <w:r>
        <w:rPr>
          <w:rFonts w:hint="eastAsia" w:ascii="Times New Roman" w:hAnsi="Times New Roman" w:cs="Times New Roman"/>
          <w:b w:val="0"/>
          <w:bCs/>
          <w:color w:val="auto"/>
          <w:sz w:val="24"/>
          <w:szCs w:val="24"/>
        </w:rPr>
        <w:t>).</w:t>
      </w:r>
      <w:bookmarkEnd w:id="0"/>
      <w:r>
        <w:rPr>
          <w:rFonts w:hint="eastAsia" w:ascii="Times New Roman" w:hAnsi="Times New Roman" w:cs="Times New Roman"/>
          <w:b w:val="0"/>
          <w:bCs/>
          <w:color w:val="auto"/>
          <w:sz w:val="24"/>
          <w:szCs w:val="24"/>
        </w:rPr>
        <w:t xml:space="preserve"> </w:t>
      </w:r>
      <w:r>
        <w:rPr>
          <w:rFonts w:hint="eastAsia" w:ascii="Times New Roman" w:hAnsi="Times New Roman" w:cs="Times New Roman"/>
          <w:color w:val="auto"/>
          <w:sz w:val="24"/>
          <w:szCs w:val="24"/>
        </w:rPr>
        <w:t>C.</w:t>
      </w:r>
      <w:r>
        <w:rPr>
          <w:rFonts w:hint="eastAsia" w:ascii="Times New Roman" w:hAnsi="Times New Roman" w:cs="Times New Roman"/>
          <w:b w:val="0"/>
          <w:bCs/>
          <w:color w:val="auto"/>
          <w:sz w:val="24"/>
          <w:szCs w:val="24"/>
        </w:rPr>
        <w:t xml:space="preserve"> ROC curves of P4 panel and PIVKA-II for HCC AFP-negative patients versus LC patients in the training set and testing set (</w:t>
      </w:r>
      <w:r>
        <w:rPr>
          <w:rFonts w:hint="eastAsia" w:ascii="Times New Roman" w:hAnsi="Times New Roman" w:cs="Times New Roman"/>
          <w:color w:val="auto"/>
          <w:sz w:val="24"/>
          <w:szCs w:val="24"/>
        </w:rPr>
        <w:t>D</w:t>
      </w:r>
      <w:r>
        <w:rPr>
          <w:rFonts w:hint="eastAsia" w:ascii="Times New Roman" w:hAnsi="Times New Roman" w:cs="Times New Roman"/>
          <w:b w:val="0"/>
          <w:bCs/>
          <w:color w:val="auto"/>
          <w:sz w:val="24"/>
          <w:szCs w:val="24"/>
        </w:rPr>
        <w:t xml:space="preserve">). </w:t>
      </w:r>
      <w:r>
        <w:rPr>
          <w:rFonts w:hint="eastAsia" w:ascii="Times New Roman" w:hAnsi="Times New Roman" w:cs="Times New Roman"/>
          <w:color w:val="auto"/>
          <w:sz w:val="24"/>
          <w:szCs w:val="24"/>
        </w:rPr>
        <w:t>E.</w:t>
      </w:r>
      <w:r>
        <w:rPr>
          <w:rFonts w:hint="eastAsia" w:ascii="Times New Roman" w:hAnsi="Times New Roman" w:cs="Times New Roman"/>
          <w:b w:val="0"/>
          <w:bCs/>
          <w:color w:val="auto"/>
          <w:sz w:val="24"/>
          <w:szCs w:val="24"/>
        </w:rPr>
        <w:t xml:space="preserve"> ROC curves of P4 panel and AFP for HCC PIVKA-II -negative patients versus LC patients in the training set and testing set (</w:t>
      </w:r>
      <w:r>
        <w:rPr>
          <w:rFonts w:hint="eastAsia" w:ascii="Times New Roman" w:hAnsi="Times New Roman" w:cs="Times New Roman"/>
          <w:color w:val="auto"/>
          <w:sz w:val="24"/>
          <w:szCs w:val="24"/>
        </w:rPr>
        <w:t>F</w:t>
      </w:r>
      <w:r>
        <w:rPr>
          <w:rFonts w:hint="eastAsia" w:ascii="Times New Roman" w:hAnsi="Times New Roman" w:cs="Times New Roman"/>
          <w:b w:val="0"/>
          <w:bCs/>
          <w:color w:val="auto"/>
          <w:sz w:val="24"/>
          <w:szCs w:val="24"/>
        </w:rPr>
        <w:t xml:space="preserve">). </w:t>
      </w:r>
      <w:r>
        <w:rPr>
          <w:rFonts w:hint="eastAsia" w:ascii="Times New Roman" w:hAnsi="Times New Roman" w:cs="Times New Roman"/>
          <w:color w:val="auto"/>
          <w:sz w:val="24"/>
          <w:szCs w:val="24"/>
        </w:rPr>
        <w:t>G.</w:t>
      </w:r>
      <w:r>
        <w:rPr>
          <w:rFonts w:hint="eastAsia" w:ascii="Times New Roman" w:hAnsi="Times New Roman" w:cs="Times New Roman"/>
          <w:b w:val="0"/>
          <w:bCs/>
          <w:color w:val="auto"/>
          <w:sz w:val="24"/>
          <w:szCs w:val="24"/>
        </w:rPr>
        <w:t xml:space="preserve"> ROC curves of P4 panel for AFP-negative and PIVKA-II-negative of HCC patients versus LC patients in the training set and testing set (</w:t>
      </w:r>
      <w:r>
        <w:rPr>
          <w:rFonts w:hint="eastAsia" w:ascii="Times New Roman" w:hAnsi="Times New Roman" w:cs="Times New Roman"/>
          <w:color w:val="auto"/>
          <w:sz w:val="24"/>
          <w:szCs w:val="24"/>
        </w:rPr>
        <w:t>H</w:t>
      </w:r>
      <w:r>
        <w:rPr>
          <w:rFonts w:hint="eastAsia" w:ascii="Times New Roman" w:hAnsi="Times New Roman" w:cs="Times New Roman"/>
          <w:b w:val="0"/>
          <w:bCs/>
          <w:color w:val="auto"/>
          <w:sz w:val="24"/>
          <w:szCs w:val="24"/>
        </w:rPr>
        <w:t xml:space="preserve">). </w:t>
      </w:r>
      <w:r>
        <w:rPr>
          <w:rFonts w:hint="eastAsia" w:ascii="Times New Roman" w:hAnsi="Times New Roman" w:cs="Times New Roman"/>
          <w:color w:val="auto"/>
          <w:sz w:val="24"/>
          <w:szCs w:val="24"/>
        </w:rPr>
        <w:t>I.</w:t>
      </w:r>
      <w:r>
        <w:rPr>
          <w:rFonts w:hint="eastAsia" w:ascii="Times New Roman" w:hAnsi="Times New Roman" w:cs="Times New Roman"/>
          <w:b w:val="0"/>
          <w:bCs/>
          <w:color w:val="auto"/>
          <w:sz w:val="24"/>
          <w:szCs w:val="24"/>
        </w:rPr>
        <w:t xml:space="preserve"> Differences of P4 scores between HCC </w:t>
      </w:r>
      <w:r>
        <w:rPr>
          <w:rFonts w:ascii="Times New Roman" w:hAnsi="Times New Roman" w:cs="Times New Roman"/>
          <w:b w:val="0"/>
          <w:bCs/>
          <w:color w:val="auto"/>
          <w:sz w:val="24"/>
          <w:szCs w:val="24"/>
        </w:rPr>
        <w:t xml:space="preserve">patients </w:t>
      </w:r>
      <w:r>
        <w:rPr>
          <w:rFonts w:hint="eastAsia" w:ascii="Times New Roman" w:hAnsi="Times New Roman" w:cs="Times New Roman"/>
          <w:b w:val="0"/>
          <w:bCs/>
          <w:color w:val="auto"/>
          <w:sz w:val="24"/>
          <w:szCs w:val="24"/>
        </w:rPr>
        <w:t>and LC patients in the training set and testing set (</w:t>
      </w:r>
      <w:r>
        <w:rPr>
          <w:rFonts w:hint="eastAsia" w:ascii="Times New Roman" w:hAnsi="Times New Roman" w:cs="Times New Roman"/>
          <w:color w:val="auto"/>
          <w:sz w:val="24"/>
          <w:szCs w:val="24"/>
        </w:rPr>
        <w:t>J</w:t>
      </w:r>
      <w:r>
        <w:rPr>
          <w:rFonts w:hint="eastAsia" w:ascii="Times New Roman" w:hAnsi="Times New Roman" w:cs="Times New Roman"/>
          <w:b w:val="0"/>
          <w:bCs/>
          <w:color w:val="auto"/>
          <w:sz w:val="24"/>
          <w:szCs w:val="24"/>
        </w:rPr>
        <w:t xml:space="preserve">). </w:t>
      </w:r>
      <w:r>
        <w:rPr>
          <w:rFonts w:hint="eastAsia" w:ascii="Times New Roman" w:hAnsi="Times New Roman" w:cs="Times New Roman"/>
          <w:color w:val="auto"/>
          <w:sz w:val="24"/>
          <w:szCs w:val="24"/>
        </w:rPr>
        <w:t>K.</w:t>
      </w:r>
      <w:r>
        <w:rPr>
          <w:rFonts w:hint="eastAsia" w:ascii="Times New Roman" w:hAnsi="Times New Roman" w:cs="Times New Roman"/>
          <w:b w:val="0"/>
          <w:bCs/>
          <w:color w:val="auto"/>
          <w:sz w:val="24"/>
          <w:szCs w:val="24"/>
        </w:rPr>
        <w:t xml:space="preserve"> Confusion matrix showed P4 panel performance for classifying HCC and LC in the validation set in the training set and testing set (</w:t>
      </w:r>
      <w:r>
        <w:rPr>
          <w:rFonts w:hint="eastAsia" w:ascii="Times New Roman" w:hAnsi="Times New Roman" w:cs="Times New Roman"/>
          <w:color w:val="auto"/>
          <w:sz w:val="24"/>
          <w:szCs w:val="24"/>
        </w:rPr>
        <w:t>L</w:t>
      </w:r>
      <w:r>
        <w:rPr>
          <w:rFonts w:hint="eastAsia" w:ascii="Times New Roman" w:hAnsi="Times New Roman" w:cs="Times New Roman"/>
          <w:b w:val="0"/>
          <w:bCs/>
          <w:color w:val="auto"/>
          <w:sz w:val="24"/>
          <w:szCs w:val="24"/>
        </w:rPr>
        <w:t xml:space="preserve">). </w:t>
      </w:r>
    </w:p>
    <w:p>
      <w:pPr>
        <w:pStyle w:val="4"/>
        <w:numPr>
          <w:numId w:val="0"/>
        </w:numPr>
        <w:spacing w:line="360" w:lineRule="auto"/>
        <w:jc w:val="both"/>
        <w:rPr>
          <w:rFonts w:hint="eastAsia" w:ascii="Times New Roman" w:hAnsi="Times New Roman" w:cs="Times New Roman" w:eastAsiaTheme="minorEastAsia"/>
          <w:b w:val="0"/>
          <w:bCs/>
          <w:color w:val="auto"/>
          <w:sz w:val="24"/>
          <w:szCs w:val="24"/>
          <w:lang w:eastAsia="zh-CN"/>
        </w:rPr>
      </w:pPr>
      <w:r>
        <w:rPr>
          <w:rFonts w:hint="eastAsia" w:ascii="Times New Roman" w:hAnsi="Times New Roman" w:cs="Times New Roman" w:eastAsiaTheme="minorEastAsia"/>
          <w:b w:val="0"/>
          <w:bCs/>
          <w:color w:val="auto"/>
          <w:sz w:val="24"/>
          <w:szCs w:val="24"/>
          <w:lang w:eastAsia="zh-CN"/>
        </w:rPr>
        <w:drawing>
          <wp:inline distT="0" distB="0" distL="114300" distR="114300">
            <wp:extent cx="5271770" cy="2707005"/>
            <wp:effectExtent l="0" t="0" r="5080" b="17145"/>
            <wp:docPr id="6" name="图片 6" descr="Figure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6"/>
                    <pic:cNvPicPr>
                      <a:picLocks noChangeAspect="1"/>
                    </pic:cNvPicPr>
                  </pic:nvPicPr>
                  <pic:blipFill>
                    <a:blip r:embed="rId9"/>
                    <a:srcRect b="62454"/>
                    <a:stretch>
                      <a:fillRect/>
                    </a:stretch>
                  </pic:blipFill>
                  <pic:spPr>
                    <a:xfrm>
                      <a:off x="0" y="0"/>
                      <a:ext cx="5271770" cy="2707005"/>
                    </a:xfrm>
                    <a:prstGeom prst="rect">
                      <a:avLst/>
                    </a:prstGeom>
                  </pic:spPr>
                </pic:pic>
              </a:graphicData>
            </a:graphic>
          </wp:inline>
        </w:drawing>
      </w:r>
    </w:p>
    <w:p>
      <w:pPr>
        <w:pStyle w:val="4"/>
        <w:spacing w:line="360" w:lineRule="auto"/>
        <w:rPr>
          <w:rFonts w:ascii="Times New Roman" w:hAnsi="Times New Roman" w:cs="Times New Roman"/>
          <w:color w:val="auto"/>
          <w:sz w:val="24"/>
          <w:szCs w:val="24"/>
        </w:rPr>
      </w:pPr>
      <w:r>
        <w:rPr>
          <w:rFonts w:hint="eastAsia" w:ascii="Times New Roman" w:hAnsi="Times New Roman" w:cs="Times New Roman"/>
          <w:color w:val="auto"/>
          <w:sz w:val="24"/>
          <w:szCs w:val="24"/>
        </w:rPr>
        <w:t>Figure S6 Performance of the P4 model in predicting people at high risk of HCC in prospective cohort.</w:t>
      </w:r>
    </w:p>
    <w:p>
      <w:pPr>
        <w:spacing w:line="360" w:lineRule="auto"/>
        <w:rPr>
          <w:rFonts w:ascii="Times New Roman" w:hAnsi="Times New Roman" w:cs="Times New Roman"/>
          <w:b/>
          <w:bCs/>
          <w:color w:val="auto"/>
          <w:sz w:val="24"/>
          <w:szCs w:val="24"/>
        </w:rPr>
      </w:pPr>
      <w:r>
        <w:rPr>
          <w:rFonts w:hint="eastAsia" w:ascii="Times New Roman" w:hAnsi="Times New Roman" w:cs="Times New Roman"/>
          <w:bCs/>
          <w:color w:val="auto"/>
          <w:sz w:val="24"/>
          <w:szCs w:val="24"/>
        </w:rPr>
        <w:t>Performance of the AFP (</w:t>
      </w:r>
      <w:r>
        <w:rPr>
          <w:rFonts w:hint="eastAsia" w:ascii="Times New Roman" w:hAnsi="Times New Roman" w:cs="Times New Roman"/>
          <w:b/>
          <w:color w:val="auto"/>
          <w:sz w:val="24"/>
          <w:szCs w:val="24"/>
        </w:rPr>
        <w:t>A</w:t>
      </w:r>
      <w:r>
        <w:rPr>
          <w:rFonts w:hint="eastAsia" w:ascii="Times New Roman" w:hAnsi="Times New Roman" w:cs="Times New Roman"/>
          <w:bCs/>
          <w:color w:val="auto"/>
          <w:sz w:val="24"/>
          <w:szCs w:val="24"/>
        </w:rPr>
        <w:t>), PIVKA-II (</w:t>
      </w:r>
      <w:r>
        <w:rPr>
          <w:rFonts w:hint="eastAsia" w:ascii="Times New Roman" w:hAnsi="Times New Roman" w:cs="Times New Roman"/>
          <w:b/>
          <w:color w:val="auto"/>
          <w:sz w:val="24"/>
          <w:szCs w:val="24"/>
        </w:rPr>
        <w:t>B</w:t>
      </w:r>
      <w:r>
        <w:rPr>
          <w:rFonts w:hint="eastAsia" w:ascii="Times New Roman" w:hAnsi="Times New Roman" w:cs="Times New Roman"/>
          <w:bCs/>
          <w:color w:val="auto"/>
          <w:sz w:val="24"/>
          <w:szCs w:val="24"/>
        </w:rPr>
        <w:t>), AFP+PIVKA-II (</w:t>
      </w:r>
      <w:r>
        <w:rPr>
          <w:rFonts w:hint="eastAsia" w:ascii="Times New Roman" w:hAnsi="Times New Roman" w:cs="Times New Roman"/>
          <w:b/>
          <w:color w:val="auto"/>
          <w:sz w:val="24"/>
          <w:szCs w:val="24"/>
        </w:rPr>
        <w:t>C</w:t>
      </w:r>
      <w:r>
        <w:rPr>
          <w:rFonts w:hint="eastAsia" w:ascii="Times New Roman" w:hAnsi="Times New Roman" w:cs="Times New Roman"/>
          <w:bCs/>
          <w:color w:val="auto"/>
          <w:sz w:val="24"/>
          <w:szCs w:val="24"/>
        </w:rPr>
        <w:t>) and aMAP scores (</w:t>
      </w:r>
      <w:r>
        <w:rPr>
          <w:rFonts w:hint="eastAsia" w:ascii="Times New Roman" w:hAnsi="Times New Roman" w:cs="Times New Roman"/>
          <w:b/>
          <w:color w:val="auto"/>
          <w:sz w:val="24"/>
          <w:szCs w:val="24"/>
        </w:rPr>
        <w:t>D</w:t>
      </w:r>
      <w:r>
        <w:rPr>
          <w:rFonts w:hint="eastAsia" w:ascii="Times New Roman" w:hAnsi="Times New Roman" w:cs="Times New Roman"/>
          <w:bCs/>
          <w:color w:val="auto"/>
          <w:sz w:val="24"/>
          <w:szCs w:val="24"/>
        </w:rPr>
        <w:t xml:space="preserve">) for LC patients to identify people at high risk of HCC, who were diagnosed with HCC at subsequent follow up. The left panel showed the differences of scores between LC patients who developed HCC and LC patients who did not develop HCC, and the right panel illustrated the confusion matrix for predicting people at high risk of HCC. </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8C06AC"/>
    <w:multiLevelType w:val="singleLevel"/>
    <w:tmpl w:val="BA8C06AC"/>
    <w:lvl w:ilvl="0" w:tentative="0">
      <w:start w:val="1"/>
      <w:numFmt w:val="upperLetter"/>
      <w:suff w:val="space"/>
      <w:lvlText w:val="%1."/>
      <w:lvlJc w:val="left"/>
      <w:rPr>
        <w:rFonts w:hint="default"/>
        <w:b/>
        <w:bCs/>
      </w:rPr>
    </w:lvl>
  </w:abstractNum>
  <w:abstractNum w:abstractNumId="1">
    <w:nsid w:val="C3B86DD9"/>
    <w:multiLevelType w:val="singleLevel"/>
    <w:tmpl w:val="C3B86DD9"/>
    <w:lvl w:ilvl="0" w:tentative="0">
      <w:start w:val="1"/>
      <w:numFmt w:val="upperLetter"/>
      <w:suff w:val="space"/>
      <w:lvlText w:val="%1."/>
      <w:lvlJc w:val="left"/>
    </w:lvl>
  </w:abstractNum>
  <w:abstractNum w:abstractNumId="2">
    <w:nsid w:val="229A2B6B"/>
    <w:multiLevelType w:val="singleLevel"/>
    <w:tmpl w:val="229A2B6B"/>
    <w:lvl w:ilvl="0" w:tentative="0">
      <w:start w:val="1"/>
      <w:numFmt w:val="upperLetter"/>
      <w:suff w:val="space"/>
      <w:lvlText w:val="%1."/>
      <w:lvlJc w:val="left"/>
    </w:lvl>
  </w:abstractNum>
  <w:abstractNum w:abstractNumId="3">
    <w:nsid w:val="78A7256D"/>
    <w:multiLevelType w:val="singleLevel"/>
    <w:tmpl w:val="78A7256D"/>
    <w:lvl w:ilvl="0" w:tentative="0">
      <w:start w:val="1"/>
      <w:numFmt w:val="upperLetter"/>
      <w:suff w:val="space"/>
      <w:lvlText w:val="%1."/>
      <w:lvlJc w:val="left"/>
      <w:rPr>
        <w:rFonts w:hint="default"/>
        <w:b/>
        <w:bCs/>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zY2U0NGJiZTNiY2U2YmFlYzFkYTVkM2JkNmRkNWQifQ=="/>
  </w:docVars>
  <w:rsids>
    <w:rsidRoot w:val="00000000"/>
    <w:rsid w:val="4DBB2D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EndNote Category Heading"/>
    <w:basedOn w:val="1"/>
    <w:qFormat/>
    <w:uiPriority w:val="0"/>
    <w:pPr>
      <w:spacing w:before="120" w:after="120"/>
      <w:jc w:val="left"/>
    </w:pPr>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2023-03-07T03:28:44Z</dcterms:created>
  <dc:creator>Xing Xiaohua</dc:creator>
  <cp:lastModifiedBy>Xing Xiaohua</cp:lastModifiedBy>
  <dcterms:modified xsi:type="dcterms:W3CDTF">2023-03-07T03:31:51Z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B62D26FEA73C4457AD091112B36A800F</vt:lpwstr>
  </property>
</Properties>
</file>