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33A28" w14:textId="0726DE7E" w:rsidR="0085021B" w:rsidRPr="00CE4E1F" w:rsidRDefault="00AA482B" w:rsidP="00742F09">
      <w:pPr>
        <w:spacing w:line="360" w:lineRule="auto"/>
        <w:contextualSpacing/>
        <w:jc w:val="both"/>
        <w:rPr>
          <w:b/>
        </w:rPr>
      </w:pPr>
      <w:r w:rsidRPr="00CE4E1F">
        <w:rPr>
          <w:b/>
        </w:rPr>
        <w:t>Supplemental Appendix</w:t>
      </w:r>
    </w:p>
    <w:p w14:paraId="79322E5C" w14:textId="77777777" w:rsidR="008A5B7A" w:rsidRPr="00CE4E1F" w:rsidRDefault="008A5B7A" w:rsidP="00742F09">
      <w:pPr>
        <w:spacing w:line="360" w:lineRule="auto"/>
        <w:contextualSpacing/>
        <w:jc w:val="both"/>
        <w:rPr>
          <w:b/>
        </w:rPr>
      </w:pPr>
    </w:p>
    <w:p w14:paraId="26227DD9" w14:textId="7957B986" w:rsidR="00752590" w:rsidRDefault="00752590" w:rsidP="00742F09">
      <w:pPr>
        <w:spacing w:line="360" w:lineRule="auto"/>
        <w:ind w:left="1440" w:hanging="1440"/>
        <w:contextualSpacing/>
        <w:jc w:val="both"/>
        <w:rPr>
          <w:b/>
        </w:rPr>
      </w:pPr>
      <w:r>
        <w:rPr>
          <w:b/>
        </w:rPr>
        <w:t>Supplemental Methods</w:t>
      </w:r>
    </w:p>
    <w:p w14:paraId="5C9C9E6F" w14:textId="77777777" w:rsidR="00752590" w:rsidRDefault="00752590" w:rsidP="00742F09">
      <w:pPr>
        <w:spacing w:line="360" w:lineRule="auto"/>
        <w:ind w:left="1440" w:hanging="1440"/>
        <w:contextualSpacing/>
        <w:jc w:val="both"/>
        <w:rPr>
          <w:b/>
        </w:rPr>
      </w:pPr>
    </w:p>
    <w:p w14:paraId="0BA9E473" w14:textId="35C18874" w:rsidR="005A4E4D" w:rsidRPr="00CE4E1F" w:rsidRDefault="005A4E4D" w:rsidP="00742F09">
      <w:pPr>
        <w:spacing w:line="360" w:lineRule="auto"/>
        <w:ind w:left="1440" w:hanging="1440"/>
        <w:contextualSpacing/>
        <w:jc w:val="both"/>
        <w:rPr>
          <w:b/>
        </w:rPr>
      </w:pPr>
      <w:r w:rsidRPr="00CE4E1F">
        <w:rPr>
          <w:b/>
        </w:rPr>
        <w:t>Figure S1.</w:t>
      </w:r>
      <w:r w:rsidR="006F35CB" w:rsidRPr="00CE4E1F">
        <w:rPr>
          <w:b/>
        </w:rPr>
        <w:t xml:space="preserve"> </w:t>
      </w:r>
      <w:r w:rsidR="00306674" w:rsidRPr="00CE4E1F">
        <w:rPr>
          <w:b/>
        </w:rPr>
        <w:tab/>
      </w:r>
      <w:r w:rsidR="001615EF" w:rsidRPr="00CE4E1F">
        <w:rPr>
          <w:bCs/>
        </w:rPr>
        <w:t>G</w:t>
      </w:r>
      <w:r w:rsidR="006F35CB" w:rsidRPr="00CE4E1F">
        <w:t xml:space="preserve">ene expression </w:t>
      </w:r>
      <w:r w:rsidR="00FC4B92">
        <w:t>biomarker</w:t>
      </w:r>
      <w:r w:rsidR="00616605" w:rsidRPr="00CE4E1F">
        <w:t xml:space="preserve"> development</w:t>
      </w:r>
      <w:r w:rsidR="005C19A2" w:rsidRPr="00CE4E1F">
        <w:t>.</w:t>
      </w:r>
    </w:p>
    <w:p w14:paraId="22243A8E" w14:textId="57864D6E" w:rsidR="005C19A2" w:rsidRPr="00CE4E1F" w:rsidRDefault="005C19A2" w:rsidP="00742F09">
      <w:pPr>
        <w:spacing w:line="360" w:lineRule="auto"/>
        <w:ind w:left="1440" w:hanging="1440"/>
        <w:contextualSpacing/>
        <w:jc w:val="both"/>
      </w:pPr>
      <w:r w:rsidRPr="00CE4E1F">
        <w:rPr>
          <w:b/>
        </w:rPr>
        <w:t>Figure S</w:t>
      </w:r>
      <w:r w:rsidR="00797EA7" w:rsidRPr="00CE4E1F">
        <w:rPr>
          <w:b/>
        </w:rPr>
        <w:t>2</w:t>
      </w:r>
      <w:r w:rsidRPr="00CE4E1F">
        <w:rPr>
          <w:b/>
        </w:rPr>
        <w:t xml:space="preserve">. </w:t>
      </w:r>
      <w:r w:rsidRPr="00CE4E1F">
        <w:rPr>
          <w:b/>
        </w:rPr>
        <w:tab/>
      </w:r>
      <w:r w:rsidR="00DC532A" w:rsidRPr="00CE4E1F">
        <w:rPr>
          <w:bCs/>
        </w:rPr>
        <w:t>G</w:t>
      </w:r>
      <w:r w:rsidRPr="00CE4E1F">
        <w:t xml:space="preserve">ene expression </w:t>
      </w:r>
      <w:r w:rsidR="00FC4B92">
        <w:t>biomarker</w:t>
      </w:r>
      <w:r w:rsidR="00FC4B92" w:rsidRPr="00CE4E1F">
        <w:t xml:space="preserve"> </w:t>
      </w:r>
      <w:r w:rsidRPr="00CE4E1F">
        <w:t>characteristics in the discovery cohort.</w:t>
      </w:r>
    </w:p>
    <w:p w14:paraId="27D5023E" w14:textId="56554EF3" w:rsidR="00797EA7" w:rsidRPr="00CE4E1F" w:rsidRDefault="00797EA7" w:rsidP="00742F09">
      <w:pPr>
        <w:spacing w:line="360" w:lineRule="auto"/>
        <w:ind w:left="1440" w:hanging="1440"/>
        <w:contextualSpacing/>
        <w:jc w:val="both"/>
        <w:rPr>
          <w:b/>
        </w:rPr>
      </w:pPr>
      <w:r w:rsidRPr="00CE4E1F">
        <w:rPr>
          <w:b/>
        </w:rPr>
        <w:t>Figure S3.</w:t>
      </w:r>
      <w:r w:rsidRPr="00CE4E1F">
        <w:t xml:space="preserve"> </w:t>
      </w:r>
      <w:r w:rsidRPr="00CE4E1F">
        <w:tab/>
        <w:t xml:space="preserve">Gene expression </w:t>
      </w:r>
      <w:r w:rsidR="00FC4B92">
        <w:t>biomarker</w:t>
      </w:r>
      <w:r w:rsidR="00FC4B92" w:rsidRPr="00CE4E1F">
        <w:t xml:space="preserve"> </w:t>
      </w:r>
      <w:r w:rsidRPr="00CE4E1F">
        <w:t>across somatic short variants in the discovery cohort.</w:t>
      </w:r>
    </w:p>
    <w:p w14:paraId="07F95668" w14:textId="21C29FE3" w:rsidR="00797EA7" w:rsidRPr="00CE4E1F" w:rsidRDefault="00797EA7" w:rsidP="00742F09">
      <w:pPr>
        <w:spacing w:line="360" w:lineRule="auto"/>
        <w:ind w:left="1440" w:hanging="1440"/>
        <w:contextualSpacing/>
        <w:jc w:val="both"/>
        <w:rPr>
          <w:b/>
        </w:rPr>
      </w:pPr>
      <w:r w:rsidRPr="00CE4E1F">
        <w:rPr>
          <w:b/>
        </w:rPr>
        <w:t xml:space="preserve">Figure S4. </w:t>
      </w:r>
      <w:r w:rsidRPr="00CE4E1F">
        <w:rPr>
          <w:b/>
        </w:rPr>
        <w:tab/>
      </w:r>
      <w:r w:rsidRPr="00CE4E1F">
        <w:t xml:space="preserve">Gene expression </w:t>
      </w:r>
      <w:r w:rsidR="00FC4B92">
        <w:t>biomarker</w:t>
      </w:r>
      <w:r w:rsidR="00FC4B92" w:rsidRPr="00CE4E1F">
        <w:t xml:space="preserve"> </w:t>
      </w:r>
      <w:r w:rsidR="00825AF7" w:rsidRPr="00AE36CA">
        <w:t>c</w:t>
      </w:r>
      <w:r w:rsidR="00825AF7" w:rsidRPr="00CE4E1F">
        <w:t xml:space="preserve">haracteristics in the </w:t>
      </w:r>
      <w:r w:rsidRPr="00CE4E1F">
        <w:t>analytical validation</w:t>
      </w:r>
      <w:r w:rsidR="00825AF7" w:rsidRPr="00CE4E1F">
        <w:t xml:space="preserve"> cohort</w:t>
      </w:r>
      <w:r w:rsidRPr="00CE4E1F">
        <w:t>.</w:t>
      </w:r>
      <w:r w:rsidRPr="00CE4E1F">
        <w:rPr>
          <w:b/>
        </w:rPr>
        <w:t xml:space="preserve"> </w:t>
      </w:r>
    </w:p>
    <w:p w14:paraId="4DA0A823" w14:textId="427C989D" w:rsidR="00DC532A" w:rsidRPr="00CE4E1F" w:rsidRDefault="00DC532A" w:rsidP="00742F09">
      <w:pPr>
        <w:spacing w:line="360" w:lineRule="auto"/>
        <w:ind w:left="1440" w:hanging="1440"/>
        <w:contextualSpacing/>
        <w:jc w:val="both"/>
        <w:rPr>
          <w:bCs/>
        </w:rPr>
      </w:pPr>
      <w:r w:rsidRPr="00CE4E1F">
        <w:rPr>
          <w:b/>
        </w:rPr>
        <w:t>Figure S</w:t>
      </w:r>
      <w:r w:rsidR="00CE6719" w:rsidRPr="00CE4E1F">
        <w:rPr>
          <w:b/>
        </w:rPr>
        <w:t>5</w:t>
      </w:r>
      <w:r w:rsidRPr="00CE4E1F">
        <w:rPr>
          <w:b/>
        </w:rPr>
        <w:t>.</w:t>
      </w:r>
      <w:r w:rsidRPr="00CE4E1F">
        <w:rPr>
          <w:b/>
        </w:rPr>
        <w:tab/>
      </w:r>
      <w:r w:rsidRPr="00CE4E1F">
        <w:rPr>
          <w:bCs/>
        </w:rPr>
        <w:t xml:space="preserve">Gene expression </w:t>
      </w:r>
      <w:r w:rsidR="00FC4B92">
        <w:t>biomarker</w:t>
      </w:r>
      <w:r w:rsidR="00FC4B92" w:rsidRPr="00CE4E1F">
        <w:t xml:space="preserve"> </w:t>
      </w:r>
      <w:r w:rsidRPr="00CE4E1F">
        <w:rPr>
          <w:bCs/>
        </w:rPr>
        <w:t xml:space="preserve">characteristics in </w:t>
      </w:r>
      <w:r w:rsidR="00825AF7" w:rsidRPr="00CE4E1F">
        <w:rPr>
          <w:bCs/>
        </w:rPr>
        <w:t xml:space="preserve">the clinical </w:t>
      </w:r>
      <w:r w:rsidRPr="00CE4E1F">
        <w:rPr>
          <w:bCs/>
        </w:rPr>
        <w:t>validation cohort.</w:t>
      </w:r>
    </w:p>
    <w:p w14:paraId="579792E5" w14:textId="3FDB01F2" w:rsidR="00CE6719" w:rsidRPr="00CE4E1F" w:rsidRDefault="00CE6719" w:rsidP="00742F09">
      <w:pPr>
        <w:spacing w:line="360" w:lineRule="auto"/>
        <w:ind w:left="1440" w:hanging="1440"/>
        <w:contextualSpacing/>
        <w:jc w:val="both"/>
        <w:rPr>
          <w:bCs/>
        </w:rPr>
      </w:pPr>
      <w:r w:rsidRPr="00CE4E1F">
        <w:rPr>
          <w:b/>
        </w:rPr>
        <w:t>Figure S6.</w:t>
      </w:r>
      <w:r w:rsidRPr="00CE4E1F">
        <w:rPr>
          <w:b/>
        </w:rPr>
        <w:tab/>
      </w:r>
      <w:r w:rsidR="00825AF7" w:rsidRPr="00CE4E1F">
        <w:rPr>
          <w:bCs/>
        </w:rPr>
        <w:t>Molecular c</w:t>
      </w:r>
      <w:r w:rsidRPr="00CE4E1F">
        <w:rPr>
          <w:bCs/>
        </w:rPr>
        <w:t>lassification comparison</w:t>
      </w:r>
      <w:r w:rsidR="00825AF7" w:rsidRPr="00CE4E1F">
        <w:rPr>
          <w:bCs/>
        </w:rPr>
        <w:t>s</w:t>
      </w:r>
      <w:r w:rsidRPr="00CE4E1F">
        <w:rPr>
          <w:bCs/>
        </w:rPr>
        <w:t xml:space="preserve"> in </w:t>
      </w:r>
      <w:r w:rsidR="00825AF7" w:rsidRPr="00CE4E1F">
        <w:rPr>
          <w:bCs/>
        </w:rPr>
        <w:t xml:space="preserve">the clinical </w:t>
      </w:r>
      <w:r w:rsidRPr="00CE4E1F">
        <w:rPr>
          <w:bCs/>
        </w:rPr>
        <w:t xml:space="preserve">validation cohort. </w:t>
      </w:r>
    </w:p>
    <w:p w14:paraId="5F768917" w14:textId="40F78E03" w:rsidR="00017C3F" w:rsidRPr="00CE4E1F" w:rsidRDefault="00017C3F" w:rsidP="00742F09">
      <w:pPr>
        <w:spacing w:line="360" w:lineRule="auto"/>
        <w:ind w:left="1440" w:hanging="1440"/>
        <w:contextualSpacing/>
        <w:jc w:val="both"/>
        <w:rPr>
          <w:bCs/>
        </w:rPr>
      </w:pPr>
      <w:r w:rsidRPr="00CE4E1F">
        <w:rPr>
          <w:b/>
        </w:rPr>
        <w:t>Figure S</w:t>
      </w:r>
      <w:r w:rsidR="00797EA7" w:rsidRPr="00CE4E1F">
        <w:rPr>
          <w:b/>
        </w:rPr>
        <w:t>7</w:t>
      </w:r>
      <w:r w:rsidRPr="00CE4E1F">
        <w:rPr>
          <w:b/>
        </w:rPr>
        <w:t>.</w:t>
      </w:r>
      <w:r w:rsidRPr="00CE4E1F">
        <w:rPr>
          <w:b/>
        </w:rPr>
        <w:tab/>
      </w:r>
      <w:r w:rsidR="00F12955" w:rsidRPr="00CE4E1F">
        <w:rPr>
          <w:bCs/>
        </w:rPr>
        <w:t xml:space="preserve">Gene expression </w:t>
      </w:r>
      <w:r w:rsidR="00FC4B92">
        <w:t>biomarker</w:t>
      </w:r>
      <w:r w:rsidR="00FC4B92" w:rsidRPr="00CE4E1F">
        <w:t xml:space="preserve"> </w:t>
      </w:r>
      <w:r w:rsidR="00F12955" w:rsidRPr="00CE4E1F">
        <w:rPr>
          <w:bCs/>
        </w:rPr>
        <w:t>n</w:t>
      </w:r>
      <w:r w:rsidRPr="00CE4E1F">
        <w:rPr>
          <w:bCs/>
        </w:rPr>
        <w:t>omograms for meningioma outcomes</w:t>
      </w:r>
      <w:r w:rsidR="00163EAA" w:rsidRPr="00CE4E1F">
        <w:rPr>
          <w:bCs/>
        </w:rPr>
        <w:t>.</w:t>
      </w:r>
    </w:p>
    <w:p w14:paraId="27DD8D70" w14:textId="75F5DE03" w:rsidR="00E758A5" w:rsidRPr="00CE4E1F" w:rsidRDefault="00E758A5" w:rsidP="00742F09">
      <w:pPr>
        <w:spacing w:line="360" w:lineRule="auto"/>
        <w:ind w:left="1440" w:hanging="1440"/>
        <w:contextualSpacing/>
        <w:jc w:val="both"/>
      </w:pPr>
      <w:r w:rsidRPr="00CE4E1F">
        <w:rPr>
          <w:b/>
        </w:rPr>
        <w:t xml:space="preserve">Figure </w:t>
      </w:r>
      <w:r w:rsidR="00DC532A" w:rsidRPr="00CE4E1F">
        <w:rPr>
          <w:b/>
        </w:rPr>
        <w:t>S</w:t>
      </w:r>
      <w:r w:rsidR="00797EA7" w:rsidRPr="00CE4E1F">
        <w:rPr>
          <w:b/>
        </w:rPr>
        <w:t>8</w:t>
      </w:r>
      <w:r w:rsidRPr="00CE4E1F">
        <w:rPr>
          <w:b/>
        </w:rPr>
        <w:t>.</w:t>
      </w:r>
      <w:r w:rsidR="002F51D3" w:rsidRPr="00CE4E1F">
        <w:rPr>
          <w:b/>
        </w:rPr>
        <w:tab/>
      </w:r>
      <w:r w:rsidR="00A12BB4" w:rsidRPr="00CE4E1F">
        <w:t xml:space="preserve">Molecular </w:t>
      </w:r>
      <w:r w:rsidR="00F05832" w:rsidRPr="00CE4E1F">
        <w:t xml:space="preserve">classification systems </w:t>
      </w:r>
      <w:r w:rsidR="00A12BB4" w:rsidRPr="00CE4E1F">
        <w:t xml:space="preserve">and </w:t>
      </w:r>
      <w:r w:rsidR="00825AF7" w:rsidRPr="00CE4E1F">
        <w:t>response to treatment</w:t>
      </w:r>
      <w:r w:rsidR="002F51D3" w:rsidRPr="00CE4E1F">
        <w:t>.</w:t>
      </w:r>
    </w:p>
    <w:p w14:paraId="4FFFB5F5" w14:textId="5E875356" w:rsidR="005E1118" w:rsidRPr="00CE4E1F" w:rsidRDefault="005E1118" w:rsidP="00742F09">
      <w:pPr>
        <w:spacing w:line="360" w:lineRule="auto"/>
        <w:ind w:left="1440" w:hanging="1440"/>
        <w:contextualSpacing/>
        <w:jc w:val="both"/>
        <w:rPr>
          <w:b/>
        </w:rPr>
      </w:pPr>
    </w:p>
    <w:p w14:paraId="0895002F" w14:textId="796496F3" w:rsidR="00616605" w:rsidRPr="00CE4E1F" w:rsidRDefault="00616605" w:rsidP="00742F09">
      <w:pPr>
        <w:spacing w:line="360" w:lineRule="auto"/>
        <w:contextualSpacing/>
        <w:jc w:val="both"/>
      </w:pPr>
      <w:r w:rsidRPr="00CE4E1F">
        <w:rPr>
          <w:b/>
        </w:rPr>
        <w:t xml:space="preserve">Table </w:t>
      </w:r>
      <w:r w:rsidR="00BD7064" w:rsidRPr="00CE4E1F">
        <w:rPr>
          <w:b/>
        </w:rPr>
        <w:t>S1</w:t>
      </w:r>
      <w:r w:rsidRPr="00CE4E1F">
        <w:rPr>
          <w:b/>
        </w:rPr>
        <w:t>.</w:t>
      </w:r>
      <w:r w:rsidR="00B23D5E" w:rsidRPr="00CE4E1F">
        <w:rPr>
          <w:b/>
        </w:rPr>
        <w:tab/>
      </w:r>
      <w:r w:rsidR="00276C8E" w:rsidRPr="00CE4E1F">
        <w:t xml:space="preserve">Targeted gene expression </w:t>
      </w:r>
      <w:r w:rsidR="00FC4B92">
        <w:t>biomarker</w:t>
      </w:r>
      <w:r w:rsidR="00FC4B92" w:rsidRPr="00CE4E1F">
        <w:t xml:space="preserve"> </w:t>
      </w:r>
      <w:r w:rsidR="00276C8E" w:rsidRPr="00CE4E1F">
        <w:t>discovery panel.</w:t>
      </w:r>
    </w:p>
    <w:p w14:paraId="4B195407" w14:textId="2CD8CA93" w:rsidR="00E758A5" w:rsidRPr="00CE4E1F" w:rsidRDefault="00E758A5" w:rsidP="00742F09">
      <w:pPr>
        <w:spacing w:line="360" w:lineRule="auto"/>
        <w:contextualSpacing/>
        <w:jc w:val="both"/>
      </w:pPr>
      <w:r w:rsidRPr="00CE4E1F">
        <w:rPr>
          <w:b/>
        </w:rPr>
        <w:t xml:space="preserve">Table </w:t>
      </w:r>
      <w:r w:rsidR="00BD7064" w:rsidRPr="00CE4E1F">
        <w:rPr>
          <w:b/>
        </w:rPr>
        <w:t>S2</w:t>
      </w:r>
      <w:r w:rsidRPr="00CE4E1F">
        <w:rPr>
          <w:b/>
        </w:rPr>
        <w:t xml:space="preserve">. </w:t>
      </w:r>
      <w:r w:rsidR="00306674" w:rsidRPr="00CE4E1F">
        <w:rPr>
          <w:b/>
        </w:rPr>
        <w:tab/>
      </w:r>
      <w:r w:rsidR="00276C8E" w:rsidRPr="00CE4E1F">
        <w:rPr>
          <w:bCs/>
        </w:rPr>
        <w:t>UCSF discovery cohort characteristics.</w:t>
      </w:r>
    </w:p>
    <w:p w14:paraId="30D29BA6" w14:textId="1D2D16F3" w:rsidR="009914C9" w:rsidRPr="00CE4E1F" w:rsidRDefault="007031F9" w:rsidP="00742F09">
      <w:pPr>
        <w:spacing w:line="360" w:lineRule="auto"/>
        <w:contextualSpacing/>
        <w:jc w:val="both"/>
      </w:pPr>
      <w:r w:rsidRPr="00CE4E1F">
        <w:rPr>
          <w:b/>
        </w:rPr>
        <w:t xml:space="preserve">Table </w:t>
      </w:r>
      <w:r w:rsidR="00BD7064" w:rsidRPr="00CE4E1F">
        <w:rPr>
          <w:b/>
        </w:rPr>
        <w:t>S3</w:t>
      </w:r>
      <w:r w:rsidRPr="00CE4E1F">
        <w:rPr>
          <w:b/>
        </w:rPr>
        <w:t>.</w:t>
      </w:r>
      <w:r w:rsidR="006F35CB" w:rsidRPr="00CE4E1F">
        <w:rPr>
          <w:b/>
        </w:rPr>
        <w:t xml:space="preserve"> </w:t>
      </w:r>
      <w:r w:rsidR="00306674" w:rsidRPr="00CE4E1F">
        <w:rPr>
          <w:b/>
        </w:rPr>
        <w:tab/>
      </w:r>
      <w:r w:rsidR="006F35CB" w:rsidRPr="00CE4E1F">
        <w:t xml:space="preserve">Optimized gene expression </w:t>
      </w:r>
      <w:r w:rsidR="00FC4B92">
        <w:t>biomarker</w:t>
      </w:r>
      <w:r w:rsidR="00FC4B92" w:rsidRPr="00CE4E1F">
        <w:t xml:space="preserve"> </w:t>
      </w:r>
      <w:r w:rsidR="00F12955" w:rsidRPr="00CE4E1F">
        <w:t>panel</w:t>
      </w:r>
      <w:r w:rsidR="006F35CB" w:rsidRPr="00CE4E1F">
        <w:t>.</w:t>
      </w:r>
    </w:p>
    <w:p w14:paraId="12D9065C" w14:textId="74531099" w:rsidR="00BD7064" w:rsidRPr="00CE4E1F" w:rsidRDefault="00BD7064" w:rsidP="00742F09">
      <w:pPr>
        <w:spacing w:line="360" w:lineRule="auto"/>
        <w:contextualSpacing/>
        <w:jc w:val="both"/>
        <w:rPr>
          <w:b/>
          <w:bCs/>
        </w:rPr>
      </w:pPr>
      <w:r w:rsidRPr="00CE4E1F">
        <w:rPr>
          <w:b/>
          <w:bCs/>
        </w:rPr>
        <w:t>Table S4.</w:t>
      </w:r>
      <w:r w:rsidRPr="00CE4E1F">
        <w:rPr>
          <w:b/>
          <w:bCs/>
        </w:rPr>
        <w:tab/>
      </w:r>
      <w:r w:rsidR="00825AF7" w:rsidRPr="00CE4E1F">
        <w:t>Analytical and clinical v</w:t>
      </w:r>
      <w:r w:rsidRPr="00CE4E1F">
        <w:t>alidation cohorts.</w:t>
      </w:r>
      <w:r w:rsidRPr="00CE4E1F">
        <w:rPr>
          <w:b/>
          <w:bCs/>
        </w:rPr>
        <w:t xml:space="preserve"> </w:t>
      </w:r>
    </w:p>
    <w:p w14:paraId="5AC0AE04" w14:textId="7270822D" w:rsidR="00825AF7" w:rsidRPr="00CE4E1F" w:rsidRDefault="00F824C0" w:rsidP="00742F09">
      <w:pPr>
        <w:spacing w:line="360" w:lineRule="auto"/>
        <w:contextualSpacing/>
        <w:jc w:val="both"/>
      </w:pPr>
      <w:r w:rsidRPr="00CE4E1F">
        <w:rPr>
          <w:b/>
          <w:bCs/>
        </w:rPr>
        <w:t>Table S5.</w:t>
      </w:r>
      <w:r w:rsidRPr="00CE4E1F">
        <w:rPr>
          <w:b/>
          <w:bCs/>
        </w:rPr>
        <w:tab/>
      </w:r>
      <w:r w:rsidR="00825AF7" w:rsidRPr="00CE4E1F">
        <w:t>The</w:t>
      </w:r>
      <w:r w:rsidR="00825AF7" w:rsidRPr="00CE4E1F">
        <w:rPr>
          <w:b/>
          <w:bCs/>
        </w:rPr>
        <w:t xml:space="preserve"> </w:t>
      </w:r>
      <w:r w:rsidR="00825AF7" w:rsidRPr="00CE4E1F">
        <w:t xml:space="preserve">University of Hong Kong </w:t>
      </w:r>
      <w:r w:rsidR="004A0554" w:rsidRPr="00CE4E1F">
        <w:t xml:space="preserve">clinical </w:t>
      </w:r>
      <w:r w:rsidR="00825AF7" w:rsidRPr="00CE4E1F">
        <w:t>validation cohort characteristics.</w:t>
      </w:r>
    </w:p>
    <w:p w14:paraId="128DC6F3" w14:textId="76698A7F" w:rsidR="00825AF7" w:rsidRPr="00CE4E1F" w:rsidRDefault="00B23D5E" w:rsidP="00742F09">
      <w:pPr>
        <w:spacing w:line="360" w:lineRule="auto"/>
        <w:contextualSpacing/>
        <w:jc w:val="both"/>
      </w:pPr>
      <w:r w:rsidRPr="00CE4E1F">
        <w:rPr>
          <w:b/>
          <w:bCs/>
        </w:rPr>
        <w:t xml:space="preserve">Table </w:t>
      </w:r>
      <w:r w:rsidR="00BD7064" w:rsidRPr="00CE4E1F">
        <w:rPr>
          <w:b/>
          <w:bCs/>
        </w:rPr>
        <w:t>S</w:t>
      </w:r>
      <w:r w:rsidR="00F824C0" w:rsidRPr="00CE4E1F">
        <w:rPr>
          <w:b/>
          <w:bCs/>
        </w:rPr>
        <w:t>6</w:t>
      </w:r>
      <w:r w:rsidRPr="00CE4E1F">
        <w:rPr>
          <w:b/>
          <w:bCs/>
        </w:rPr>
        <w:t>.</w:t>
      </w:r>
      <w:r w:rsidRPr="00CE4E1F">
        <w:rPr>
          <w:b/>
          <w:bCs/>
        </w:rPr>
        <w:tab/>
      </w:r>
      <w:r w:rsidR="00825AF7" w:rsidRPr="00CE4E1F">
        <w:t xml:space="preserve">Northwestern University </w:t>
      </w:r>
      <w:r w:rsidR="004A0554" w:rsidRPr="00CE4E1F">
        <w:t xml:space="preserve">clinical </w:t>
      </w:r>
      <w:r w:rsidR="00825AF7" w:rsidRPr="00CE4E1F">
        <w:t>validation cohort characteristics.</w:t>
      </w:r>
    </w:p>
    <w:p w14:paraId="5A8F1C5B" w14:textId="20E66C41" w:rsidR="00F824C0" w:rsidRPr="00CE4E1F" w:rsidRDefault="00F824C0" w:rsidP="00742F09">
      <w:pPr>
        <w:spacing w:line="360" w:lineRule="auto"/>
        <w:contextualSpacing/>
        <w:jc w:val="both"/>
      </w:pPr>
      <w:r w:rsidRPr="00CE4E1F">
        <w:rPr>
          <w:b/>
          <w:bCs/>
        </w:rPr>
        <w:t>Table S7.</w:t>
      </w:r>
      <w:r w:rsidRPr="00CE4E1F">
        <w:rPr>
          <w:b/>
          <w:bCs/>
        </w:rPr>
        <w:tab/>
      </w:r>
      <w:r w:rsidRPr="00CE4E1F">
        <w:t xml:space="preserve">UCSF WHO grade 2 </w:t>
      </w:r>
      <w:r w:rsidR="00825AF7" w:rsidRPr="00CE4E1F">
        <w:t xml:space="preserve">or </w:t>
      </w:r>
      <w:r w:rsidR="00D73EA6">
        <w:t xml:space="preserve">grade </w:t>
      </w:r>
      <w:r w:rsidRPr="00CE4E1F">
        <w:t xml:space="preserve">3 </w:t>
      </w:r>
      <w:r w:rsidR="004A0554" w:rsidRPr="00CE4E1F">
        <w:t xml:space="preserve">clinical </w:t>
      </w:r>
      <w:r w:rsidRPr="00CE4E1F">
        <w:t>validation cohort characteristics.</w:t>
      </w:r>
    </w:p>
    <w:p w14:paraId="2A42F62B" w14:textId="0C6E49DE" w:rsidR="00B23D5E" w:rsidRPr="00CE4E1F" w:rsidRDefault="00B23D5E" w:rsidP="00742F09">
      <w:pPr>
        <w:spacing w:line="360" w:lineRule="auto"/>
        <w:contextualSpacing/>
        <w:jc w:val="both"/>
      </w:pPr>
      <w:r w:rsidRPr="00CE4E1F">
        <w:rPr>
          <w:b/>
          <w:bCs/>
        </w:rPr>
        <w:t xml:space="preserve">Table </w:t>
      </w:r>
      <w:r w:rsidR="00BD7064" w:rsidRPr="00CE4E1F">
        <w:rPr>
          <w:b/>
          <w:bCs/>
        </w:rPr>
        <w:t>S</w:t>
      </w:r>
      <w:r w:rsidR="00F824C0" w:rsidRPr="00CE4E1F">
        <w:rPr>
          <w:b/>
          <w:bCs/>
        </w:rPr>
        <w:t>8</w:t>
      </w:r>
      <w:r w:rsidRPr="00CE4E1F">
        <w:rPr>
          <w:b/>
          <w:bCs/>
        </w:rPr>
        <w:t>.</w:t>
      </w:r>
      <w:r w:rsidRPr="00CE4E1F">
        <w:rPr>
          <w:b/>
          <w:bCs/>
        </w:rPr>
        <w:tab/>
      </w:r>
      <w:r w:rsidRPr="00CE4E1F">
        <w:t>Baylor</w:t>
      </w:r>
      <w:r w:rsidRPr="00CE4E1F">
        <w:rPr>
          <w:b/>
          <w:bCs/>
        </w:rPr>
        <w:t xml:space="preserve"> </w:t>
      </w:r>
      <w:r w:rsidR="00825AF7" w:rsidRPr="00CE4E1F">
        <w:t xml:space="preserve">College of Medicine </w:t>
      </w:r>
      <w:r w:rsidR="004A0554" w:rsidRPr="00CE4E1F">
        <w:t xml:space="preserve">clinical </w:t>
      </w:r>
      <w:r w:rsidRPr="00CE4E1F">
        <w:t>validation cohort characteristics.</w:t>
      </w:r>
    </w:p>
    <w:p w14:paraId="47AADF2F" w14:textId="12158479" w:rsidR="00B23D5E" w:rsidRPr="00CE4E1F" w:rsidRDefault="00B23D5E" w:rsidP="00742F09">
      <w:pPr>
        <w:spacing w:line="360" w:lineRule="auto"/>
        <w:ind w:left="1440" w:hanging="1440"/>
        <w:contextualSpacing/>
        <w:jc w:val="both"/>
      </w:pPr>
      <w:r w:rsidRPr="00CE4E1F">
        <w:rPr>
          <w:b/>
          <w:bCs/>
        </w:rPr>
        <w:t xml:space="preserve">Table </w:t>
      </w:r>
      <w:r w:rsidR="00BD7064" w:rsidRPr="00CE4E1F">
        <w:rPr>
          <w:b/>
          <w:bCs/>
        </w:rPr>
        <w:t>S9</w:t>
      </w:r>
      <w:r w:rsidRPr="00CE4E1F">
        <w:rPr>
          <w:b/>
          <w:bCs/>
        </w:rPr>
        <w:t>.</w:t>
      </w:r>
      <w:r w:rsidRPr="00CE4E1F">
        <w:rPr>
          <w:b/>
          <w:bCs/>
        </w:rPr>
        <w:tab/>
      </w:r>
      <w:r w:rsidR="007F3905" w:rsidRPr="00CE4E1F">
        <w:t>Heide</w:t>
      </w:r>
      <w:r w:rsidR="00825AF7" w:rsidRPr="00CE4E1F">
        <w:t>l</w:t>
      </w:r>
      <w:r w:rsidR="007F3905" w:rsidRPr="00CE4E1F">
        <w:t>berg</w:t>
      </w:r>
      <w:r w:rsidR="007F3905" w:rsidRPr="00CE4E1F">
        <w:rPr>
          <w:b/>
          <w:bCs/>
        </w:rPr>
        <w:t xml:space="preserve"> </w:t>
      </w:r>
      <w:r w:rsidR="007F3905" w:rsidRPr="00CE4E1F">
        <w:t xml:space="preserve">University </w:t>
      </w:r>
      <w:r w:rsidR="003E1E2F">
        <w:t xml:space="preserve">and Medical University of Vienna </w:t>
      </w:r>
      <w:r w:rsidR="004A0554" w:rsidRPr="00CE4E1F">
        <w:t xml:space="preserve">clinical </w:t>
      </w:r>
      <w:r w:rsidR="007F3905" w:rsidRPr="00CE4E1F">
        <w:t>validation cohort characteristics.</w:t>
      </w:r>
    </w:p>
    <w:p w14:paraId="5B3F0533" w14:textId="46D95648" w:rsidR="0074694E" w:rsidRPr="00CE4E1F" w:rsidRDefault="0074694E" w:rsidP="00742F09">
      <w:pPr>
        <w:spacing w:line="360" w:lineRule="auto"/>
        <w:ind w:left="1440" w:hanging="1440"/>
        <w:contextualSpacing/>
        <w:jc w:val="both"/>
      </w:pPr>
      <w:r w:rsidRPr="00CE4E1F">
        <w:rPr>
          <w:b/>
        </w:rPr>
        <w:t xml:space="preserve">Table </w:t>
      </w:r>
      <w:r w:rsidR="00E93081" w:rsidRPr="00CE4E1F">
        <w:rPr>
          <w:b/>
        </w:rPr>
        <w:t>S1</w:t>
      </w:r>
      <w:r w:rsidR="00E93081">
        <w:rPr>
          <w:b/>
        </w:rPr>
        <w:t>0</w:t>
      </w:r>
      <w:r w:rsidRPr="00CE4E1F">
        <w:rPr>
          <w:b/>
        </w:rPr>
        <w:t xml:space="preserve">. </w:t>
      </w:r>
      <w:r w:rsidRPr="00CE4E1F">
        <w:rPr>
          <w:b/>
        </w:rPr>
        <w:tab/>
      </w:r>
      <w:r w:rsidRPr="00CE4E1F">
        <w:t xml:space="preserve">Multivariable Cox models </w:t>
      </w:r>
      <w:r w:rsidR="00D30B05" w:rsidRPr="00CE4E1F">
        <w:t xml:space="preserve">for </w:t>
      </w:r>
      <w:r w:rsidR="005625AD">
        <w:t>recurrence</w:t>
      </w:r>
      <w:r w:rsidR="00D30B05" w:rsidRPr="00CE4E1F">
        <w:t xml:space="preserve"> </w:t>
      </w:r>
      <w:r w:rsidR="00DC532A" w:rsidRPr="00CE4E1F">
        <w:t xml:space="preserve">in </w:t>
      </w:r>
      <w:r w:rsidR="004A0554" w:rsidRPr="00CE4E1F">
        <w:t xml:space="preserve">clinical </w:t>
      </w:r>
      <w:r w:rsidRPr="00CE4E1F">
        <w:t>validation cohort</w:t>
      </w:r>
      <w:r w:rsidR="00DC532A" w:rsidRPr="00CE4E1F">
        <w:t xml:space="preserve"> meningiomas</w:t>
      </w:r>
      <w:r w:rsidRPr="00CE4E1F">
        <w:t>.</w:t>
      </w:r>
    </w:p>
    <w:p w14:paraId="0E2C24AC" w14:textId="1ACFD02A" w:rsidR="00D30B05" w:rsidRPr="00CE4E1F" w:rsidRDefault="00D30B05" w:rsidP="00742F09">
      <w:pPr>
        <w:spacing w:line="360" w:lineRule="auto"/>
        <w:ind w:left="1440" w:hanging="1440"/>
        <w:contextualSpacing/>
        <w:jc w:val="both"/>
      </w:pPr>
      <w:r w:rsidRPr="00CE4E1F">
        <w:rPr>
          <w:b/>
        </w:rPr>
        <w:t xml:space="preserve">Table </w:t>
      </w:r>
      <w:r w:rsidR="00E93081" w:rsidRPr="00CE4E1F">
        <w:rPr>
          <w:b/>
        </w:rPr>
        <w:t>S1</w:t>
      </w:r>
      <w:r w:rsidR="00E93081">
        <w:rPr>
          <w:b/>
        </w:rPr>
        <w:t>1</w:t>
      </w:r>
      <w:r w:rsidRPr="00CE4E1F">
        <w:rPr>
          <w:b/>
        </w:rPr>
        <w:t xml:space="preserve">. </w:t>
      </w:r>
      <w:r w:rsidRPr="00CE4E1F">
        <w:rPr>
          <w:b/>
        </w:rPr>
        <w:tab/>
      </w:r>
      <w:r w:rsidRPr="00CE4E1F">
        <w:t>Multivariable Cox models for death in clinical validation cohort meningiomas.</w:t>
      </w:r>
    </w:p>
    <w:p w14:paraId="299510CC" w14:textId="6FB0CF1C" w:rsidR="007031F9" w:rsidRDefault="007031F9" w:rsidP="00742F09">
      <w:pPr>
        <w:spacing w:line="360" w:lineRule="auto"/>
        <w:ind w:left="1440" w:hanging="1440"/>
        <w:contextualSpacing/>
        <w:jc w:val="both"/>
      </w:pPr>
      <w:r w:rsidRPr="00CE4E1F">
        <w:rPr>
          <w:b/>
        </w:rPr>
        <w:t xml:space="preserve">Table </w:t>
      </w:r>
      <w:r w:rsidR="00E93081" w:rsidRPr="00CE4E1F">
        <w:rPr>
          <w:b/>
        </w:rPr>
        <w:t>S1</w:t>
      </w:r>
      <w:r w:rsidR="00E93081">
        <w:rPr>
          <w:b/>
        </w:rPr>
        <w:t>2</w:t>
      </w:r>
      <w:r w:rsidRPr="00CE4E1F">
        <w:rPr>
          <w:b/>
        </w:rPr>
        <w:t>.</w:t>
      </w:r>
      <w:r w:rsidR="00F4554D" w:rsidRPr="00CE4E1F">
        <w:rPr>
          <w:b/>
        </w:rPr>
        <w:t xml:space="preserve"> </w:t>
      </w:r>
      <w:r w:rsidR="00306674" w:rsidRPr="00CE4E1F">
        <w:rPr>
          <w:b/>
        </w:rPr>
        <w:tab/>
      </w:r>
      <w:r w:rsidR="00F4554D" w:rsidRPr="00CE4E1F">
        <w:t xml:space="preserve">Propensity matched </w:t>
      </w:r>
      <w:r w:rsidR="004A0554" w:rsidRPr="00CE4E1F">
        <w:t xml:space="preserve">clinical </w:t>
      </w:r>
      <w:r w:rsidR="005C19A2" w:rsidRPr="00CE4E1F">
        <w:t xml:space="preserve">validation </w:t>
      </w:r>
      <w:r w:rsidR="00DC532A" w:rsidRPr="00CE4E1F">
        <w:t xml:space="preserve">cohort </w:t>
      </w:r>
      <w:r w:rsidR="00F4554D" w:rsidRPr="00CE4E1F">
        <w:t>meningiomas</w:t>
      </w:r>
      <w:r w:rsidR="00DC532A" w:rsidRPr="00CE4E1F">
        <w:t>.</w:t>
      </w:r>
    </w:p>
    <w:p w14:paraId="231D88F0" w14:textId="5F1B01E3" w:rsidR="00E93081" w:rsidRPr="00CE4E1F" w:rsidRDefault="00E93081" w:rsidP="00742F09">
      <w:pPr>
        <w:spacing w:line="360" w:lineRule="auto"/>
        <w:contextualSpacing/>
        <w:jc w:val="both"/>
      </w:pPr>
      <w:r w:rsidRPr="00CE4E1F">
        <w:rPr>
          <w:b/>
        </w:rPr>
        <w:t>Table S1</w:t>
      </w:r>
      <w:r w:rsidR="00291296">
        <w:rPr>
          <w:b/>
        </w:rPr>
        <w:t>3</w:t>
      </w:r>
      <w:r w:rsidRPr="00CE4E1F">
        <w:rPr>
          <w:b/>
        </w:rPr>
        <w:t>.</w:t>
      </w:r>
      <w:r w:rsidRPr="00CE4E1F">
        <w:tab/>
        <w:t>RTOG 0539 clinical validation cohort characteristics.</w:t>
      </w:r>
    </w:p>
    <w:p w14:paraId="35CD851A" w14:textId="45BA9182" w:rsidR="0064706E" w:rsidRDefault="0064706E" w:rsidP="00742F09">
      <w:pPr>
        <w:spacing w:line="360" w:lineRule="auto"/>
        <w:ind w:left="1440" w:hanging="1440"/>
        <w:contextualSpacing/>
        <w:jc w:val="both"/>
        <w:rPr>
          <w:bCs/>
        </w:rPr>
      </w:pPr>
      <w:r w:rsidRPr="00BF2978">
        <w:rPr>
          <w:b/>
          <w:bCs/>
        </w:rPr>
        <w:t xml:space="preserve">Table S14. </w:t>
      </w:r>
      <w:r>
        <w:rPr>
          <w:b/>
          <w:bCs/>
        </w:rPr>
        <w:tab/>
      </w:r>
      <w:r w:rsidRPr="0073306A">
        <w:rPr>
          <w:bCs/>
        </w:rPr>
        <w:t xml:space="preserve">RTOG 0539 </w:t>
      </w:r>
      <w:r w:rsidR="0096333F">
        <w:rPr>
          <w:bCs/>
        </w:rPr>
        <w:t xml:space="preserve">characteristics by </w:t>
      </w:r>
      <w:r w:rsidRPr="0073306A">
        <w:rPr>
          <w:bCs/>
        </w:rPr>
        <w:t>risk group and multivariate analys</w:t>
      </w:r>
      <w:r w:rsidR="0096333F">
        <w:rPr>
          <w:bCs/>
        </w:rPr>
        <w:t>i</w:t>
      </w:r>
      <w:r w:rsidRPr="0073306A">
        <w:rPr>
          <w:bCs/>
        </w:rPr>
        <w:t>s</w:t>
      </w:r>
      <w:r>
        <w:rPr>
          <w:bCs/>
        </w:rPr>
        <w:t>.</w:t>
      </w:r>
    </w:p>
    <w:p w14:paraId="216CF3AE" w14:textId="74DC1DA6" w:rsidR="00F524D9" w:rsidRDefault="00F524D9" w:rsidP="00742F09">
      <w:pPr>
        <w:spacing w:line="360" w:lineRule="auto"/>
        <w:ind w:left="1440" w:hanging="1440"/>
        <w:contextualSpacing/>
        <w:jc w:val="both"/>
        <w:rPr>
          <w:bCs/>
        </w:rPr>
      </w:pPr>
      <w:r>
        <w:rPr>
          <w:b/>
          <w:bCs/>
        </w:rPr>
        <w:t>Table S15.</w:t>
      </w:r>
      <w:r>
        <w:rPr>
          <w:bCs/>
        </w:rPr>
        <w:tab/>
      </w:r>
      <w:r w:rsidR="004724E1">
        <w:rPr>
          <w:bCs/>
        </w:rPr>
        <w:t>Gene expression biomarker r</w:t>
      </w:r>
      <w:r>
        <w:rPr>
          <w:bCs/>
        </w:rPr>
        <w:t>eclassification rates</w:t>
      </w:r>
      <w:r w:rsidR="004724E1">
        <w:rPr>
          <w:bCs/>
        </w:rPr>
        <w:t xml:space="preserve"> compared to clinical criteria</w:t>
      </w:r>
      <w:r>
        <w:rPr>
          <w:bCs/>
        </w:rPr>
        <w:t>.</w:t>
      </w:r>
    </w:p>
    <w:p w14:paraId="49CF2C51" w14:textId="1E9C6DCE" w:rsidR="00752590" w:rsidRDefault="00752590" w:rsidP="00742F09">
      <w:pPr>
        <w:spacing w:line="360" w:lineRule="auto"/>
        <w:ind w:left="1440" w:hanging="1440"/>
        <w:contextualSpacing/>
        <w:jc w:val="both"/>
      </w:pPr>
    </w:p>
    <w:p w14:paraId="722D2CCF" w14:textId="41AFA5FC" w:rsidR="00752590" w:rsidRPr="00752590" w:rsidRDefault="00752590" w:rsidP="00752590">
      <w:pPr>
        <w:spacing w:line="360" w:lineRule="auto"/>
        <w:ind w:left="1440" w:hanging="1440"/>
        <w:contextualSpacing/>
        <w:jc w:val="both"/>
        <w:rPr>
          <w:b/>
        </w:rPr>
      </w:pPr>
      <w:r>
        <w:rPr>
          <w:b/>
        </w:rPr>
        <w:t>Supplemental References</w:t>
      </w:r>
    </w:p>
    <w:p w14:paraId="621C0C37" w14:textId="5DA6D8A1" w:rsidR="00BE7535" w:rsidRPr="00CE4E1F" w:rsidRDefault="00081556" w:rsidP="00742F09">
      <w:pPr>
        <w:spacing w:line="360" w:lineRule="auto"/>
        <w:ind w:left="1440" w:hanging="1440"/>
        <w:contextualSpacing/>
        <w:jc w:val="both"/>
        <w:rPr>
          <w:b/>
          <w:bCs/>
        </w:rPr>
      </w:pPr>
      <w:r w:rsidRPr="00CE4E1F">
        <w:rPr>
          <w:b/>
          <w:bCs/>
        </w:rPr>
        <w:br w:type="column"/>
      </w:r>
      <w:r w:rsidR="00BE7535" w:rsidRPr="00CE4E1F">
        <w:rPr>
          <w:b/>
          <w:bCs/>
        </w:rPr>
        <w:lastRenderedPageBreak/>
        <w:t>Supplemental Methods</w:t>
      </w:r>
    </w:p>
    <w:p w14:paraId="3C9A95CE" w14:textId="11C5E4CD" w:rsidR="00BE7535" w:rsidRPr="00CE4E1F" w:rsidRDefault="00AE2F75" w:rsidP="00742F09">
      <w:pPr>
        <w:spacing w:line="360" w:lineRule="auto"/>
        <w:contextualSpacing/>
        <w:jc w:val="both"/>
        <w:rPr>
          <w:bCs/>
          <w:i/>
          <w:iCs/>
        </w:rPr>
      </w:pPr>
      <w:r w:rsidRPr="00CE4E1F">
        <w:rPr>
          <w:bCs/>
          <w:i/>
          <w:iCs/>
        </w:rPr>
        <w:t xml:space="preserve">Nucleic acid </w:t>
      </w:r>
      <w:r w:rsidR="00BE7535" w:rsidRPr="00CE4E1F">
        <w:rPr>
          <w:bCs/>
          <w:i/>
          <w:iCs/>
        </w:rPr>
        <w:t>extraction</w:t>
      </w:r>
    </w:p>
    <w:p w14:paraId="6FE759A5" w14:textId="21B15452" w:rsidR="00E82CFB" w:rsidRPr="00CE4E1F" w:rsidRDefault="00E82CFB" w:rsidP="00742F09">
      <w:pPr>
        <w:spacing w:line="360" w:lineRule="auto"/>
        <w:ind w:firstLine="720"/>
        <w:contextualSpacing/>
        <w:jc w:val="both"/>
        <w:rPr>
          <w:bCs/>
          <w:iCs/>
        </w:rPr>
      </w:pPr>
      <w:r w:rsidRPr="00CE4E1F">
        <w:rPr>
          <w:bCs/>
          <w:iCs/>
        </w:rPr>
        <w:t>Frozen meningiomas were mechanically lysed and DNA and RNA were extracted as previously described</w:t>
      </w:r>
      <w:r w:rsidR="00680303" w:rsidRPr="00CE4E1F">
        <w:rPr>
          <w:bCs/>
          <w:iCs/>
        </w:rPr>
        <w:fldChar w:fldCharType="begin" w:fldLock="1"/>
      </w:r>
      <w:r w:rsidR="00680303" w:rsidRPr="00CE4E1F">
        <w:rPr>
          <w:bCs/>
          <w:iCs/>
        </w:rPr>
        <w:instrText>ADDIN CSL_CITATION {"citationItems":[{"id":"ITEM-1","itemData":{"DOI":"10.1038/s41588-022-01061-8","ISSN":"15461718","PMID":"35534562","abstract":"Meningiomas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Genetics","id":"ITEM-1","issue":"5","issued":{"date-parts":[["2022","5","9"]]},"page":"649-659","title":"Meningioma DNA methylation groups identify biological drivers and therapeutic vulnerabilities","type":"article-journal","volume":"54"},"uris":["http://www.mendeley.com/documents/?uuid=703cdae5-1236-49c4-bdb8-590c06b07bcf"]}],"mendeley":{"formattedCitation":"&lt;sup&gt;1&lt;/sup&gt;","plainTextFormattedCitation":"1","previouslyFormattedCitation":"&lt;sup&gt;1&lt;/sup&gt;"},"properties":{"noteIndex":0},"schema":"https://github.com/citation-style-language/schema/raw/master/csl-citation.json"}</w:instrText>
      </w:r>
      <w:r w:rsidR="00680303" w:rsidRPr="00CE4E1F">
        <w:rPr>
          <w:bCs/>
          <w:iCs/>
        </w:rPr>
        <w:fldChar w:fldCharType="separate"/>
      </w:r>
      <w:r w:rsidR="00680303" w:rsidRPr="00CE4E1F">
        <w:rPr>
          <w:bCs/>
          <w:iCs/>
          <w:noProof/>
          <w:vertAlign w:val="superscript"/>
        </w:rPr>
        <w:t>1</w:t>
      </w:r>
      <w:r w:rsidR="00680303" w:rsidRPr="00CE4E1F">
        <w:rPr>
          <w:bCs/>
          <w:iCs/>
        </w:rPr>
        <w:fldChar w:fldCharType="end"/>
      </w:r>
      <w:r w:rsidRPr="00CE4E1F">
        <w:rPr>
          <w:bCs/>
          <w:iCs/>
        </w:rPr>
        <w:t xml:space="preserve">. For FFPE meningiomas processed at UCSF, a 2mm core punch was obtained from tissue blocks. Punches were </w:t>
      </w:r>
      <w:r w:rsidR="0071348A" w:rsidRPr="00CE4E1F">
        <w:rPr>
          <w:bCs/>
          <w:iCs/>
        </w:rPr>
        <w:t>deparaffinized</w:t>
      </w:r>
      <w:r w:rsidRPr="00CE4E1F">
        <w:rPr>
          <w:bCs/>
          <w:iCs/>
        </w:rPr>
        <w:t xml:space="preserve"> using xylene, mechanically lysed using a TissueLyser II according to manufacturer </w:t>
      </w:r>
      <w:r w:rsidR="00D30B05" w:rsidRPr="00CE4E1F">
        <w:rPr>
          <w:bCs/>
          <w:iCs/>
        </w:rPr>
        <w:t>instructions</w:t>
      </w:r>
      <w:r w:rsidRPr="00CE4E1F">
        <w:rPr>
          <w:bCs/>
          <w:iCs/>
        </w:rPr>
        <w:t xml:space="preserve">, </w:t>
      </w:r>
      <w:r w:rsidR="00D30B05" w:rsidRPr="00CE4E1F">
        <w:rPr>
          <w:bCs/>
          <w:iCs/>
        </w:rPr>
        <w:t>and</w:t>
      </w:r>
      <w:r w:rsidRPr="00CE4E1F">
        <w:rPr>
          <w:bCs/>
          <w:iCs/>
        </w:rPr>
        <w:t xml:space="preserve"> DNA and RNA </w:t>
      </w:r>
      <w:r w:rsidR="00D30B05" w:rsidRPr="00CE4E1F">
        <w:rPr>
          <w:bCs/>
          <w:iCs/>
        </w:rPr>
        <w:t xml:space="preserve">was extracted </w:t>
      </w:r>
      <w:r w:rsidRPr="00CE4E1F">
        <w:rPr>
          <w:bCs/>
          <w:iCs/>
        </w:rPr>
        <w:t xml:space="preserve">using the Qiagen QIAmp DNA FFPE Tissue kit (#56404) and RNEasy FFPE kit (#73504), according to manufacturer instructions. DNA and RNA quality and concentration were assessed using a NanoDrop One (Thermo Fisher Scientific). For </w:t>
      </w:r>
      <w:r w:rsidR="00D30B05" w:rsidRPr="00CE4E1F">
        <w:rPr>
          <w:bCs/>
          <w:iCs/>
        </w:rPr>
        <w:t xml:space="preserve">meningiomas </w:t>
      </w:r>
      <w:r w:rsidRPr="00CE4E1F">
        <w:rPr>
          <w:bCs/>
          <w:iCs/>
        </w:rPr>
        <w:t>independently processed at Canopy Biosciences</w:t>
      </w:r>
      <w:r w:rsidR="00E35AD5" w:rsidRPr="00CE4E1F">
        <w:rPr>
          <w:bCs/>
          <w:iCs/>
        </w:rPr>
        <w:t xml:space="preserve"> (Hayward, CA)</w:t>
      </w:r>
      <w:r w:rsidRPr="00CE4E1F">
        <w:rPr>
          <w:bCs/>
          <w:iCs/>
        </w:rPr>
        <w:t xml:space="preserve">, FFPE punches of tumor tissue were deparaffinized with Qiagen Deparaffinization solution (#19093). Tissue samples were lysed and total RNA was extracted </w:t>
      </w:r>
      <w:r w:rsidR="00D30B05" w:rsidRPr="00CE4E1F">
        <w:rPr>
          <w:bCs/>
          <w:iCs/>
        </w:rPr>
        <w:t xml:space="preserve">using </w:t>
      </w:r>
      <w:r w:rsidRPr="00CE4E1F">
        <w:rPr>
          <w:bCs/>
          <w:iCs/>
        </w:rPr>
        <w:t xml:space="preserve">the Roche High Pure FFPE RNA kit (#04823125001). Quality and quantity of RNA eluted from the columns was determined </w:t>
      </w:r>
      <w:r w:rsidR="00D30B05" w:rsidRPr="00CE4E1F">
        <w:rPr>
          <w:bCs/>
          <w:iCs/>
        </w:rPr>
        <w:t xml:space="preserve">using </w:t>
      </w:r>
      <w:r w:rsidRPr="00CE4E1F">
        <w:rPr>
          <w:bCs/>
          <w:iCs/>
        </w:rPr>
        <w:t xml:space="preserve">A260/A280 measurements </w:t>
      </w:r>
      <w:r w:rsidR="00D30B05" w:rsidRPr="00CE4E1F">
        <w:rPr>
          <w:bCs/>
          <w:iCs/>
        </w:rPr>
        <w:t xml:space="preserve">from </w:t>
      </w:r>
      <w:r w:rsidRPr="00CE4E1F">
        <w:rPr>
          <w:bCs/>
          <w:iCs/>
        </w:rPr>
        <w:t xml:space="preserve">a Nanodrop. For </w:t>
      </w:r>
      <w:r w:rsidR="00D30B05" w:rsidRPr="00CE4E1F">
        <w:rPr>
          <w:bCs/>
          <w:iCs/>
        </w:rPr>
        <w:t xml:space="preserve">FFPE meningiomas </w:t>
      </w:r>
      <w:r w:rsidRPr="00CE4E1F">
        <w:rPr>
          <w:bCs/>
          <w:iCs/>
        </w:rPr>
        <w:t>independently processed at Northwestern University</w:t>
      </w:r>
      <w:r w:rsidR="00407474" w:rsidRPr="00CE4E1F">
        <w:rPr>
          <w:bCs/>
          <w:iCs/>
        </w:rPr>
        <w:t xml:space="preserve">, </w:t>
      </w:r>
      <w:r w:rsidR="00D30B05" w:rsidRPr="00CE4E1F">
        <w:rPr>
          <w:bCs/>
          <w:iCs/>
        </w:rPr>
        <w:t xml:space="preserve">6 </w:t>
      </w:r>
      <w:r w:rsidR="00407474" w:rsidRPr="00CE4E1F">
        <w:rPr>
          <w:bCs/>
          <w:iCs/>
        </w:rPr>
        <w:t xml:space="preserve">10-micron curls were sectioned for each tumor and extracted using the Qiagen AllPrep DNA/RNA FFPE Kit (#80234), according to manufacturer instructions. For frozen </w:t>
      </w:r>
      <w:r w:rsidR="00D30B05" w:rsidRPr="00CE4E1F">
        <w:rPr>
          <w:bCs/>
          <w:iCs/>
        </w:rPr>
        <w:t>meningiomas independently processed at Northwestern University</w:t>
      </w:r>
      <w:r w:rsidR="00407474" w:rsidRPr="00CE4E1F">
        <w:rPr>
          <w:bCs/>
          <w:iCs/>
        </w:rPr>
        <w:t xml:space="preserve">, tissue underwent douncing using a Kontes Pellet Pestle (DWK Life Sciences,  #7495200090), followed by disruption using a TissueLyser II (Qiagen, #85300). </w:t>
      </w:r>
      <w:r w:rsidR="00D30B05" w:rsidRPr="00CE4E1F">
        <w:rPr>
          <w:bCs/>
          <w:iCs/>
        </w:rPr>
        <w:t xml:space="preserve">RNA and DNA were </w:t>
      </w:r>
      <w:r w:rsidR="00407474" w:rsidRPr="00CE4E1F">
        <w:rPr>
          <w:bCs/>
          <w:iCs/>
        </w:rPr>
        <w:t xml:space="preserve">subsequently extracted using the Qiagen All Prep mini kit (#80004) according to manufacturer </w:t>
      </w:r>
      <w:r w:rsidR="00D30B05" w:rsidRPr="00CE4E1F">
        <w:rPr>
          <w:bCs/>
          <w:iCs/>
        </w:rPr>
        <w:t>instructions</w:t>
      </w:r>
      <w:r w:rsidR="00407474" w:rsidRPr="00CE4E1F">
        <w:rPr>
          <w:bCs/>
          <w:iCs/>
        </w:rPr>
        <w:t xml:space="preserve">. DNA and RNA were quantified using </w:t>
      </w:r>
      <w:r w:rsidR="00D30B05" w:rsidRPr="00CE4E1F">
        <w:rPr>
          <w:bCs/>
          <w:iCs/>
        </w:rPr>
        <w:t xml:space="preserve">a </w:t>
      </w:r>
      <w:r w:rsidR="00D53007" w:rsidRPr="00CE4E1F">
        <w:rPr>
          <w:bCs/>
        </w:rPr>
        <w:t>Qubit 2.0 Fluorometer (Thermo Scientific)</w:t>
      </w:r>
      <w:r w:rsidR="00407474" w:rsidRPr="00CE4E1F">
        <w:rPr>
          <w:bCs/>
          <w:iCs/>
        </w:rPr>
        <w:t xml:space="preserve">. RNA quality was assessed using Bioanalyzer RNA pico assay chip, including RNA integrity number and fraction of molecules above 300 </w:t>
      </w:r>
      <w:r w:rsidR="0071348A" w:rsidRPr="00CE4E1F">
        <w:rPr>
          <w:bCs/>
          <w:iCs/>
        </w:rPr>
        <w:t>base pairs</w:t>
      </w:r>
      <w:r w:rsidR="00407474" w:rsidRPr="00CE4E1F">
        <w:rPr>
          <w:bCs/>
          <w:iCs/>
        </w:rPr>
        <w:t>.</w:t>
      </w:r>
    </w:p>
    <w:p w14:paraId="55C157B5" w14:textId="77777777" w:rsidR="00E82CFB" w:rsidRPr="00CE4E1F" w:rsidRDefault="00E82CFB" w:rsidP="00742F09">
      <w:pPr>
        <w:spacing w:line="360" w:lineRule="auto"/>
        <w:contextualSpacing/>
        <w:jc w:val="both"/>
        <w:rPr>
          <w:bCs/>
          <w:iCs/>
        </w:rPr>
      </w:pPr>
    </w:p>
    <w:p w14:paraId="487C2CAC" w14:textId="46A037EA" w:rsidR="00BE7535" w:rsidRPr="00CE4E1F" w:rsidRDefault="00BE7535" w:rsidP="00742F09">
      <w:pPr>
        <w:spacing w:line="360" w:lineRule="auto"/>
        <w:contextualSpacing/>
        <w:jc w:val="both"/>
        <w:rPr>
          <w:bCs/>
          <w:i/>
          <w:iCs/>
        </w:rPr>
      </w:pPr>
      <w:r w:rsidRPr="00CE4E1F">
        <w:rPr>
          <w:bCs/>
          <w:i/>
          <w:iCs/>
        </w:rPr>
        <w:t xml:space="preserve">nCounter specifications </w:t>
      </w:r>
      <w:r w:rsidR="00AE2F75" w:rsidRPr="00CE4E1F">
        <w:rPr>
          <w:bCs/>
          <w:i/>
          <w:iCs/>
        </w:rPr>
        <w:t xml:space="preserve">across </w:t>
      </w:r>
      <w:r w:rsidRPr="00CE4E1F">
        <w:rPr>
          <w:bCs/>
          <w:i/>
          <w:iCs/>
        </w:rPr>
        <w:t>lab</w:t>
      </w:r>
      <w:r w:rsidR="00CA5E6E">
        <w:rPr>
          <w:bCs/>
          <w:i/>
          <w:iCs/>
        </w:rPr>
        <w:t>oratorie</w:t>
      </w:r>
      <w:r w:rsidR="00AE2F75" w:rsidRPr="00CE4E1F">
        <w:rPr>
          <w:bCs/>
          <w:i/>
          <w:iCs/>
        </w:rPr>
        <w:t>s</w:t>
      </w:r>
    </w:p>
    <w:p w14:paraId="6965C4FF" w14:textId="1C703EBC" w:rsidR="00753B4F" w:rsidRPr="00CE4E1F" w:rsidRDefault="00753B4F" w:rsidP="00742F09">
      <w:pPr>
        <w:spacing w:line="360" w:lineRule="auto"/>
        <w:ind w:firstLine="720"/>
        <w:contextualSpacing/>
        <w:jc w:val="both"/>
        <w:rPr>
          <w:bCs/>
          <w:iCs/>
        </w:rPr>
      </w:pPr>
      <w:r w:rsidRPr="00CE4E1F">
        <w:rPr>
          <w:bCs/>
          <w:iCs/>
        </w:rPr>
        <w:t xml:space="preserve">For samples processed at the City of Hope </w:t>
      </w:r>
      <w:r w:rsidRPr="00CE4E1F">
        <w:rPr>
          <w:bCs/>
        </w:rPr>
        <w:t xml:space="preserve">Integrative Genomics and Bioinformatics Core (Duarte, CA; UCSF discovery and </w:t>
      </w:r>
      <w:r w:rsidR="00D30B05" w:rsidRPr="00CE4E1F">
        <w:rPr>
          <w:bCs/>
        </w:rPr>
        <w:t xml:space="preserve">The </w:t>
      </w:r>
      <w:r w:rsidRPr="00CE4E1F">
        <w:rPr>
          <w:bCs/>
        </w:rPr>
        <w:t xml:space="preserve">University of Hong Kong </w:t>
      </w:r>
      <w:r w:rsidR="00CA5E6E">
        <w:rPr>
          <w:bCs/>
        </w:rPr>
        <w:t xml:space="preserve">validation </w:t>
      </w:r>
      <w:r w:rsidRPr="00CE4E1F">
        <w:rPr>
          <w:bCs/>
        </w:rPr>
        <w:t>cohorts) and at the UCSF/San Francisco Veterans Affairs Core (San Francisco, CA; UCSF validation, Baylor</w:t>
      </w:r>
      <w:r w:rsidR="00D30B05" w:rsidRPr="00CE4E1F">
        <w:rPr>
          <w:bCs/>
        </w:rPr>
        <w:t xml:space="preserve"> College of </w:t>
      </w:r>
      <w:r w:rsidR="003E1E2F">
        <w:rPr>
          <w:bCs/>
        </w:rPr>
        <w:t>M</w:t>
      </w:r>
      <w:r w:rsidR="00D30B05" w:rsidRPr="00CE4E1F">
        <w:rPr>
          <w:bCs/>
        </w:rPr>
        <w:t>edicine</w:t>
      </w:r>
      <w:r w:rsidR="00CA5E6E">
        <w:rPr>
          <w:bCs/>
        </w:rPr>
        <w:t xml:space="preserve"> validation</w:t>
      </w:r>
      <w:r w:rsidRPr="00CE4E1F">
        <w:rPr>
          <w:bCs/>
        </w:rPr>
        <w:t>, University of Heidelberg</w:t>
      </w:r>
      <w:r w:rsidR="00CA5E6E">
        <w:rPr>
          <w:bCs/>
        </w:rPr>
        <w:t xml:space="preserve"> </w:t>
      </w:r>
      <w:r w:rsidR="003E1E2F">
        <w:rPr>
          <w:bCs/>
        </w:rPr>
        <w:t xml:space="preserve">and Medical University of Vienna </w:t>
      </w:r>
      <w:r w:rsidR="00CA5E6E">
        <w:rPr>
          <w:bCs/>
        </w:rPr>
        <w:t>validation</w:t>
      </w:r>
      <w:r w:rsidRPr="00CE4E1F">
        <w:rPr>
          <w:bCs/>
        </w:rPr>
        <w:t xml:space="preserve">, </w:t>
      </w:r>
      <w:r w:rsidR="00D30B05" w:rsidRPr="00CE4E1F">
        <w:rPr>
          <w:bCs/>
        </w:rPr>
        <w:t xml:space="preserve">and </w:t>
      </w:r>
      <w:r w:rsidRPr="00CE4E1F">
        <w:rPr>
          <w:bCs/>
        </w:rPr>
        <w:t xml:space="preserve">RTOG 0539 </w:t>
      </w:r>
      <w:r w:rsidR="00CA5E6E">
        <w:rPr>
          <w:bCs/>
        </w:rPr>
        <w:t xml:space="preserve">validation </w:t>
      </w:r>
      <w:r w:rsidRPr="00CE4E1F">
        <w:rPr>
          <w:bCs/>
        </w:rPr>
        <w:t xml:space="preserve">cohorts), </w:t>
      </w:r>
      <w:r w:rsidRPr="00CE4E1F">
        <w:rPr>
          <w:bCs/>
          <w:iCs/>
        </w:rPr>
        <w:t xml:space="preserve">200 ng of total RNA </w:t>
      </w:r>
      <w:r w:rsidR="00D30B05" w:rsidRPr="00CE4E1F">
        <w:rPr>
          <w:bCs/>
          <w:iCs/>
        </w:rPr>
        <w:t xml:space="preserve">per sample was </w:t>
      </w:r>
      <w:r w:rsidRPr="00CE4E1F">
        <w:rPr>
          <w:bCs/>
          <w:iCs/>
        </w:rPr>
        <w:t xml:space="preserve">hybridized </w:t>
      </w:r>
      <w:r w:rsidR="00D30B05" w:rsidRPr="00CE4E1F">
        <w:rPr>
          <w:bCs/>
          <w:iCs/>
        </w:rPr>
        <w:t xml:space="preserve">to </w:t>
      </w:r>
      <w:r w:rsidRPr="00CE4E1F">
        <w:rPr>
          <w:bCs/>
          <w:iCs/>
        </w:rPr>
        <w:t>barcoded reporter probes and biotin-conjugated capture probes from a custom codeset targeting genes of interest</w:t>
      </w:r>
      <w:r w:rsidR="00B326E7" w:rsidRPr="00CE4E1F">
        <w:rPr>
          <w:bCs/>
          <w:iCs/>
        </w:rPr>
        <w:t xml:space="preserve"> (Table S1)</w:t>
      </w:r>
      <w:r w:rsidRPr="00CE4E1F">
        <w:rPr>
          <w:bCs/>
          <w:iCs/>
        </w:rPr>
        <w:t xml:space="preserve"> at 65C for 16 hours according to manufacturer instruction. Hybridization </w:t>
      </w:r>
      <w:r w:rsidRPr="00CE4E1F">
        <w:rPr>
          <w:bCs/>
          <w:iCs/>
        </w:rPr>
        <w:lastRenderedPageBreak/>
        <w:t>mixtures were washed and target/probe complexes were purified and bound to streptavidin coated cartridges. Cartridges were scanned on the nCounter Digital Analyzer with a FOV setting of 550. For samples processed at Canopy Biosciences (Hayward, CA) for paired frozen-FFPE validation (N=</w:t>
      </w:r>
      <w:r w:rsidR="002A6019" w:rsidRPr="00CE4E1F">
        <w:rPr>
          <w:bCs/>
          <w:iCs/>
        </w:rPr>
        <w:t>6</w:t>
      </w:r>
      <w:r w:rsidR="004669BD">
        <w:rPr>
          <w:bCs/>
          <w:iCs/>
        </w:rPr>
        <w:t>4</w:t>
      </w:r>
      <w:r w:rsidRPr="00CE4E1F">
        <w:rPr>
          <w:bCs/>
          <w:iCs/>
        </w:rPr>
        <w:t xml:space="preserve"> </w:t>
      </w:r>
      <w:r w:rsidR="0073306A">
        <w:rPr>
          <w:bCs/>
          <w:iCs/>
        </w:rPr>
        <w:t>meningiomas</w:t>
      </w:r>
      <w:r w:rsidRPr="00CE4E1F">
        <w:rPr>
          <w:bCs/>
          <w:iCs/>
        </w:rPr>
        <w:t>), 100 ng of total RNA</w:t>
      </w:r>
      <w:r w:rsidR="00D30B05" w:rsidRPr="00CE4E1F">
        <w:rPr>
          <w:bCs/>
          <w:iCs/>
        </w:rPr>
        <w:t xml:space="preserve"> per sample</w:t>
      </w:r>
      <w:r w:rsidRPr="00CE4E1F">
        <w:rPr>
          <w:bCs/>
          <w:iCs/>
        </w:rPr>
        <w:t xml:space="preserve"> </w:t>
      </w:r>
      <w:r w:rsidR="00D30B05" w:rsidRPr="00CE4E1F">
        <w:rPr>
          <w:bCs/>
          <w:iCs/>
        </w:rPr>
        <w:t xml:space="preserve">was </w:t>
      </w:r>
      <w:r w:rsidRPr="00CE4E1F">
        <w:rPr>
          <w:bCs/>
          <w:iCs/>
        </w:rPr>
        <w:t>hybridized with barcoded reporter probes and biotin-conjugated capture probes targeting genes of interest at 65C for 16 hours according to manufacturer instruction</w:t>
      </w:r>
      <w:r w:rsidR="00E508B7" w:rsidRPr="00CE4E1F">
        <w:rPr>
          <w:bCs/>
          <w:iCs/>
        </w:rPr>
        <w:t>s</w:t>
      </w:r>
      <w:r w:rsidRPr="00CE4E1F">
        <w:rPr>
          <w:bCs/>
          <w:iCs/>
        </w:rPr>
        <w:t xml:space="preserve">.  Hybridization mixtures were washed and target/probe complexes were purified and bound to streptavidin coated cartridges. Cartridges were scanned on the nCounter Digital Analyzer with a FOV setting of 280. For samples extracted and processed independently at Northwestern University, </w:t>
      </w:r>
      <w:r w:rsidR="00D90E8B">
        <w:rPr>
          <w:bCs/>
          <w:iCs/>
        </w:rPr>
        <w:t>c</w:t>
      </w:r>
      <w:r w:rsidR="00407474" w:rsidRPr="00CE4E1F">
        <w:rPr>
          <w:bCs/>
          <w:iCs/>
        </w:rPr>
        <w:t>artridges were scanned on a nCounter SPRINT profiler according to manufacturer instruction</w:t>
      </w:r>
      <w:r w:rsidR="00113FA8" w:rsidRPr="00CE4E1F">
        <w:rPr>
          <w:bCs/>
          <w:iCs/>
        </w:rPr>
        <w:t>s</w:t>
      </w:r>
      <w:r w:rsidR="00407474" w:rsidRPr="00CE4E1F">
        <w:rPr>
          <w:bCs/>
          <w:iCs/>
        </w:rPr>
        <w:t xml:space="preserve">. A minimum of 200 ng of total RNA </w:t>
      </w:r>
      <w:r w:rsidR="00113FA8" w:rsidRPr="00CE4E1F">
        <w:rPr>
          <w:bCs/>
          <w:iCs/>
        </w:rPr>
        <w:t xml:space="preserve">per </w:t>
      </w:r>
      <w:r w:rsidR="005F3E4F">
        <w:rPr>
          <w:bCs/>
          <w:iCs/>
        </w:rPr>
        <w:t>was</w:t>
      </w:r>
      <w:r w:rsidR="005F3E4F" w:rsidRPr="00CE4E1F">
        <w:rPr>
          <w:bCs/>
          <w:iCs/>
        </w:rPr>
        <w:t xml:space="preserve"> </w:t>
      </w:r>
      <w:r w:rsidR="00407474" w:rsidRPr="00CE4E1F">
        <w:rPr>
          <w:bCs/>
          <w:iCs/>
        </w:rPr>
        <w:t xml:space="preserve">loaded for each sample, </w:t>
      </w:r>
      <w:r w:rsidR="001D674D" w:rsidRPr="00CE4E1F">
        <w:rPr>
          <w:bCs/>
          <w:iCs/>
        </w:rPr>
        <w:t xml:space="preserve">and </w:t>
      </w:r>
      <w:r w:rsidR="00407474" w:rsidRPr="00CE4E1F">
        <w:rPr>
          <w:bCs/>
          <w:iCs/>
        </w:rPr>
        <w:t>higher amounts were used in cases where the percentage of RNA fragments &gt; 300bp was less than 25%</w:t>
      </w:r>
      <w:r w:rsidRPr="00CE4E1F">
        <w:rPr>
          <w:bCs/>
          <w:iCs/>
        </w:rPr>
        <w:t>.</w:t>
      </w:r>
      <w:r w:rsidR="00B72944" w:rsidRPr="00CE4E1F">
        <w:rPr>
          <w:bCs/>
          <w:iCs/>
        </w:rPr>
        <w:t xml:space="preserve"> </w:t>
      </w:r>
    </w:p>
    <w:p w14:paraId="54AF9C7E" w14:textId="77777777" w:rsidR="00753B4F" w:rsidRPr="00CE4E1F" w:rsidRDefault="00753B4F" w:rsidP="00742F09">
      <w:pPr>
        <w:spacing w:line="360" w:lineRule="auto"/>
        <w:contextualSpacing/>
        <w:jc w:val="both"/>
        <w:rPr>
          <w:bCs/>
          <w:iCs/>
        </w:rPr>
      </w:pPr>
    </w:p>
    <w:p w14:paraId="15A647C8" w14:textId="7988DFDD" w:rsidR="00BE7535" w:rsidRPr="00CE4E1F" w:rsidRDefault="00AE2F75" w:rsidP="00742F09">
      <w:pPr>
        <w:spacing w:line="360" w:lineRule="auto"/>
        <w:contextualSpacing/>
        <w:jc w:val="both"/>
        <w:rPr>
          <w:bCs/>
          <w:i/>
          <w:iCs/>
        </w:rPr>
      </w:pPr>
      <w:r w:rsidRPr="00CE4E1F">
        <w:rPr>
          <w:bCs/>
          <w:i/>
          <w:iCs/>
        </w:rPr>
        <w:t>N</w:t>
      </w:r>
      <w:r w:rsidR="00BE7535" w:rsidRPr="00CE4E1F">
        <w:rPr>
          <w:bCs/>
          <w:i/>
          <w:iCs/>
        </w:rPr>
        <w:t xml:space="preserve">anostring </w:t>
      </w:r>
      <w:r w:rsidRPr="00CE4E1F">
        <w:rPr>
          <w:bCs/>
          <w:i/>
          <w:iCs/>
        </w:rPr>
        <w:t xml:space="preserve">targeted gene expression </w:t>
      </w:r>
      <w:r w:rsidR="00BE7535" w:rsidRPr="00CE4E1F">
        <w:rPr>
          <w:bCs/>
          <w:i/>
          <w:iCs/>
        </w:rPr>
        <w:t>analysis</w:t>
      </w:r>
    </w:p>
    <w:p w14:paraId="34F18162" w14:textId="1E3928AD" w:rsidR="00160B61" w:rsidRPr="00CE4E1F" w:rsidRDefault="005737FB" w:rsidP="00742F09">
      <w:pPr>
        <w:spacing w:line="360" w:lineRule="auto"/>
        <w:ind w:firstLine="720"/>
        <w:contextualSpacing/>
        <w:jc w:val="both"/>
        <w:rPr>
          <w:bCs/>
        </w:rPr>
      </w:pPr>
      <w:r w:rsidRPr="00CE4E1F">
        <w:rPr>
          <w:bCs/>
        </w:rPr>
        <w:t xml:space="preserve">Targeted gene expression profiling was performed using a hybridization and barcode-based Nanostring panel as described above, with quality control from internal negative and spike-in positive controls. </w:t>
      </w:r>
      <w:r w:rsidR="00B326E7" w:rsidRPr="00CE4E1F">
        <w:rPr>
          <w:bCs/>
          <w:iCs/>
        </w:rPr>
        <w:t xml:space="preserve">Raw Nanostring RCC output files were </w:t>
      </w:r>
      <w:r w:rsidR="00EB21C5" w:rsidRPr="00CE4E1F">
        <w:rPr>
          <w:bCs/>
          <w:iCs/>
        </w:rPr>
        <w:t>pre-</w:t>
      </w:r>
      <w:r w:rsidR="00B326E7" w:rsidRPr="00CE4E1F">
        <w:rPr>
          <w:bCs/>
          <w:iCs/>
        </w:rPr>
        <w:t xml:space="preserve">processed using the nSolver software (v4.0) provided by the manufacturer, following </w:t>
      </w:r>
      <w:r w:rsidR="00EB21C5" w:rsidRPr="00CE4E1F">
        <w:rPr>
          <w:bCs/>
          <w:iCs/>
        </w:rPr>
        <w:t xml:space="preserve">manufacturer </w:t>
      </w:r>
      <w:r w:rsidR="00B326E7" w:rsidRPr="00CE4E1F">
        <w:rPr>
          <w:bCs/>
          <w:iCs/>
        </w:rPr>
        <w:t>recommended procedures</w:t>
      </w:r>
      <w:r w:rsidR="00EB21C5" w:rsidRPr="00CE4E1F">
        <w:rPr>
          <w:bCs/>
          <w:iCs/>
        </w:rPr>
        <w:t xml:space="preserve"> in the software</w:t>
      </w:r>
      <w:r w:rsidR="00B326E7" w:rsidRPr="00CE4E1F">
        <w:rPr>
          <w:bCs/>
          <w:iCs/>
        </w:rPr>
        <w:t xml:space="preserve"> to apply positive control normalization. </w:t>
      </w:r>
      <w:r w:rsidR="001D674D" w:rsidRPr="00CE4E1F">
        <w:rPr>
          <w:bCs/>
          <w:iCs/>
        </w:rPr>
        <w:t>P</w:t>
      </w:r>
      <w:r w:rsidR="00B326E7" w:rsidRPr="00CE4E1F">
        <w:rPr>
          <w:bCs/>
          <w:iCs/>
        </w:rPr>
        <w:t xml:space="preserve">ositive-control normalized counts were standardized by normalization to the geometric mean count of a set of meningioma specific </w:t>
      </w:r>
      <w:r w:rsidR="00FB6498">
        <w:rPr>
          <w:bCs/>
          <w:iCs/>
        </w:rPr>
        <w:t>housekeeping</w:t>
      </w:r>
      <w:r w:rsidR="00FB6498" w:rsidRPr="00CE4E1F">
        <w:rPr>
          <w:bCs/>
          <w:iCs/>
        </w:rPr>
        <w:t xml:space="preserve"> </w:t>
      </w:r>
      <w:r w:rsidR="00B326E7" w:rsidRPr="00CE4E1F">
        <w:rPr>
          <w:bCs/>
          <w:iCs/>
        </w:rPr>
        <w:t>genes (</w:t>
      </w:r>
      <w:r w:rsidR="00B326E7" w:rsidRPr="00CE4E1F">
        <w:rPr>
          <w:bCs/>
          <w:i/>
          <w:iCs/>
        </w:rPr>
        <w:t>ACTB, CASC3, GUSB, KIAA1715, MRPL19, POP4, TTC21B</w:t>
      </w:r>
      <w:r w:rsidR="00B326E7" w:rsidRPr="00CE4E1F">
        <w:rPr>
          <w:bCs/>
          <w:iCs/>
        </w:rPr>
        <w:t>)</w:t>
      </w:r>
      <w:r w:rsidR="00EB21C5" w:rsidRPr="00CE4E1F">
        <w:rPr>
          <w:bCs/>
          <w:iCs/>
        </w:rPr>
        <w:t xml:space="preserve">. This was </w:t>
      </w:r>
      <w:r w:rsidR="00AC3EB9" w:rsidRPr="00CE4E1F">
        <w:rPr>
          <w:bCs/>
          <w:iCs/>
        </w:rPr>
        <w:t>followed by</w:t>
      </w:r>
      <w:r w:rsidR="00B326E7" w:rsidRPr="00CE4E1F">
        <w:rPr>
          <w:bCs/>
          <w:iCs/>
        </w:rPr>
        <w:t xml:space="preserve"> a </w:t>
      </w:r>
      <w:r w:rsidR="00770CB9">
        <w:rPr>
          <w:bCs/>
          <w:iCs/>
        </w:rPr>
        <w:t>l</w:t>
      </w:r>
      <w:r w:rsidR="00B326E7" w:rsidRPr="00CE4E1F">
        <w:rPr>
          <w:bCs/>
          <w:iCs/>
        </w:rPr>
        <w:t>og</w:t>
      </w:r>
      <w:r w:rsidR="00B326E7" w:rsidRPr="003E1E2F">
        <w:rPr>
          <w:bCs/>
          <w:iCs/>
          <w:vertAlign w:val="subscript"/>
        </w:rPr>
        <w:t>2</w:t>
      </w:r>
      <w:r w:rsidR="00B326E7" w:rsidRPr="00CE4E1F">
        <w:rPr>
          <w:bCs/>
          <w:iCs/>
        </w:rPr>
        <w:t xml:space="preserve"> transfor</w:t>
      </w:r>
      <w:r w:rsidR="00AC3EB9" w:rsidRPr="00CE4E1F">
        <w:rPr>
          <w:bCs/>
          <w:iCs/>
        </w:rPr>
        <w:t>m</w:t>
      </w:r>
      <w:r w:rsidR="0048334E" w:rsidRPr="00CE4E1F">
        <w:rPr>
          <w:bCs/>
          <w:iCs/>
        </w:rPr>
        <w:t>ation</w:t>
      </w:r>
      <w:r w:rsidR="00AC3EB9" w:rsidRPr="00CE4E1F">
        <w:rPr>
          <w:bCs/>
          <w:iCs/>
        </w:rPr>
        <w:t>, resulting in</w:t>
      </w:r>
      <w:r w:rsidR="00B326E7" w:rsidRPr="00CE4E1F">
        <w:rPr>
          <w:bCs/>
          <w:iCs/>
        </w:rPr>
        <w:t xml:space="preserve"> </w:t>
      </w:r>
      <w:r w:rsidR="00770CB9">
        <w:rPr>
          <w:bCs/>
          <w:iCs/>
        </w:rPr>
        <w:t>l</w:t>
      </w:r>
      <w:r w:rsidR="00B326E7" w:rsidRPr="00CE4E1F">
        <w:rPr>
          <w:bCs/>
          <w:iCs/>
        </w:rPr>
        <w:t>og</w:t>
      </w:r>
      <w:r w:rsidR="00B326E7" w:rsidRPr="003E1E2F">
        <w:rPr>
          <w:bCs/>
          <w:iCs/>
          <w:vertAlign w:val="subscript"/>
        </w:rPr>
        <w:t>2</w:t>
      </w:r>
      <w:r w:rsidR="00B326E7" w:rsidRPr="00CE4E1F">
        <w:rPr>
          <w:bCs/>
          <w:iCs/>
        </w:rPr>
        <w:t>-transformed, reference gene</w:t>
      </w:r>
      <w:r w:rsidR="00AC3EB9" w:rsidRPr="00CE4E1F">
        <w:rPr>
          <w:bCs/>
          <w:iCs/>
        </w:rPr>
        <w:t>-set</w:t>
      </w:r>
      <w:r w:rsidR="00B326E7" w:rsidRPr="00CE4E1F">
        <w:rPr>
          <w:bCs/>
          <w:iCs/>
        </w:rPr>
        <w:t xml:space="preserve"> normalized counts, which served as </w:t>
      </w:r>
      <w:r w:rsidR="00C7529D">
        <w:rPr>
          <w:bCs/>
          <w:iCs/>
        </w:rPr>
        <w:t xml:space="preserve">the </w:t>
      </w:r>
      <w:r w:rsidR="00B326E7" w:rsidRPr="00CE4E1F">
        <w:rPr>
          <w:bCs/>
          <w:iCs/>
        </w:rPr>
        <w:t xml:space="preserve">input for all subsequent </w:t>
      </w:r>
      <w:r w:rsidR="00C7529D">
        <w:rPr>
          <w:bCs/>
          <w:iCs/>
        </w:rPr>
        <w:t>biomarker</w:t>
      </w:r>
      <w:r w:rsidR="00C7529D" w:rsidRPr="00CE4E1F">
        <w:rPr>
          <w:bCs/>
          <w:iCs/>
        </w:rPr>
        <w:t xml:space="preserve"> </w:t>
      </w:r>
      <w:r w:rsidR="00B326E7" w:rsidRPr="00CE4E1F">
        <w:rPr>
          <w:bCs/>
          <w:iCs/>
        </w:rPr>
        <w:t>development and validation</w:t>
      </w:r>
      <w:r w:rsidR="00C7529D">
        <w:rPr>
          <w:bCs/>
          <w:iCs/>
        </w:rPr>
        <w:t xml:space="preserve"> analyses</w:t>
      </w:r>
      <w:r w:rsidR="00B326E7" w:rsidRPr="00CE4E1F">
        <w:rPr>
          <w:bCs/>
          <w:iCs/>
        </w:rPr>
        <w:t xml:space="preserve">. </w:t>
      </w:r>
      <w:r w:rsidRPr="00CE4E1F">
        <w:rPr>
          <w:bCs/>
        </w:rPr>
        <w:t xml:space="preserve">The ratio of geometric means of </w:t>
      </w:r>
      <w:r w:rsidR="007514E5">
        <w:rPr>
          <w:bCs/>
        </w:rPr>
        <w:t>housekeeping</w:t>
      </w:r>
      <w:r w:rsidR="007514E5" w:rsidRPr="00CE4E1F">
        <w:rPr>
          <w:bCs/>
        </w:rPr>
        <w:t xml:space="preserve"> </w:t>
      </w:r>
      <w:r w:rsidRPr="00CE4E1F">
        <w:rPr>
          <w:bCs/>
        </w:rPr>
        <w:t xml:space="preserve">genes and the spike-in positive controls were used to assess signal adequacy, and meningiomas with a ratio </w:t>
      </w:r>
      <w:r w:rsidRPr="00CE4E1F">
        <w:rPr>
          <w:bCs/>
        </w:rPr>
        <w:sym w:font="Symbol" w:char="F0A3"/>
      </w:r>
      <w:r w:rsidRPr="00CE4E1F">
        <w:rPr>
          <w:bCs/>
        </w:rPr>
        <w:t>0.20 were excluded from analysis</w:t>
      </w:r>
      <w:r w:rsidR="00337FA6">
        <w:rPr>
          <w:bCs/>
        </w:rPr>
        <w:t xml:space="preserve"> (</w:t>
      </w:r>
      <w:r w:rsidR="0073306A">
        <w:rPr>
          <w:bCs/>
        </w:rPr>
        <w:t>N</w:t>
      </w:r>
      <w:r w:rsidR="00337FA6">
        <w:rPr>
          <w:bCs/>
        </w:rPr>
        <w:t>=6</w:t>
      </w:r>
      <w:r w:rsidR="007F05A2">
        <w:rPr>
          <w:bCs/>
        </w:rPr>
        <w:t>9</w:t>
      </w:r>
      <w:r w:rsidR="00337FA6">
        <w:rPr>
          <w:bCs/>
        </w:rPr>
        <w:t xml:space="preserve"> excluded, </w:t>
      </w:r>
      <w:r w:rsidR="00741B47">
        <w:rPr>
          <w:bCs/>
        </w:rPr>
        <w:t>5.</w:t>
      </w:r>
      <w:r w:rsidR="007F05A2">
        <w:rPr>
          <w:bCs/>
        </w:rPr>
        <w:t>7</w:t>
      </w:r>
      <w:r w:rsidR="00741B47">
        <w:rPr>
          <w:bCs/>
        </w:rPr>
        <w:t>%</w:t>
      </w:r>
      <w:r w:rsidR="00EC1AF9">
        <w:rPr>
          <w:bCs/>
        </w:rPr>
        <w:t>;</w:t>
      </w:r>
      <w:r w:rsidR="0073306A">
        <w:rPr>
          <w:bCs/>
        </w:rPr>
        <w:t xml:space="preserve"> </w:t>
      </w:r>
      <w:r w:rsidR="005B5C77">
        <w:rPr>
          <w:bCs/>
        </w:rPr>
        <w:t xml:space="preserve">total </w:t>
      </w:r>
      <w:r w:rsidR="00EC1AF9">
        <w:rPr>
          <w:bCs/>
        </w:rPr>
        <w:t xml:space="preserve">number </w:t>
      </w:r>
      <w:r w:rsidR="0073306A">
        <w:rPr>
          <w:bCs/>
        </w:rPr>
        <w:t xml:space="preserve">of meningiomas analyzed using targeted gene expression profiling = </w:t>
      </w:r>
      <w:r w:rsidR="00361CDB">
        <w:rPr>
          <w:bCs/>
        </w:rPr>
        <w:t>1</w:t>
      </w:r>
      <w:r w:rsidR="007F05A2">
        <w:rPr>
          <w:bCs/>
        </w:rPr>
        <w:t>211</w:t>
      </w:r>
      <w:r w:rsidR="00741B47">
        <w:rPr>
          <w:bCs/>
        </w:rPr>
        <w:t>)</w:t>
      </w:r>
      <w:r w:rsidRPr="00CE4E1F">
        <w:rPr>
          <w:bCs/>
        </w:rPr>
        <w:t xml:space="preserve">. </w:t>
      </w:r>
    </w:p>
    <w:p w14:paraId="5F68F86B" w14:textId="12B928EB" w:rsidR="00A8424A" w:rsidRDefault="00A8424A" w:rsidP="00742F09">
      <w:pPr>
        <w:spacing w:line="360" w:lineRule="auto"/>
        <w:ind w:firstLine="720"/>
        <w:contextualSpacing/>
        <w:jc w:val="both"/>
        <w:rPr>
          <w:bCs/>
          <w:iCs/>
        </w:rPr>
      </w:pPr>
      <w:r w:rsidRPr="00A8424A">
        <w:rPr>
          <w:bCs/>
          <w:iCs/>
        </w:rPr>
        <w:t xml:space="preserve">Meningioma related genes of interest (Table S1) were selected based on prognostic </w:t>
      </w:r>
      <w:r w:rsidR="00361CDB">
        <w:rPr>
          <w:bCs/>
          <w:iCs/>
        </w:rPr>
        <w:t>or</w:t>
      </w:r>
      <w:r w:rsidR="00361CDB" w:rsidRPr="00A8424A">
        <w:rPr>
          <w:bCs/>
          <w:iCs/>
        </w:rPr>
        <w:t xml:space="preserve"> </w:t>
      </w:r>
      <w:r w:rsidRPr="00A8424A">
        <w:rPr>
          <w:bCs/>
          <w:iCs/>
        </w:rPr>
        <w:t>biologic significance in the literature (</w:t>
      </w:r>
      <w:r>
        <w:rPr>
          <w:bCs/>
          <w:iCs/>
        </w:rPr>
        <w:t xml:space="preserve">e.g, </w:t>
      </w:r>
      <w:r w:rsidRPr="00A8424A">
        <w:rPr>
          <w:bCs/>
          <w:i/>
          <w:iCs/>
        </w:rPr>
        <w:t>NF2, PGR, IGF2, ARID1B, NDRG2, CDKN2A, COL1A1, TOP2A, TERT</w:t>
      </w:r>
      <w:r w:rsidR="00623FB6">
        <w:rPr>
          <w:bCs/>
          <w:i/>
          <w:iCs/>
        </w:rPr>
        <w:t xml:space="preserve">, </w:t>
      </w:r>
      <w:r w:rsidR="005318CB" w:rsidRPr="00A8424A">
        <w:rPr>
          <w:bCs/>
          <w:i/>
          <w:iCs/>
        </w:rPr>
        <w:t>CD3E, CCL21, LYVE1, CXCL8</w:t>
      </w:r>
      <w:r w:rsidR="005318CB">
        <w:rPr>
          <w:bCs/>
          <w:i/>
          <w:iCs/>
        </w:rPr>
        <w:t xml:space="preserve">, </w:t>
      </w:r>
      <w:r w:rsidR="00623FB6">
        <w:rPr>
          <w:bCs/>
          <w:i/>
          <w:iCs/>
        </w:rPr>
        <w:t xml:space="preserve">FOXM1, </w:t>
      </w:r>
      <w:r w:rsidR="00623FB6">
        <w:rPr>
          <w:bCs/>
        </w:rPr>
        <w:t>and FOXM1 target genes</w:t>
      </w:r>
      <w:r w:rsidRPr="00A8424A">
        <w:rPr>
          <w:bCs/>
          <w:iCs/>
        </w:rPr>
        <w:t xml:space="preserve">), genes located on chromosome arms </w:t>
      </w:r>
      <w:r w:rsidR="005318CB">
        <w:rPr>
          <w:bCs/>
          <w:iCs/>
        </w:rPr>
        <w:t>that</w:t>
      </w:r>
      <w:r w:rsidR="005318CB" w:rsidRPr="00A8424A">
        <w:rPr>
          <w:bCs/>
          <w:iCs/>
        </w:rPr>
        <w:t xml:space="preserve"> </w:t>
      </w:r>
      <w:r w:rsidRPr="00A8424A">
        <w:rPr>
          <w:bCs/>
          <w:iCs/>
        </w:rPr>
        <w:t>are lost or gained in aggressive meningioma</w:t>
      </w:r>
      <w:r w:rsidR="005318CB">
        <w:rPr>
          <w:bCs/>
          <w:iCs/>
        </w:rPr>
        <w:t>s</w:t>
      </w:r>
      <w:r w:rsidRPr="00A8424A">
        <w:rPr>
          <w:bCs/>
          <w:iCs/>
        </w:rPr>
        <w:t xml:space="preserve"> (</w:t>
      </w:r>
      <w:r>
        <w:rPr>
          <w:bCs/>
          <w:iCs/>
        </w:rPr>
        <w:t>e.g</w:t>
      </w:r>
      <w:r w:rsidRPr="00A8424A">
        <w:rPr>
          <w:bCs/>
          <w:iCs/>
        </w:rPr>
        <w:t xml:space="preserve">, </w:t>
      </w:r>
      <w:r w:rsidRPr="00A8424A">
        <w:rPr>
          <w:bCs/>
          <w:i/>
          <w:iCs/>
        </w:rPr>
        <w:lastRenderedPageBreak/>
        <w:t>LINC02593</w:t>
      </w:r>
      <w:r w:rsidR="005318CB">
        <w:rPr>
          <w:bCs/>
          <w:i/>
          <w:iCs/>
        </w:rPr>
        <w:t xml:space="preserve"> </w:t>
      </w:r>
      <w:r w:rsidR="005318CB">
        <w:rPr>
          <w:bCs/>
        </w:rPr>
        <w:t>and</w:t>
      </w:r>
      <w:r w:rsidRPr="00A8424A">
        <w:rPr>
          <w:bCs/>
          <w:i/>
          <w:iCs/>
        </w:rPr>
        <w:t xml:space="preserve"> MUTYH </w:t>
      </w:r>
      <w:r w:rsidRPr="00635B44">
        <w:rPr>
          <w:bCs/>
        </w:rPr>
        <w:t>on chromosome 1p</w:t>
      </w:r>
      <w:r w:rsidR="005318CB" w:rsidRPr="003D30E9">
        <w:rPr>
          <w:bCs/>
        </w:rPr>
        <w:t>;</w:t>
      </w:r>
      <w:r w:rsidRPr="00A8424A">
        <w:rPr>
          <w:bCs/>
          <w:i/>
          <w:iCs/>
        </w:rPr>
        <w:t xml:space="preserve"> TMEM30B </w:t>
      </w:r>
      <w:r w:rsidRPr="00635B44">
        <w:rPr>
          <w:bCs/>
        </w:rPr>
        <w:t>on chromosome 14q</w:t>
      </w:r>
      <w:r w:rsidR="005318CB" w:rsidRPr="00635B44">
        <w:rPr>
          <w:bCs/>
        </w:rPr>
        <w:t>;</w:t>
      </w:r>
      <w:r w:rsidRPr="00A8424A">
        <w:rPr>
          <w:bCs/>
          <w:i/>
          <w:iCs/>
        </w:rPr>
        <w:t xml:space="preserve"> TOP2A, BIRC5, </w:t>
      </w:r>
      <w:r w:rsidR="005318CB">
        <w:rPr>
          <w:bCs/>
        </w:rPr>
        <w:t xml:space="preserve">and </w:t>
      </w:r>
      <w:r w:rsidRPr="00A8424A">
        <w:rPr>
          <w:bCs/>
          <w:i/>
          <w:iCs/>
        </w:rPr>
        <w:t xml:space="preserve">COL1A1 </w:t>
      </w:r>
      <w:r w:rsidRPr="00635B44">
        <w:rPr>
          <w:bCs/>
        </w:rPr>
        <w:t>on chromosome 17q</w:t>
      </w:r>
      <w:r w:rsidRPr="00A8424A">
        <w:rPr>
          <w:bCs/>
          <w:i/>
          <w:iCs/>
        </w:rPr>
        <w:t xml:space="preserve">, USF1 </w:t>
      </w:r>
      <w:r w:rsidRPr="00635B44">
        <w:rPr>
          <w:bCs/>
        </w:rPr>
        <w:t>on chromosome 1q)</w:t>
      </w:r>
      <w:r w:rsidRPr="00A8424A">
        <w:rPr>
          <w:bCs/>
          <w:iCs/>
        </w:rPr>
        <w:t>, genes correlated with copy number variant burden and chromosomal instability (</w:t>
      </w:r>
      <w:r>
        <w:rPr>
          <w:bCs/>
          <w:iCs/>
        </w:rPr>
        <w:t xml:space="preserve">e.g </w:t>
      </w:r>
      <w:r w:rsidRPr="00A8424A">
        <w:rPr>
          <w:bCs/>
          <w:i/>
          <w:iCs/>
        </w:rPr>
        <w:t xml:space="preserve">FOXM1, CHEK1, AURKA, MCM4, MCM6, MDM4), </w:t>
      </w:r>
      <w:r w:rsidRPr="00A8424A">
        <w:rPr>
          <w:bCs/>
          <w:iCs/>
        </w:rPr>
        <w:t xml:space="preserve">and genes related to </w:t>
      </w:r>
      <w:r w:rsidR="005318CB">
        <w:rPr>
          <w:bCs/>
          <w:iCs/>
        </w:rPr>
        <w:t xml:space="preserve">cell </w:t>
      </w:r>
      <w:r w:rsidRPr="00A8424A">
        <w:rPr>
          <w:bCs/>
          <w:iCs/>
        </w:rPr>
        <w:t xml:space="preserve">stress and </w:t>
      </w:r>
      <w:r w:rsidR="005318CB">
        <w:rPr>
          <w:bCs/>
          <w:iCs/>
        </w:rPr>
        <w:t xml:space="preserve">the </w:t>
      </w:r>
      <w:r w:rsidRPr="00A8424A">
        <w:rPr>
          <w:bCs/>
          <w:iCs/>
        </w:rPr>
        <w:t>DNA damage response (</w:t>
      </w:r>
      <w:r>
        <w:rPr>
          <w:bCs/>
          <w:iCs/>
        </w:rPr>
        <w:t xml:space="preserve">e.g </w:t>
      </w:r>
      <w:r w:rsidRPr="00A8424A">
        <w:rPr>
          <w:bCs/>
          <w:i/>
          <w:iCs/>
        </w:rPr>
        <w:t>RAD51, RAD51C, RACGAP1, SOS2)</w:t>
      </w:r>
      <w:r w:rsidRPr="00A8424A">
        <w:rPr>
          <w:bCs/>
          <w:iCs/>
        </w:rPr>
        <w:t>. Candidate housekeeping genes were identified from the literature</w:t>
      </w:r>
      <w:r w:rsidR="00BC4582">
        <w:rPr>
          <w:bCs/>
          <w:iCs/>
        </w:rPr>
        <w:fldChar w:fldCharType="begin" w:fldLock="1"/>
      </w:r>
      <w:r w:rsidR="00BC4582">
        <w:rPr>
          <w:bCs/>
          <w:iCs/>
        </w:rPr>
        <w:instrText>ADDIN CSL_CITATION {"citationItems":[{"id":"ITEM-1","itemData":{"DOI":"10.1371/journal.pone.0022859","ISSN":"19326203","PMID":"21818400","abstract":"Background: Categorizing protein-encoding transcriptomes of normal tissues into housekeeping genes and tissue-selective genes is a fundamental step toward studies of genetic functions and genetic associations to tissue-specific diseases. Previous studies have been mainly based on a few data sets with limited samples in each tissue, which restrained the representativeness of their identified genes, and resulted in low consensus among them. Results: This study compiled 1,431 samples in 43 normal human tissues from 104 microarray data sets. We developed a new method to improve gene expression assessment, and showed that more than ten samples are needed to robustly identify the protein-encoding transcriptome of a tissue. We identified 2,064 housekeeping genes and 2,293 tissue-selective genes, and analyzed gene lists by functional enrichment analysis. The housekeeping genes are mainly involved in fundamental cellular functions, and the tissue-selective genes are strikingly related to functions and diseases corresponding to tissue-origin. We also compared agreements and related functions among our housekeeping genes and those of previous studies, and pointed out some reasons for the low consensuses. Conclusions: The results indicate that sufficient samples have improved the identification of protein-encoding transcriptome of a tissue. Comprehensive meta-analysis has proved the high quality of our identified HK and TS genes. These results could offer a useful resource for future research on functional and genomic features of HK and TS genes. © 2011 Chang et al.","author":[{"dropping-particle":"","family":"Chang","given":"Cheng Wei","non-dropping-particle":"","parse-names":false,"suffix":""},{"dropping-particle":"","family":"Cheng","given":"Wei Chung","non-dropping-particle":"","parse-names":false,"suffix":""},{"dropping-particle":"","family":"Chen","given":"Chaang Ray","non-dropping-particle":"","parse-names":false,"suffix":""},{"dropping-particle":"","family":"Shu","given":"Wun Yi","non-dropping-particle":"","parse-names":false,"suffix":""},{"dropping-particle":"","family":"Tsai","given":"Min Lung","non-dropping-particle":"","parse-names":false,"suffix":""},{"dropping-particle":"","family":"Huang","given":"Ching Lung","non-dropping-particle":"","parse-names":false,"suffix":""},{"dropping-particle":"","family":"Hsu","given":"Ian C.","non-dropping-particle":"","parse-names":false,"suffix":""}],"container-title":"PLoS ONE","id":"ITEM-1","issued":{"date-parts":[["2011"]]},"title":"Identification of human housekeeping genes and Tissue-Selective genes by microarray Meta-Analysis","type":"article-journal"},"uris":["http://www.mendeley.com/documents/?uuid=e9e355cf-7eb5-4163-bede-b5946758e279"]},{"id":"ITEM-2","itemData":{"DOI":"10.1186/1756-0500-4-275","ISSN":"17560500","abstract":"Findings. At first 32 housekeeping genes were analyzed in six randomly chosen meningiomas, brain and dura mater using geNorm, NormFinder, Bestkeeper-1 software and the comparative Ct method. Reference genes were ranked according to an integration tool for analyzing reference genes expression based on those four algorithms. Eight highest ranked reference genes (CASC3, EIF2B1, IPO8, MRPL19, PGK1, POP4, PPIA, and RPL37A) plus GAPDH and ACTB were then analyzed in 35 meningiomas, arachnoidea, dura mater and normal brain. NormFinder and Bestkeeper-1 identified RPL37A as the most stable expressed gene in meningiomas and their normal control tissue. NormFinder also determined the best combination of genes: RPL37A and EIF2B1. Commonly used reference genes GAPDH and ACTB were considered least stable genes. The critical influence of reference genes on qPCR data analysis is shown for VEGFA transcription patterns. Background: In meningiomas quantitative real-time reverse transcription-polymerase chain reaction (qPCR) is most frequently used for accurate determination of gene expression using various reference genes. Although meningiomas are a heterogeneous group of tissue, no data have been reported to validate reference genes for meningiomas and their control tissues. Conclusions: RPL37A is the optimal single reference gene for normalization of gene expression in meningiomas and their control tissues, although the use of the combination of RPL37A and EIF2B1 would provide more stable results. © 2011 Pfister et al; licensee BioMed Central Ltd.","author":[{"dropping-particle":"","family":"Pfister","given":"Christina","non-dropping-particle":"","parse-names":false,"suffix":""},{"dropping-particle":"","family":"Tatabiga","given":"Marcos S.","non-dropping-particle":"","parse-names":false,"suffix":""},{"dropping-particle":"","family":"Roser","given":"Florian","non-dropping-particle":"","parse-names":false,"suffix":""}],"container-title":"BMC Research Notes","id":"ITEM-2","issued":{"date-parts":[["2011"]]},"title":"Selection of suitable reference genes for quantitative real-time polymerase chain reaction in human meningiomas and arachnoidea","type":"article-journal","volume":"4"},"uris":["http://www.mendeley.com/documents/?uuid=f6289e58-c7e4-4bbe-b860-ab7fe57fd896"]},{"id":"ITEM-3","itemData":{"DOI":"10.1186/1471-2164-7-277","ISSN":"14712164","PMID":"17074078","abstract":"Background: Traditionally, housekeeping and tissue specific genes have been classified using direct assay of mRNA presence across different tissues, but these experiments are costly and the results not easy to compare and reproduce. Results: In this work, a Naive Bayes classifier based only on physical and functional characteristics of genes already available in databases, like exon length and measures of chromatin compactness, has achieved a 97% success rate in classification of human housekeeping genes (93% for mouse and 90% for fruit fly). Conclusion: The newly obtained lists of housekeeping and tissue specific genes adhere to the expected functions and tissue expression patterns for the two classes. Overall, the classifier shows promise, and in the future additional attributes might be included to improve its discriminating power. © 2006 De Ferrari and Aitken; licensee BioMed Central Ltd.","author":[{"dropping-particle":"","family":"Ferrari","given":"Luna","non-dropping-particle":"De","parse-names":false,"suffix":""},{"dropping-particle":"","family":"Aitken","given":"Stuart","non-dropping-particle":"","parse-names":false,"suffix":""}],"container-title":"BMC Genomics","id":"ITEM-3","issued":{"date-parts":[["2006"]]},"title":"Mining housekeeping genes with a Naive Bayes classifier","type":"article-journal"},"uris":["http://www.mendeley.com/documents/?uuid=d33d7f6f-bcf3-47a4-8fd3-e92b4a118126"]}],"mendeley":{"formattedCitation":"&lt;sup&gt;2–4&lt;/sup&gt;","plainTextFormattedCitation":"2–4","previouslyFormattedCitation":"&lt;sup&gt;2–4&lt;/sup&gt;"},"properties":{"noteIndex":0},"schema":"https://github.com/citation-style-language/schema/raw/master/csl-citation.json"}</w:instrText>
      </w:r>
      <w:r w:rsidR="00BC4582">
        <w:rPr>
          <w:bCs/>
          <w:iCs/>
        </w:rPr>
        <w:fldChar w:fldCharType="separate"/>
      </w:r>
      <w:r w:rsidR="00BC4582" w:rsidRPr="00BC4582">
        <w:rPr>
          <w:bCs/>
          <w:iCs/>
          <w:noProof/>
          <w:vertAlign w:val="superscript"/>
        </w:rPr>
        <w:t>2–4</w:t>
      </w:r>
      <w:r w:rsidR="00BC4582">
        <w:rPr>
          <w:bCs/>
          <w:iCs/>
        </w:rPr>
        <w:fldChar w:fldCharType="end"/>
      </w:r>
      <w:r w:rsidRPr="00A8424A">
        <w:rPr>
          <w:bCs/>
          <w:iCs/>
        </w:rPr>
        <w:t>, and narrowed to 7 by curating stable genes with the low</w:t>
      </w:r>
      <w:r w:rsidR="00361CDB">
        <w:rPr>
          <w:bCs/>
          <w:iCs/>
        </w:rPr>
        <w:t>est</w:t>
      </w:r>
      <w:r w:rsidRPr="00A8424A">
        <w:rPr>
          <w:bCs/>
          <w:iCs/>
        </w:rPr>
        <w:t xml:space="preserve"> </w:t>
      </w:r>
      <w:r w:rsidR="00405DA7">
        <w:rPr>
          <w:bCs/>
          <w:iCs/>
        </w:rPr>
        <w:t>variance</w:t>
      </w:r>
      <w:r w:rsidR="00071358">
        <w:rPr>
          <w:bCs/>
          <w:iCs/>
        </w:rPr>
        <w:t xml:space="preserve"> </w:t>
      </w:r>
      <w:r w:rsidRPr="00A8424A">
        <w:rPr>
          <w:bCs/>
          <w:iCs/>
        </w:rPr>
        <w:t>span</w:t>
      </w:r>
      <w:r w:rsidR="00361CDB">
        <w:rPr>
          <w:bCs/>
          <w:iCs/>
        </w:rPr>
        <w:t>ning</w:t>
      </w:r>
      <w:r w:rsidRPr="00A8424A">
        <w:rPr>
          <w:bCs/>
          <w:iCs/>
        </w:rPr>
        <w:t xml:space="preserve"> the full dynamic range of the assay. </w:t>
      </w:r>
      <w:r w:rsidR="00C12BC2">
        <w:rPr>
          <w:bCs/>
          <w:iCs/>
        </w:rPr>
        <w:t>We previously reported a pilot study</w:t>
      </w:r>
      <w:r w:rsidR="000F4EF5">
        <w:rPr>
          <w:bCs/>
          <w:iCs/>
        </w:rPr>
        <w:fldChar w:fldCharType="begin" w:fldLock="1"/>
      </w:r>
      <w:r w:rsidR="000F4EF5">
        <w:rPr>
          <w:bCs/>
          <w:iCs/>
        </w:rPr>
        <w:instrText>ADDIN CSL_CITATION {"citationItems":[{"id":"ITEM-1","itemData":{"DOI":"10.1093/neuros/nyaa355","ISSN":"15244040","PMID":"32860417","abstract":"BACKGROUND: Prognostic markers for meningioma are needed to risk-stratify patients and guide postoperative surveillance and adjuvant therapy. OBJECTIVE: To identify a prognostic gene signature for meningioma recurrence and mortality after resection using targeted gene-expression analysis. METHODS: Targeted gene-expression analysis was used to interrogate a discovery cohort of 96 meningiomas and an independent validation cohort of 56 meningiomas with comprehensive clinical follow-up data from separate institutions. Bioinformatic analysis was used to identify prognostic genes and generate a gene-signature risk score between 0 and 1 for local recurrence. RESULTS: We identified a 36-gene signature of meningioma recurrence after resection that achieved an area under the curve of 0.86 in identifying tumors at risk for adverse clinical outcomes. The gene-signature risk score compared favorably to World Health Organization (WHO) grade in stratifying cases by local freedom from recurrence (LFFR, P&lt;.001 vs .09, log-rank test), shorter time to failure (TTF, F-test, P&lt;.0001), and overall survival (OS, P&lt;.0001 vs .07) and was independently associated with worse LFFR (relative risk [RR] 1.56, 95% CI 1.30-1.90) and OS (RR 1.32, 95% CI 1.07-1.64), after adjusting for clinical covariates. When tested on an independent validation cohort, the gene-signature risk score remained associated with shorter TTF (F-test, P = .002), compared favorably to WHO grade in stratifying cases by OS (P = .003 vs P = .10), and was significantly associated with worse OS (RR 1.86, 95% CI 1.19-2.88) on multivariate analysis. CONCLUSION: The prognostic meningioma gene-expression signature and risk score presented may be useful for identifying patients at risk for recurrence.","author":[{"dropping-particle":"","family":"Chen","given":"William C.","non-dropping-particle":"","parse-names":false,"suffix":""},{"dropping-particle":"","family":"Vasudevan","given":"Harish N.","non-dropping-particle":"","parse-names":false,"suffix":""},{"dropping-particle":"","family":"Choudhury","given":"Abrar","non-dropping-particle":"","parse-names":false,"suffix":""},{"dropping-particle":"","family":"Pekmezci","given":"Melike","non-dropping-particle":"","parse-names":false,"suffix":""},{"dropping-particle":"","family":"Lucas","given":"Calixto Hope G.","non-dropping-particle":"","parse-names":false,"suffix":""},{"dropping-particle":"","family":"Phillips","given":"Joanna","non-dropping-particle":"","parse-names":false,"suffix":""},{"dropping-particle":"","family":"Magill","given":"Stephen T.","non-dropping-particle":"","parse-names":false,"suffix":""},{"dropping-particle":"","family":"Susko","given":"Matthew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Oberheim","non-dropping-particle":"","parse-names":false,"suffix":""},{"dropping-particle":"","family":"Boreta","given":"Lauren","non-dropping-particle":"","parse-names":false,"suffix":""},{"dropping-particle":"","family":"Nakamura","given":"Jean L.","non-dropping-particle":"","parse-names":false,"suffix":""},{"dropping-particle":"","family":"Villanueva-Meyer","given":"Javier E.","non-dropping-particle":"","parse-names":false,"suffix":""},{"dropping-particle":"","family":"Sneed","given":"Penny K.","non-dropping-particle":"","parse-names":false,"suffix":""},{"dropping-particle":"","family":"Perry","given":"Arie","non-dropping-particle":"","parse-names":false,"suffix":""},{"dropping-particle":"","family":"McDermott","given":"Michael W.","non-dropping-particle":"","parse-names":false,"suffix":""},{"dropping-particle":"","family":"Solomon","given":"David A.","non-dropping-particle":"","parse-names":false,"suffix":""},{"dropping-particle":"V.","family":"Theodosopoulos","given":"Philip","non-dropping-particle":"","parse-names":false,"suffix":""},{"dropping-particle":"","family":"Raleigh","given":"David R.","non-dropping-particle":"","parse-names":false,"suffix":""}],"container-title":"Neurosurgery","id":"ITEM-1","issue":"1","issued":{"date-parts":[["2021"]]},"page":"202-210","title":"A prognostic gene-expression signature and risk score for meningioma recurrence after resection","type":"article-journal","volume":"88"},"uris":["http://www.mendeley.com/documents/?uuid=8a39e0cf-e877-44dc-a21d-04a1656417a9"]}],"mendeley":{"formattedCitation":"&lt;sup&gt;5&lt;/sup&gt;","plainTextFormattedCitation":"5","previouslyFormattedCitation":"&lt;sup&gt;5&lt;/sup&gt;"},"properties":{"noteIndex":0},"schema":"https://github.com/citation-style-language/schema/raw/master/csl-citation.json"}</w:instrText>
      </w:r>
      <w:r w:rsidR="000F4EF5">
        <w:rPr>
          <w:bCs/>
          <w:iCs/>
        </w:rPr>
        <w:fldChar w:fldCharType="separate"/>
      </w:r>
      <w:r w:rsidR="000F4EF5" w:rsidRPr="000F4EF5">
        <w:rPr>
          <w:bCs/>
          <w:iCs/>
          <w:noProof/>
          <w:vertAlign w:val="superscript"/>
        </w:rPr>
        <w:t>5</w:t>
      </w:r>
      <w:r w:rsidR="000F4EF5">
        <w:rPr>
          <w:bCs/>
          <w:iCs/>
        </w:rPr>
        <w:fldChar w:fldCharType="end"/>
      </w:r>
      <w:r w:rsidR="00C12BC2">
        <w:rPr>
          <w:bCs/>
          <w:iCs/>
        </w:rPr>
        <w:t xml:space="preserve"> examining the feasibility of targeted gene expression profiling for meningioma. </w:t>
      </w:r>
      <w:r w:rsidR="00B67FC1">
        <w:rPr>
          <w:bCs/>
          <w:iCs/>
        </w:rPr>
        <w:t>Only 9 genes</w:t>
      </w:r>
      <w:r w:rsidR="00C12BC2">
        <w:rPr>
          <w:bCs/>
          <w:iCs/>
        </w:rPr>
        <w:t xml:space="preserve"> overlap</w:t>
      </w:r>
      <w:r w:rsidR="00B67FC1">
        <w:rPr>
          <w:bCs/>
          <w:iCs/>
        </w:rPr>
        <w:t>ped</w:t>
      </w:r>
      <w:r w:rsidR="00C12BC2">
        <w:rPr>
          <w:bCs/>
          <w:iCs/>
        </w:rPr>
        <w:t xml:space="preserve"> between the </w:t>
      </w:r>
      <w:r w:rsidR="00B67FC1">
        <w:rPr>
          <w:bCs/>
          <w:iCs/>
        </w:rPr>
        <w:t>2</w:t>
      </w:r>
      <w:r w:rsidR="00C12BC2">
        <w:rPr>
          <w:bCs/>
          <w:iCs/>
        </w:rPr>
        <w:t xml:space="preserve"> studies, as described in Figure S1.</w:t>
      </w:r>
    </w:p>
    <w:p w14:paraId="198C1D8F" w14:textId="44F9E056" w:rsidR="00872FCF" w:rsidRPr="00CE4E1F" w:rsidRDefault="0048334E" w:rsidP="00742F09">
      <w:pPr>
        <w:spacing w:line="360" w:lineRule="auto"/>
        <w:ind w:firstLine="720"/>
        <w:contextualSpacing/>
        <w:jc w:val="both"/>
      </w:pPr>
      <w:r w:rsidRPr="00CE4E1F">
        <w:rPr>
          <w:bCs/>
          <w:iCs/>
        </w:rPr>
        <w:t>F</w:t>
      </w:r>
      <w:r w:rsidR="00EB21C5" w:rsidRPr="00CE4E1F">
        <w:rPr>
          <w:bCs/>
          <w:iCs/>
        </w:rPr>
        <w:t xml:space="preserve">eature selection from the discovery gene set of 100 meningioma-related genes </w:t>
      </w:r>
      <w:r w:rsidRPr="00CE4E1F">
        <w:rPr>
          <w:bCs/>
          <w:iCs/>
        </w:rPr>
        <w:t xml:space="preserve">(Table S1) </w:t>
      </w:r>
      <w:r w:rsidR="00EB21C5" w:rsidRPr="00CE4E1F">
        <w:rPr>
          <w:bCs/>
          <w:iCs/>
        </w:rPr>
        <w:t xml:space="preserve">was performed using a Lasso regularized Cox regression model with the concordance index (c-index) of local freedom from recurrence as the target endpoint, </w:t>
      </w:r>
      <w:r w:rsidRPr="00CE4E1F">
        <w:rPr>
          <w:bCs/>
          <w:iCs/>
        </w:rPr>
        <w:t xml:space="preserve">which was </w:t>
      </w:r>
      <w:r w:rsidR="00EB21C5" w:rsidRPr="00CE4E1F">
        <w:rPr>
          <w:bCs/>
          <w:iCs/>
        </w:rPr>
        <w:t xml:space="preserve">accomplished </w:t>
      </w:r>
      <w:r w:rsidRPr="00CE4E1F">
        <w:rPr>
          <w:bCs/>
          <w:iCs/>
        </w:rPr>
        <w:t xml:space="preserve">using </w:t>
      </w:r>
      <w:r w:rsidR="00EB21C5" w:rsidRPr="00CE4E1F">
        <w:rPr>
          <w:bCs/>
          <w:iCs/>
        </w:rPr>
        <w:t xml:space="preserve">the </w:t>
      </w:r>
      <w:r w:rsidR="00EB21C5" w:rsidRPr="00361CDB">
        <w:rPr>
          <w:bCs/>
          <w:i/>
          <w:iCs/>
        </w:rPr>
        <w:t>glmnet</w:t>
      </w:r>
      <w:r w:rsidR="00EB21C5" w:rsidRPr="00CE4E1F">
        <w:rPr>
          <w:bCs/>
          <w:iCs/>
        </w:rPr>
        <w:t xml:space="preserve"> and </w:t>
      </w:r>
      <w:r w:rsidR="00EB21C5" w:rsidRPr="00361CDB">
        <w:rPr>
          <w:bCs/>
          <w:i/>
          <w:iCs/>
        </w:rPr>
        <w:t>cv.glmnet</w:t>
      </w:r>
      <w:r w:rsidR="00EB21C5" w:rsidRPr="00CE4E1F">
        <w:rPr>
          <w:bCs/>
          <w:iCs/>
        </w:rPr>
        <w:t xml:space="preserve"> functions from the </w:t>
      </w:r>
      <w:r w:rsidR="00EB21C5" w:rsidRPr="00361CDB">
        <w:rPr>
          <w:bCs/>
          <w:i/>
          <w:iCs/>
        </w:rPr>
        <w:t>glmnet</w:t>
      </w:r>
      <w:r w:rsidR="00EB21C5" w:rsidRPr="00CE4E1F">
        <w:rPr>
          <w:bCs/>
          <w:iCs/>
        </w:rPr>
        <w:t xml:space="preserve"> package in R. Model </w:t>
      </w:r>
      <w:r w:rsidR="00846DF7" w:rsidRPr="00CE4E1F">
        <w:rPr>
          <w:bCs/>
          <w:iCs/>
        </w:rPr>
        <w:t xml:space="preserve">training </w:t>
      </w:r>
      <w:r w:rsidR="00EB21C5" w:rsidRPr="00CE4E1F">
        <w:rPr>
          <w:bCs/>
          <w:iCs/>
        </w:rPr>
        <w:t xml:space="preserve">was </w:t>
      </w:r>
      <w:r w:rsidRPr="00CE4E1F">
        <w:rPr>
          <w:bCs/>
          <w:iCs/>
        </w:rPr>
        <w:t xml:space="preserve">performed using </w:t>
      </w:r>
      <w:r w:rsidR="00EB21C5" w:rsidRPr="00CE4E1F">
        <w:rPr>
          <w:bCs/>
          <w:iCs/>
        </w:rPr>
        <w:t xml:space="preserve">10-fold cross validation within the </w:t>
      </w:r>
      <w:r w:rsidRPr="00CE4E1F">
        <w:rPr>
          <w:bCs/>
          <w:iCs/>
        </w:rPr>
        <w:t xml:space="preserve">UCSF </w:t>
      </w:r>
      <w:r w:rsidR="00EB21C5" w:rsidRPr="00CE4E1F">
        <w:rPr>
          <w:bCs/>
          <w:iCs/>
        </w:rPr>
        <w:t>discovery cohort (N=173)</w:t>
      </w:r>
      <w:r w:rsidR="00846DF7" w:rsidRPr="00CE4E1F">
        <w:rPr>
          <w:bCs/>
          <w:iCs/>
        </w:rPr>
        <w:t>.</w:t>
      </w:r>
      <w:r w:rsidR="00EB21C5" w:rsidRPr="00CE4E1F">
        <w:rPr>
          <w:bCs/>
          <w:iCs/>
        </w:rPr>
        <w:t xml:space="preserve"> </w:t>
      </w:r>
      <w:r w:rsidR="00846DF7" w:rsidRPr="00CE4E1F">
        <w:rPr>
          <w:bCs/>
          <w:iCs/>
        </w:rPr>
        <w:t>A</w:t>
      </w:r>
      <w:r w:rsidR="00EB21C5" w:rsidRPr="00CE4E1F">
        <w:rPr>
          <w:bCs/>
          <w:iCs/>
        </w:rPr>
        <w:t xml:space="preserve">n optimal set of 34 genes was identified </w:t>
      </w:r>
      <w:r w:rsidR="00EB21C5" w:rsidRPr="00CE4E1F">
        <w:t xml:space="preserve">within 1 standard error of the model achieving maximal c-index to reduce over-fitting. A risk metric was calculated for each tumor, defined as the product of the Lasso regression coefficients and the normalized counts. This metric was linearly rescaled between 0 and 1 based on minimum and maximum values in the discovery dataset, resulting in a highly discriminatory set of risk scores within the discovery cohort (LFFR c-index 0.89, Figure S1). To further reduce over-fitting and to facilitate re-calibration of the model for data derived from different tissue sources (FFPE) </w:t>
      </w:r>
      <w:r w:rsidR="00770CB9">
        <w:t>or from different approaches for</w:t>
      </w:r>
      <w:r w:rsidR="00770CB9" w:rsidRPr="00CE4E1F">
        <w:t xml:space="preserve"> </w:t>
      </w:r>
      <w:r w:rsidR="00EB21C5" w:rsidRPr="00CE4E1F">
        <w:t>RNA quantification (RNA sequencing</w:t>
      </w:r>
      <w:r w:rsidR="00770CB9">
        <w:t>, microarray</w:t>
      </w:r>
      <w:r w:rsidR="00EB21C5" w:rsidRPr="00CE4E1F">
        <w:t>), bootstrap aggregation</w:t>
      </w:r>
      <w:r w:rsidR="00680303" w:rsidRPr="00CE4E1F">
        <w:fldChar w:fldCharType="begin" w:fldLock="1"/>
      </w:r>
      <w:r w:rsidR="000F4EF5">
        <w:instrText>ADDIN CSL_CITATION {"citationItems":[{"id":"ITEM-1","itemData":{"ISBN":"0885-6125","ISSN":"0885-6125","PMID":"17634459","abstract":"Abstract Bagging predictors is a method for generating multiple versions of a predictor and using these to get an aggregated predictor . The aggregation averages over the versions when predicting a numerical outcome and does a plurality vote when predicting a class. ... \\n","author":[{"dropping-particle":"","family":"Breiman","given":"L","non-dropping-particle":"","parse-names":false,"suffix":""}],"container-title":"Machine learning","id":"ITEM-1","issue":"24","issued":{"date-parts":[["1996"]]},"page":"123-140","title":"Bagging predictors - Springer","type":"article-journal"},"uris":["http://www.mendeley.com/documents/?uuid=505161e0-a490-480c-b666-730d5653fc4c"]}],"mendeley":{"formattedCitation":"&lt;sup&gt;6&lt;/sup&gt;","plainTextFormattedCitation":"6","previouslyFormattedCitation":"&lt;sup&gt;6&lt;/sup&gt;"},"properties":{"noteIndex":0},"schema":"https://github.com/citation-style-language/schema/raw/master/csl-citation.json"}</w:instrText>
      </w:r>
      <w:r w:rsidR="00680303" w:rsidRPr="00CE4E1F">
        <w:fldChar w:fldCharType="separate"/>
      </w:r>
      <w:r w:rsidR="000F4EF5" w:rsidRPr="000F4EF5">
        <w:rPr>
          <w:noProof/>
          <w:vertAlign w:val="superscript"/>
        </w:rPr>
        <w:t>6</w:t>
      </w:r>
      <w:r w:rsidR="00680303" w:rsidRPr="00CE4E1F">
        <w:fldChar w:fldCharType="end"/>
      </w:r>
      <w:r w:rsidR="00EB21C5" w:rsidRPr="00CE4E1F">
        <w:t xml:space="preserve"> was used to train 500 ridge-regression sub-models using normalized and log-transformed gene counts at hand as input and discovery cohort (N=173) risk scores between 0 and 1 as target variables. This procedure nominates a bootstrap aggregated risk score for each tumor defined as the arithmetic mean across sub-model risk scores, and was applied for all validation cohorts. </w:t>
      </w:r>
    </w:p>
    <w:p w14:paraId="7C14B5C7" w14:textId="64636D86" w:rsidR="002817D9" w:rsidRPr="00CE4E1F" w:rsidRDefault="00EB21C5" w:rsidP="00742F09">
      <w:pPr>
        <w:spacing w:line="360" w:lineRule="auto"/>
        <w:ind w:firstLine="720"/>
        <w:contextualSpacing/>
        <w:jc w:val="both"/>
      </w:pPr>
      <w:r w:rsidRPr="00CE4E1F">
        <w:t xml:space="preserve">Risk score cutoffs were determined </w:t>
      </w:r>
      <w:r w:rsidR="0048334E" w:rsidRPr="00CE4E1F">
        <w:t xml:space="preserve">using a </w:t>
      </w:r>
      <w:r w:rsidR="00EF06AA" w:rsidRPr="00CE4E1F">
        <w:t xml:space="preserve">nested </w:t>
      </w:r>
      <w:r w:rsidRPr="00CE4E1F">
        <w:t>procedure</w:t>
      </w:r>
      <w:r w:rsidR="0048334E" w:rsidRPr="00CE4E1F">
        <w:t>.</w:t>
      </w:r>
      <w:r w:rsidRPr="00CE4E1F">
        <w:t xml:space="preserve"> </w:t>
      </w:r>
      <w:r w:rsidR="0048334E" w:rsidRPr="00CE4E1F">
        <w:t>A</w:t>
      </w:r>
      <w:r w:rsidRPr="00CE4E1F">
        <w:t xml:space="preserve">n initial cutoff was determined </w:t>
      </w:r>
      <w:r w:rsidR="00B5744B">
        <w:t>in</w:t>
      </w:r>
      <w:r w:rsidR="00B5744B" w:rsidRPr="00CE4E1F">
        <w:t xml:space="preserve"> </w:t>
      </w:r>
      <w:r w:rsidRPr="00CE4E1F">
        <w:t xml:space="preserve">the discovery cohort using the maximally selected rank statistic via the </w:t>
      </w:r>
      <w:r w:rsidRPr="00361CDB">
        <w:rPr>
          <w:i/>
        </w:rPr>
        <w:t>surv_cutpoint</w:t>
      </w:r>
      <w:r w:rsidRPr="00CE4E1F">
        <w:t xml:space="preserve"> function in the </w:t>
      </w:r>
      <w:r w:rsidRPr="00361CDB">
        <w:rPr>
          <w:i/>
        </w:rPr>
        <w:t>survminer</w:t>
      </w:r>
      <w:r w:rsidRPr="00CE4E1F">
        <w:t xml:space="preserve"> package in R. </w:t>
      </w:r>
      <w:r w:rsidR="0048334E" w:rsidRPr="00CE4E1F">
        <w:t>T</w:t>
      </w:r>
      <w:r w:rsidRPr="00CE4E1F">
        <w:t xml:space="preserve">he subsets </w:t>
      </w:r>
      <w:r w:rsidR="00510342">
        <w:t>a</w:t>
      </w:r>
      <w:r w:rsidRPr="00CE4E1F">
        <w:t xml:space="preserve">bove and below this threshold were again split by maximally selected rank statistic. The lowest risk </w:t>
      </w:r>
      <w:r w:rsidR="0048334E" w:rsidRPr="00CE4E1F">
        <w:t xml:space="preserve">score </w:t>
      </w:r>
      <w:r w:rsidRPr="00CE4E1F">
        <w:t xml:space="preserve">group was considered </w:t>
      </w:r>
      <w:r w:rsidR="00FD5353">
        <w:t>low risk</w:t>
      </w:r>
      <w:r w:rsidRPr="00CE4E1F">
        <w:t xml:space="preserve"> (LFFR cutoff </w:t>
      </w:r>
      <w:r w:rsidR="005318CB">
        <w:rPr>
          <w:rFonts w:ascii="Arial" w:hAnsi="Arial" w:cs="Arial"/>
          <w:bCs/>
          <w:sz w:val="22"/>
          <w:szCs w:val="22"/>
        </w:rPr>
        <w:sym w:font="Symbol" w:char="F0A3"/>
      </w:r>
      <w:r w:rsidRPr="00CE4E1F">
        <w:t xml:space="preserve">0.3760769, OS cutoff </w:t>
      </w:r>
      <w:r w:rsidR="005318CB">
        <w:rPr>
          <w:rFonts w:ascii="Arial" w:hAnsi="Arial" w:cs="Arial"/>
          <w:bCs/>
          <w:sz w:val="22"/>
          <w:szCs w:val="22"/>
        </w:rPr>
        <w:sym w:font="Symbol" w:char="F0A3"/>
      </w:r>
      <w:r w:rsidRPr="00CE4E1F">
        <w:t xml:space="preserve">0.4206913), and the highest risk </w:t>
      </w:r>
      <w:r w:rsidR="0048334E" w:rsidRPr="00CE4E1F">
        <w:t xml:space="preserve">score </w:t>
      </w:r>
      <w:r w:rsidRPr="00CE4E1F">
        <w:t xml:space="preserve">group was </w:t>
      </w:r>
      <w:r w:rsidRPr="00CE4E1F">
        <w:lastRenderedPageBreak/>
        <w:t xml:space="preserve">considered </w:t>
      </w:r>
      <w:r w:rsidR="00FD5353">
        <w:t>high risk</w:t>
      </w:r>
      <w:r w:rsidRPr="00CE4E1F">
        <w:t xml:space="preserve"> (LFFR cutoff &gt;0.5651741, OS cutoff &gt;0.6453035)</w:t>
      </w:r>
      <w:r w:rsidR="0048334E" w:rsidRPr="00CE4E1F">
        <w:t>. T</w:t>
      </w:r>
      <w:r w:rsidRPr="00CE4E1F">
        <w:t xml:space="preserve">he </w:t>
      </w:r>
      <w:r w:rsidR="00960C5C">
        <w:rPr>
          <w:bCs/>
          <w:iCs/>
        </w:rPr>
        <w:t>intervening</w:t>
      </w:r>
      <w:r w:rsidR="00960C5C" w:rsidRPr="00481E28">
        <w:rPr>
          <w:bCs/>
          <w:iCs/>
        </w:rPr>
        <w:t xml:space="preserve"> </w:t>
      </w:r>
      <w:r w:rsidRPr="00CE4E1F">
        <w:t xml:space="preserve">risk </w:t>
      </w:r>
      <w:r w:rsidR="0048334E" w:rsidRPr="00CE4E1F">
        <w:t xml:space="preserve">score </w:t>
      </w:r>
      <w:r w:rsidRPr="00CE4E1F">
        <w:t xml:space="preserve">groups were combined as </w:t>
      </w:r>
      <w:r w:rsidR="00832CB1">
        <w:t>i</w:t>
      </w:r>
      <w:r w:rsidR="00FD5353">
        <w:t>ntermediate risk</w:t>
      </w:r>
      <w:r w:rsidRPr="00CE4E1F">
        <w:t xml:space="preserve"> (LFFR cutoff </w:t>
      </w:r>
      <w:r w:rsidR="0081770B">
        <w:t>(</w:t>
      </w:r>
      <w:r w:rsidRPr="00CE4E1F">
        <w:t xml:space="preserve">0.3760769, 0.5651741], OS cutoff </w:t>
      </w:r>
      <w:r w:rsidR="0081770B">
        <w:t>(</w:t>
      </w:r>
      <w:r w:rsidRPr="00CE4E1F">
        <w:t>0.4206913, 0.6453035]). All model training, calibration, and cutoff determination was performed in the discovery cohort (N=173), and models and cutoff</w:t>
      </w:r>
      <w:r w:rsidR="0048334E" w:rsidRPr="00CE4E1F">
        <w:t>s</w:t>
      </w:r>
      <w:r w:rsidRPr="00CE4E1F">
        <w:t xml:space="preserve"> were locked and applied to </w:t>
      </w:r>
      <w:r w:rsidR="0048334E" w:rsidRPr="00CE4E1F">
        <w:t xml:space="preserve">all analytical and clinical </w:t>
      </w:r>
      <w:r w:rsidRPr="00CE4E1F">
        <w:t xml:space="preserve">validation cohorts without </w:t>
      </w:r>
      <w:r w:rsidR="00832CB1">
        <w:t>alteration</w:t>
      </w:r>
      <w:r w:rsidRPr="00CE4E1F">
        <w:t xml:space="preserve">. </w:t>
      </w:r>
    </w:p>
    <w:p w14:paraId="2212DC2B" w14:textId="77777777" w:rsidR="00B326E7" w:rsidRPr="00CE4E1F" w:rsidRDefault="00B326E7" w:rsidP="00742F09">
      <w:pPr>
        <w:spacing w:line="360" w:lineRule="auto"/>
        <w:contextualSpacing/>
        <w:jc w:val="both"/>
        <w:rPr>
          <w:bCs/>
          <w:iCs/>
        </w:rPr>
      </w:pPr>
    </w:p>
    <w:p w14:paraId="2CA70FE8" w14:textId="5A1F4000" w:rsidR="00BE7535" w:rsidRPr="00CE4E1F" w:rsidRDefault="00AE2F75" w:rsidP="00742F09">
      <w:pPr>
        <w:spacing w:line="360" w:lineRule="auto"/>
        <w:contextualSpacing/>
        <w:jc w:val="both"/>
        <w:rPr>
          <w:bCs/>
          <w:i/>
          <w:iCs/>
        </w:rPr>
      </w:pPr>
      <w:r w:rsidRPr="00CE4E1F">
        <w:rPr>
          <w:bCs/>
          <w:i/>
          <w:iCs/>
        </w:rPr>
        <w:t>Clinical data</w:t>
      </w:r>
      <w:r w:rsidR="00E90BA6" w:rsidRPr="00CE4E1F">
        <w:rPr>
          <w:bCs/>
          <w:i/>
          <w:iCs/>
        </w:rPr>
        <w:t xml:space="preserve"> from retrospective </w:t>
      </w:r>
      <w:r w:rsidR="009F5517" w:rsidRPr="00CE4E1F">
        <w:rPr>
          <w:bCs/>
          <w:i/>
          <w:iCs/>
        </w:rPr>
        <w:t xml:space="preserve">discovery and validation </w:t>
      </w:r>
      <w:r w:rsidR="00915EDE">
        <w:rPr>
          <w:bCs/>
          <w:i/>
          <w:iCs/>
        </w:rPr>
        <w:t xml:space="preserve">cohort </w:t>
      </w:r>
      <w:r w:rsidR="009F5517" w:rsidRPr="00CE4E1F">
        <w:rPr>
          <w:bCs/>
          <w:i/>
          <w:iCs/>
        </w:rPr>
        <w:t>meningiomas</w:t>
      </w:r>
    </w:p>
    <w:p w14:paraId="535CE4A8" w14:textId="6B8462CF" w:rsidR="0057148A" w:rsidRPr="00CE4E1F" w:rsidRDefault="005C3A0E" w:rsidP="00742F09">
      <w:pPr>
        <w:spacing w:line="360" w:lineRule="auto"/>
        <w:ind w:firstLine="720"/>
        <w:contextualSpacing/>
        <w:jc w:val="both"/>
        <w:rPr>
          <w:bCs/>
        </w:rPr>
      </w:pPr>
      <w:r w:rsidRPr="00CE4E1F">
        <w:rPr>
          <w:bCs/>
        </w:rPr>
        <w:t>A retrospective discovery cohort of frozen meningiomas (</w:t>
      </w:r>
      <w:r w:rsidR="00F16C73">
        <w:rPr>
          <w:bCs/>
        </w:rPr>
        <w:t>N</w:t>
      </w:r>
      <w:r w:rsidRPr="00CE4E1F">
        <w:rPr>
          <w:bCs/>
        </w:rPr>
        <w:t>=173, Table S2)</w:t>
      </w:r>
      <w:r w:rsidR="00F16C73">
        <w:rPr>
          <w:bCs/>
        </w:rPr>
        <w:t xml:space="preserve"> that were</w:t>
      </w:r>
      <w:r w:rsidRPr="00CE4E1F">
        <w:rPr>
          <w:bCs/>
        </w:rPr>
        <w:t xml:space="preserve"> resected from 1991 to 2016 was identified from an institutional biorepository and clinical database at </w:t>
      </w:r>
      <w:r w:rsidR="00F16C73">
        <w:rPr>
          <w:bCs/>
        </w:rPr>
        <w:t>UCSF</w:t>
      </w:r>
      <w:r w:rsidRPr="00CE4E1F">
        <w:rPr>
          <w:bCs/>
        </w:rPr>
        <w:t xml:space="preserve">, with an emphasis on high-grade meningiomas and low-grade meningiomas with long clinical </w:t>
      </w:r>
      <w:r w:rsidR="008A321E">
        <w:rPr>
          <w:bCs/>
        </w:rPr>
        <w:t>follow up</w:t>
      </w:r>
      <w:r w:rsidRPr="00CE4E1F">
        <w:rPr>
          <w:bCs/>
        </w:rPr>
        <w:t xml:space="preserve">. </w:t>
      </w:r>
      <w:r w:rsidRPr="00CE4E1F">
        <w:rPr>
          <w:color w:val="000000" w:themeColor="text1"/>
        </w:rPr>
        <w:t>All WHO grade 2 and grade 3 meningiomas with available frozen samples were included (</w:t>
      </w:r>
      <w:r w:rsidR="00F16C73">
        <w:rPr>
          <w:color w:val="000000" w:themeColor="text1"/>
        </w:rPr>
        <w:t>N</w:t>
      </w:r>
      <w:r w:rsidRPr="00CE4E1F">
        <w:rPr>
          <w:color w:val="000000" w:themeColor="text1"/>
        </w:rPr>
        <w:t xml:space="preserve">=90). For WHO grade 1 meningiomas, frozen samples in the tissue bank were cross-referenced for clinical </w:t>
      </w:r>
      <w:r w:rsidR="008A321E">
        <w:rPr>
          <w:color w:val="000000" w:themeColor="text1"/>
        </w:rPr>
        <w:t>follow up</w:t>
      </w:r>
      <w:r w:rsidRPr="00CE4E1F">
        <w:rPr>
          <w:color w:val="000000" w:themeColor="text1"/>
        </w:rPr>
        <w:t xml:space="preserve"> data from a retrospective institutional meningioma clinical outcomes database, and all cases with available frozen tissue and clinical </w:t>
      </w:r>
      <w:r w:rsidR="008A321E">
        <w:rPr>
          <w:color w:val="000000" w:themeColor="text1"/>
        </w:rPr>
        <w:t>follow up</w:t>
      </w:r>
      <w:r w:rsidRPr="00CE4E1F">
        <w:rPr>
          <w:color w:val="000000" w:themeColor="text1"/>
        </w:rPr>
        <w:t xml:space="preserve"> greater than 10 years were included (</w:t>
      </w:r>
      <w:r w:rsidR="00F16C73">
        <w:rPr>
          <w:color w:val="000000" w:themeColor="text1"/>
        </w:rPr>
        <w:t>N</w:t>
      </w:r>
      <w:r w:rsidRPr="00CE4E1F">
        <w:rPr>
          <w:color w:val="000000" w:themeColor="text1"/>
        </w:rPr>
        <w:t xml:space="preserve">=23). The remaining cases in the discovery cohort were comprised of WHO grade 1 meningiomas with available frozen tissue and the longest possible clinical </w:t>
      </w:r>
      <w:r w:rsidR="008A321E">
        <w:rPr>
          <w:color w:val="000000" w:themeColor="text1"/>
        </w:rPr>
        <w:t>follow up</w:t>
      </w:r>
      <w:r w:rsidRPr="00CE4E1F">
        <w:rPr>
          <w:color w:val="000000" w:themeColor="text1"/>
        </w:rPr>
        <w:t xml:space="preserve"> (</w:t>
      </w:r>
      <w:r w:rsidR="009252ED">
        <w:rPr>
          <w:color w:val="000000" w:themeColor="text1"/>
        </w:rPr>
        <w:t>N</w:t>
      </w:r>
      <w:r w:rsidRPr="00CE4E1F">
        <w:rPr>
          <w:color w:val="000000" w:themeColor="text1"/>
        </w:rPr>
        <w:t xml:space="preserve">=60, median </w:t>
      </w:r>
      <w:r w:rsidR="008A321E">
        <w:rPr>
          <w:color w:val="000000" w:themeColor="text1"/>
        </w:rPr>
        <w:t>follow up</w:t>
      </w:r>
      <w:r w:rsidRPr="00CE4E1F">
        <w:rPr>
          <w:color w:val="000000" w:themeColor="text1"/>
        </w:rPr>
        <w:t xml:space="preserve"> 5.1 years). </w:t>
      </w:r>
      <w:r w:rsidRPr="00CE4E1F">
        <w:rPr>
          <w:bCs/>
        </w:rPr>
        <w:t>A retrospective validation cohort of consecutive frozen meningiomas (</w:t>
      </w:r>
      <w:r w:rsidR="009252ED">
        <w:rPr>
          <w:bCs/>
        </w:rPr>
        <w:t>N</w:t>
      </w:r>
      <w:r w:rsidRPr="00CE4E1F">
        <w:rPr>
          <w:bCs/>
        </w:rPr>
        <w:t>=339</w:t>
      </w:r>
      <w:r w:rsidR="009252ED">
        <w:rPr>
          <w:bCs/>
        </w:rPr>
        <w:t xml:space="preserve">, </w:t>
      </w:r>
      <w:r w:rsidR="009252ED" w:rsidRPr="00CE4E1F">
        <w:rPr>
          <w:bCs/>
        </w:rPr>
        <w:t>Table S</w:t>
      </w:r>
      <w:r w:rsidR="009252ED">
        <w:rPr>
          <w:bCs/>
        </w:rPr>
        <w:t>5</w:t>
      </w:r>
      <w:r w:rsidRPr="00CE4E1F">
        <w:rPr>
          <w:bCs/>
        </w:rPr>
        <w:t xml:space="preserve">) </w:t>
      </w:r>
      <w:r w:rsidR="009252ED">
        <w:rPr>
          <w:bCs/>
        </w:rPr>
        <w:t xml:space="preserve">that were </w:t>
      </w:r>
      <w:r w:rsidRPr="00CE4E1F">
        <w:rPr>
          <w:bCs/>
        </w:rPr>
        <w:t xml:space="preserve">resected from 2000 to 2019 </w:t>
      </w:r>
      <w:r w:rsidR="009252ED">
        <w:rPr>
          <w:bCs/>
        </w:rPr>
        <w:t>were</w:t>
      </w:r>
      <w:r w:rsidR="009252ED" w:rsidRPr="00CE4E1F">
        <w:rPr>
          <w:bCs/>
        </w:rPr>
        <w:t xml:space="preserve"> </w:t>
      </w:r>
      <w:r w:rsidRPr="00CE4E1F">
        <w:rPr>
          <w:bCs/>
        </w:rPr>
        <w:t xml:space="preserve">identified from an institutional biorepository at </w:t>
      </w:r>
      <w:r w:rsidR="009252ED">
        <w:rPr>
          <w:bCs/>
        </w:rPr>
        <w:t>T</w:t>
      </w:r>
      <w:r w:rsidRPr="00CE4E1F">
        <w:rPr>
          <w:bCs/>
        </w:rPr>
        <w:t xml:space="preserve">he University of Hong Kong. </w:t>
      </w:r>
      <w:r w:rsidR="009252ED">
        <w:rPr>
          <w:bCs/>
        </w:rPr>
        <w:t xml:space="preserve">Clinical data, DNA methylation profiles, and RNA sequencing </w:t>
      </w:r>
      <w:r w:rsidR="00973050">
        <w:rPr>
          <w:bCs/>
        </w:rPr>
        <w:t xml:space="preserve">from </w:t>
      </w:r>
      <w:r w:rsidR="009252ED">
        <w:rPr>
          <w:bCs/>
        </w:rPr>
        <w:t>UCSF discovery</w:t>
      </w:r>
      <w:r w:rsidR="0030193C">
        <w:rPr>
          <w:bCs/>
        </w:rPr>
        <w:t xml:space="preserve"> cohort and The University </w:t>
      </w:r>
      <w:r w:rsidR="00973050">
        <w:rPr>
          <w:bCs/>
        </w:rPr>
        <w:t>of Hong Kong v</w:t>
      </w:r>
      <w:r w:rsidR="0030193C">
        <w:rPr>
          <w:bCs/>
        </w:rPr>
        <w:t xml:space="preserve">alidation cohort </w:t>
      </w:r>
      <w:r w:rsidR="009252ED">
        <w:rPr>
          <w:bCs/>
        </w:rPr>
        <w:t xml:space="preserve"> meningiomas were previously reported</w:t>
      </w:r>
      <w:r w:rsidR="00404F7B">
        <w:rPr>
          <w:bCs/>
        </w:rPr>
        <w:fldChar w:fldCharType="begin" w:fldLock="1"/>
      </w:r>
      <w:r w:rsidR="000F4EF5">
        <w:rPr>
          <w:bCs/>
        </w:rPr>
        <w:instrText>ADDIN CSL_CITATION {"citationItems":[{"id":"ITEM-1","itemData":{"DOI":"10.1093/neuonc/noac224","ISSN":"1523-5866","PMID":"36227281","abstract":"BACKGROUND Meningiomas, the most common primary intracranial tumors, can be separated into 3 DNA methylation groups with distinct biological drivers, clinical outcomes, and therapeutic vulnerabilities. Alternative meningioma grouping schemes using copy number variants, gene expression profiles, somatic short variants, or integrated molecular models have been proposed. These data suggest meningioma DNA methylation groups may harbor subgroups unifying contrasting theories of meningioma biology. METHODS 565 meningioma DNA methylation profiles from patients with comprehensive clinical follow-up at independent discovery (n=200) or validation (n=365) institutions were re-analyzed and classified into Merlin-intact, Immune-enriched, or Hypermitotic DNA methylation groups. RNA sequencing from the discovery (n=200) or validation (n=302) cohort were analyzed in the context of DNA methylation groups to identify subgroups. Biological features and clinical outcomes were analyzed across meningioma grouping schemes. RESULTS RNA sequencing revealed differential enrichment of FOXM1 target genes across 2 subgroups of Hypermitotic meningiomas. Differential expression and ontology analyses showed the subgroup of Hypermitotic meningiomas without FOXM1 target gene enrichment was distinguished by gene expression programs driving macromolecular metabolism. Analysis of genetic, epigenetic, gene expression, or cellular features revealed Hypermitotic meningioma subgroups were concordant with Proliferative or Hypermetabolic meningiomas, which were previously reported alongside Merlin-intact and Immune-enriched tumors using an integrated molecular model. The addition of DNA methylation subgroups to clinical models refined prediction of postoperative outcomes compared to the addition of DNA methylation groups. CONCLUSIONS Meningiomas can be separated into 3 DNA methylation groups and Hypermitotic meningiomas can be subdivided into Proliferative and Hypermetabolic subgroups, each with distinct biological and clinical features.","author":[{"dropping-particle":"","family":"Choudhury","given":"Abrar","non-dropping-particle":"","parse-names":false,"suffix":""},{"dropping-particle":"","family":"Chen","given":"William C","non-dropping-particle":"","parse-names":false,"suffix":""},{"dropping-particle":"","family":"Lucas","given":"Calixto-Hope G","non-dropping-particle":"","parse-names":false,"suffix":""},{"dropping-particle":"","family":"Bayley","given":"James C","non-dropping-particle":"","parse-names":false,"suffix":""},{"dropping-particle":"","family":"Harmanci","given":"Akdes S","non-dropping-particle":"","parse-names":false,"suffix":""},{"dropping-particle":"","family":"Maas","given":"Sybren L N","non-dropping-particle":"","parse-names":false,"suffix":""},{"dropping-particle":"","family":"Santagata","given":"Sandro","non-dropping-particle":"","parse-names":false,"suffix":""},{"dropping-particle":"","family":"Klisch","given":"Tiemo","non-dropping-particle":"","parse-names":false,"suffix":""},{"dropping-particle":"","family":"Perry","given":"Arie","non-dropping-particle":"","parse-names":false,"suffix":""},{"dropping-particle":"","family":"Bi","given":"Wenya Linda","non-dropping-particle":"","parse-names":false,"suffix":""},{"dropping-particle":"","family":"Sahm","given":"Felix","non-dropping-particle":"","parse-names":false,"suffix":""},{"dropping-particle":"","family":"Patel","given":"Akash","non-dropping-particle":"","parse-names":false,"suffix":""},{"dropping-particle":"","family":"Magill","given":"Stephen T","non-dropping-particle":"","parse-names":false,"suffix":""},{"dropping-particle":"","family":"Raleigh","given":"David R","non-dropping-particle":"","parse-names":false,"suffix":""}],"container-title":"Neuro-oncology","id":"ITEM-1","issued":{"date-parts":[["2022","10","13"]]},"title":"Hypermitotic meningiomas harbor DNA methylation subgroups with distinct biological and clinical features.","type":"article-journal"},"uris":["http://www.mendeley.com/documents/?uuid=12c70f09-e513-4b13-a979-50364f43e66d"]},{"id":"ITEM-2","itemData":{"DOI":"10.1038/s41588-022-01061-8","ISSN":"15461718","PMID":"35534562","abstract":"Meningiomas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Genetics","id":"ITEM-2","issue":"5","issued":{"date-parts":[["2022","5","9"]]},"page":"649-659","title":"Meningioma DNA methylation groups identify biological drivers and therapeutic vulnerabilities","type":"article-journal","volume":"54"},"uris":["http://www.mendeley.com/documents/?uuid=703cdae5-1236-49c4-bdb8-590c06b07bcf"]}],"mendeley":{"formattedCitation":"&lt;sup&gt;1,7&lt;/sup&gt;","plainTextFormattedCitation":"1,7","previouslyFormattedCitation":"&lt;sup&gt;1,7&lt;/sup&gt;"},"properties":{"noteIndex":0},"schema":"https://github.com/citation-style-language/schema/raw/master/csl-citation.json"}</w:instrText>
      </w:r>
      <w:r w:rsidR="00404F7B">
        <w:rPr>
          <w:bCs/>
        </w:rPr>
        <w:fldChar w:fldCharType="separate"/>
      </w:r>
      <w:r w:rsidR="000F4EF5" w:rsidRPr="000F4EF5">
        <w:rPr>
          <w:bCs/>
          <w:noProof/>
          <w:vertAlign w:val="superscript"/>
        </w:rPr>
        <w:t>1,7</w:t>
      </w:r>
      <w:r w:rsidR="00404F7B">
        <w:rPr>
          <w:bCs/>
        </w:rPr>
        <w:fldChar w:fldCharType="end"/>
      </w:r>
      <w:r w:rsidR="009252ED">
        <w:rPr>
          <w:bCs/>
        </w:rPr>
        <w:t xml:space="preserve">. </w:t>
      </w:r>
      <w:r w:rsidRPr="00CE4E1F">
        <w:rPr>
          <w:bCs/>
        </w:rPr>
        <w:t xml:space="preserve">For the UCSF discovery (N=173) and </w:t>
      </w:r>
      <w:r w:rsidR="00973050">
        <w:rPr>
          <w:bCs/>
        </w:rPr>
        <w:t>The Hong Kong University</w:t>
      </w:r>
      <w:r w:rsidR="00973050" w:rsidRPr="00CE4E1F">
        <w:rPr>
          <w:bCs/>
        </w:rPr>
        <w:t xml:space="preserve"> </w:t>
      </w:r>
      <w:r w:rsidRPr="00CE4E1F">
        <w:rPr>
          <w:bCs/>
        </w:rPr>
        <w:t xml:space="preserve">validation cohorts (N=339), surgical pathology specimens were </w:t>
      </w:r>
      <w:r w:rsidR="00CE0A33" w:rsidRPr="00CE4E1F">
        <w:rPr>
          <w:bCs/>
        </w:rPr>
        <w:t>re-</w:t>
      </w:r>
      <w:r w:rsidRPr="00CE4E1F">
        <w:rPr>
          <w:bCs/>
        </w:rPr>
        <w:t xml:space="preserve">reviewed for diagnostic accuracy based on criteria in the </w:t>
      </w:r>
      <w:r w:rsidR="00CE0A33" w:rsidRPr="00CE4E1F">
        <w:rPr>
          <w:bCs/>
        </w:rPr>
        <w:t xml:space="preserve">2016 </w:t>
      </w:r>
      <w:r w:rsidRPr="00CE4E1F">
        <w:rPr>
          <w:bCs/>
        </w:rPr>
        <w:t>WHO Classification of Tumors of the Central Nervous system</w:t>
      </w:r>
      <w:r w:rsidRPr="00CE4E1F">
        <w:rPr>
          <w:bCs/>
        </w:rPr>
        <w:fldChar w:fldCharType="begin" w:fldLock="1"/>
      </w:r>
      <w:r w:rsidR="000F4EF5">
        <w:rPr>
          <w:bCs/>
        </w:rPr>
        <w:instrText>ADDIN CSL_CITATION {"citationItems":[{"id":"ITEM-1","itemData":{"DOI":"10.1093/neuonc/noab106","ISSN":"15235866","PMID":"34185076","abstract":"The fifth edition of the WHO Classification of Tumors of the Central Nervous System (CNS), published in 2021, is the sixth version of the international standard for the classification of brain and spinal cord tumors. Building on the 2016 updated fourth edition and the work of the Consortium to Inform Molecular and Practical Approaches to CNS Tumor Taxonomy, the 2021 fifth edition introduces major changes that advance the role of molecular diagnostics in CNS tumor classification. At the same time, it remains wedded to other established approaches to tumor diagnosis such as histology and immunohistochemistry. In doing so, the fifth edition establishes some different approaches to both CNS tumor nomenclature and grading and it emphasizes the importance of integrated diagnoses and layered reports. New tumor types and subtypes are introduced, some based on novel diagnostic technologies such as DNA methylome profiling. The present review summarizes the major general changes in the 2021 fifth edition classification and the specific changes in each taxonomic category. It is hoped that this summary provides an overview to facilitate more in-depth exploration of the entire fifth edition of the WHO Classification of Tumors of the Central Nervous System.","author":[{"dropping-particle":"","family":"Louis","given":"David N.","non-dropping-particle":"","parse-names":false,"suffix":""},{"dropping-particle":"","family":"Perry","given":"Arie","non-dropping-particle":"","parse-names":false,"suffix":""},{"dropping-particle":"","family":"Wesseling","given":"Pieter","non-dropping-particle":"","parse-names":false,"suffix":""},{"dropping-particle":"","family":"Brat","given":"Daniel J.","non-dropping-particle":"","parse-names":false,"suffix":""},{"dropping-particle":"","family":"Cree","given":"Ian A.","non-dropping-particle":"","parse-names":false,"suffix":""},{"dropping-particle":"","family":"Figarella-Branger","given":"Dominique","non-dropping-particle":"","parse-names":false,"suffix":""},{"dropping-particle":"","family":"Hawkins","given":"Cynthia","non-dropping-particle":"","parse-names":false,"suffix":""},{"dropping-particle":"","family":"Ng","given":"H. K.","non-dropping-particle":"","parse-names":false,"suffix":""},{"dropping-particle":"","family":"Pfister","given":"Stefan M.","non-dropping-particle":"","parse-names":false,"suffix":""},{"dropping-particle":"","family":"Reifenberger","given":"Guido","non-dropping-particle":"","parse-names":false,"suffix":""},{"dropping-particle":"","family":"Soffietti","given":"Riccardo","non-dropping-particle":"","parse-names":false,"suffix":""},{"dropping-particle":"","family":"Deimling","given":"Andreas","non-dropping-particle":"Von","parse-names":false,"suffix":""},{"dropping-particle":"","family":"Ellison","given":"David W.","non-dropping-particle":"","parse-names":false,"suffix":""}],"container-title":"Neuro-Oncology","id":"ITEM-1","issue":"8","issued":{"date-parts":[["2021"]]},"page":"1231-1251","title":"The 2021 WHO classification of tumors of the central nervous system: A summary","type":"article-journal","volume":"23"},"uris":["http://www.mendeley.com/documents/?uuid=43571d16-6d01-44e2-b899-3932958b1a96"]}],"mendeley":{"formattedCitation":"&lt;sup&gt;8&lt;/sup&gt;","plainTextFormattedCitation":"8","previouslyFormattedCitation":"&lt;sup&gt;8&lt;/sup&gt;"},"properties":{"noteIndex":0},"schema":"https://github.com/citation-style-language/schema/raw/master/csl-citation.json"}</w:instrText>
      </w:r>
      <w:r w:rsidRPr="00CE4E1F">
        <w:rPr>
          <w:bCs/>
        </w:rPr>
        <w:fldChar w:fldCharType="separate"/>
      </w:r>
      <w:r w:rsidR="000F4EF5" w:rsidRPr="000F4EF5">
        <w:rPr>
          <w:bCs/>
          <w:noProof/>
          <w:vertAlign w:val="superscript"/>
        </w:rPr>
        <w:t>8</w:t>
      </w:r>
      <w:r w:rsidRPr="00CE4E1F">
        <w:rPr>
          <w:bCs/>
        </w:rPr>
        <w:fldChar w:fldCharType="end"/>
      </w:r>
      <w:r w:rsidRPr="00CE4E1F">
        <w:rPr>
          <w:bCs/>
        </w:rPr>
        <w:t xml:space="preserve"> </w:t>
      </w:r>
      <w:r w:rsidR="00973050" w:rsidRPr="00CE4E1F">
        <w:rPr>
          <w:bCs/>
        </w:rPr>
        <w:t>by board-certified neuro-pathologists</w:t>
      </w:r>
      <w:r w:rsidR="00973050">
        <w:rPr>
          <w:bCs/>
        </w:rPr>
        <w:t xml:space="preserve"> at each institution. </w:t>
      </w:r>
    </w:p>
    <w:p w14:paraId="092F9329" w14:textId="41F1C724" w:rsidR="00C62A40" w:rsidRDefault="005C3A0E" w:rsidP="00742F09">
      <w:pPr>
        <w:spacing w:line="360" w:lineRule="auto"/>
        <w:ind w:firstLine="720"/>
        <w:contextualSpacing/>
        <w:jc w:val="both"/>
        <w:rPr>
          <w:bCs/>
        </w:rPr>
      </w:pPr>
      <w:r w:rsidRPr="00CE4E1F">
        <w:rPr>
          <w:bCs/>
        </w:rPr>
        <w:t xml:space="preserve">Extent of resection was defined on postoperative magnetic resonance. </w:t>
      </w:r>
      <w:r w:rsidR="0067491D">
        <w:rPr>
          <w:bCs/>
        </w:rPr>
        <w:t>Median imaging follow up is reported in Tables S2</w:t>
      </w:r>
      <w:r w:rsidR="00291296">
        <w:rPr>
          <w:bCs/>
        </w:rPr>
        <w:t xml:space="preserve"> and</w:t>
      </w:r>
      <w:r w:rsidR="0067491D">
        <w:rPr>
          <w:bCs/>
        </w:rPr>
        <w:t xml:space="preserve"> S5-</w:t>
      </w:r>
      <w:r w:rsidR="00291296">
        <w:rPr>
          <w:bCs/>
        </w:rPr>
        <w:t>S</w:t>
      </w:r>
      <w:r w:rsidR="0067491D">
        <w:rPr>
          <w:bCs/>
        </w:rPr>
        <w:t xml:space="preserve">9. </w:t>
      </w:r>
      <w:r w:rsidR="00291296">
        <w:rPr>
          <w:bCs/>
        </w:rPr>
        <w:t>The i</w:t>
      </w:r>
      <w:r w:rsidR="0067491D">
        <w:rPr>
          <w:bCs/>
        </w:rPr>
        <w:t xml:space="preserve">nterval between MRI surveillance scans was per </w:t>
      </w:r>
      <w:r w:rsidR="00291296">
        <w:rPr>
          <w:bCs/>
        </w:rPr>
        <w:t xml:space="preserve">provider </w:t>
      </w:r>
      <w:r w:rsidR="0067491D">
        <w:rPr>
          <w:bCs/>
        </w:rPr>
        <w:t xml:space="preserve">discretion, and generally consisted of MRI imaging every 6 months up to 5 years </w:t>
      </w:r>
      <w:r w:rsidR="00291296">
        <w:rPr>
          <w:bCs/>
        </w:rPr>
        <w:t>after surgery</w:t>
      </w:r>
      <w:r w:rsidR="0016771A">
        <w:rPr>
          <w:bCs/>
        </w:rPr>
        <w:t xml:space="preserve"> or </w:t>
      </w:r>
      <w:r w:rsidR="00291296">
        <w:rPr>
          <w:bCs/>
        </w:rPr>
        <w:t xml:space="preserve">at shorter intervals </w:t>
      </w:r>
      <w:r w:rsidR="0016771A">
        <w:rPr>
          <w:bCs/>
        </w:rPr>
        <w:t>as clinically indicated</w:t>
      </w:r>
      <w:r w:rsidR="0067491D">
        <w:rPr>
          <w:bCs/>
        </w:rPr>
        <w:t xml:space="preserve">, and then at least annually thereafter. Patients in the </w:t>
      </w:r>
      <w:r w:rsidR="00291296">
        <w:rPr>
          <w:bCs/>
        </w:rPr>
        <w:t xml:space="preserve">UCSF </w:t>
      </w:r>
      <w:r w:rsidR="0067491D">
        <w:rPr>
          <w:bCs/>
        </w:rPr>
        <w:t xml:space="preserve">discovery cohort received a median of 5 </w:t>
      </w:r>
      <w:r w:rsidR="00CF6B64">
        <w:rPr>
          <w:bCs/>
        </w:rPr>
        <w:t>surveillance</w:t>
      </w:r>
      <w:r w:rsidR="0067491D">
        <w:rPr>
          <w:bCs/>
        </w:rPr>
        <w:t xml:space="preserve"> MRI </w:t>
      </w:r>
      <w:r w:rsidR="00291296">
        <w:rPr>
          <w:bCs/>
        </w:rPr>
        <w:t xml:space="preserve">studies </w:t>
      </w:r>
      <w:r w:rsidR="0067491D">
        <w:rPr>
          <w:bCs/>
        </w:rPr>
        <w:t>(IQR 2-11) during follow up, with a median of 6.6 months (IQR 2.8-13.3) between serial scans</w:t>
      </w:r>
      <w:r w:rsidR="001939F8">
        <w:rPr>
          <w:bCs/>
        </w:rPr>
        <w:t>. P</w:t>
      </w:r>
      <w:r w:rsidR="0067491D">
        <w:rPr>
          <w:bCs/>
        </w:rPr>
        <w:t xml:space="preserve">atients in </w:t>
      </w:r>
      <w:r w:rsidR="001939F8">
        <w:rPr>
          <w:bCs/>
        </w:rPr>
        <w:t>T</w:t>
      </w:r>
      <w:r w:rsidR="0067491D">
        <w:rPr>
          <w:bCs/>
        </w:rPr>
        <w:t xml:space="preserve">he University of Hong Kong </w:t>
      </w:r>
      <w:r w:rsidR="001939F8">
        <w:rPr>
          <w:bCs/>
        </w:rPr>
        <w:t xml:space="preserve">clinical validation </w:t>
      </w:r>
      <w:r w:rsidR="0067491D">
        <w:rPr>
          <w:bCs/>
        </w:rPr>
        <w:t xml:space="preserve">cohort received a median of </w:t>
      </w:r>
      <w:r w:rsidR="00CF6B64">
        <w:rPr>
          <w:bCs/>
        </w:rPr>
        <w:t xml:space="preserve">5 surveillance MRI </w:t>
      </w:r>
      <w:r w:rsidR="001939F8">
        <w:rPr>
          <w:bCs/>
        </w:rPr>
        <w:lastRenderedPageBreak/>
        <w:t xml:space="preserve">studies </w:t>
      </w:r>
      <w:r w:rsidR="00CF6B64">
        <w:rPr>
          <w:bCs/>
        </w:rPr>
        <w:t>(IQR 3-8) during follow up, with a median of 12.0 months (IQR 5.0-19.6) between serial scans</w:t>
      </w:r>
      <w:r w:rsidR="0067491D">
        <w:rPr>
          <w:bCs/>
        </w:rPr>
        <w:t xml:space="preserve">. </w:t>
      </w:r>
      <w:r w:rsidR="00C62A40" w:rsidRPr="00C62A40">
        <w:rPr>
          <w:bCs/>
        </w:rPr>
        <w:t xml:space="preserve">Sequences considered standard for evaluation of meningioma were used, including gadolinium enhanced T1, T2, and FLAIR. At UCSF, fat-suppressed sequences are often used for skull base lesions, and diffusion weighted imaging (DWI) and apparent diffusion coefficient (ADC) maps are routinely obtained for brain tumor imaging, in addition to pre- and post-contrast T1, T2, and FLAIR sequences. For this study, all available preoperative and </w:t>
      </w:r>
      <w:r w:rsidR="008A321E">
        <w:rPr>
          <w:bCs/>
        </w:rPr>
        <w:t>follow up</w:t>
      </w:r>
      <w:r w:rsidR="00C62A40" w:rsidRPr="00C62A40">
        <w:rPr>
          <w:bCs/>
        </w:rPr>
        <w:t xml:space="preserve"> MRI studies from UCSF and University of Hong Kong were independently re-reviewed by neuro-radiologists (TJU, JEVM).</w:t>
      </w:r>
    </w:p>
    <w:p w14:paraId="59110E84" w14:textId="6CDE90AB" w:rsidR="00FC6725" w:rsidRPr="00CE4E1F" w:rsidRDefault="005C3A0E" w:rsidP="00742F09">
      <w:pPr>
        <w:spacing w:line="360" w:lineRule="auto"/>
        <w:ind w:firstLine="720"/>
        <w:contextualSpacing/>
        <w:jc w:val="both"/>
        <w:rPr>
          <w:bCs/>
        </w:rPr>
      </w:pPr>
      <w:r w:rsidRPr="00CE4E1F">
        <w:rPr>
          <w:bCs/>
        </w:rPr>
        <w:t>Primary outcomes of interest were local freedom from recurrence (LFFR)</w:t>
      </w:r>
      <w:r w:rsidR="008559DA" w:rsidRPr="00CE4E1F">
        <w:rPr>
          <w:bCs/>
        </w:rPr>
        <w:t xml:space="preserve"> </w:t>
      </w:r>
      <w:r w:rsidRPr="00CE4E1F">
        <w:rPr>
          <w:bCs/>
        </w:rPr>
        <w:t>and overall survival (OS). In cases of gross total resection</w:t>
      </w:r>
      <w:r w:rsidR="0030193C">
        <w:rPr>
          <w:bCs/>
        </w:rPr>
        <w:t xml:space="preserve"> (GTR)</w:t>
      </w:r>
      <w:r w:rsidRPr="00CE4E1F">
        <w:rPr>
          <w:bCs/>
        </w:rPr>
        <w:t xml:space="preserve">, local failure </w:t>
      </w:r>
      <w:r w:rsidR="0030193C">
        <w:rPr>
          <w:bCs/>
        </w:rPr>
        <w:t xml:space="preserve">(LF) </w:t>
      </w:r>
      <w:r w:rsidRPr="00CE4E1F">
        <w:rPr>
          <w:bCs/>
        </w:rPr>
        <w:t>was defined as growth of new disease within or immediately adjacent to the resection cavity. In cases of subtotal resection</w:t>
      </w:r>
      <w:r w:rsidR="00E958F6">
        <w:rPr>
          <w:bCs/>
        </w:rPr>
        <w:t xml:space="preserve"> (STR)</w:t>
      </w:r>
      <w:r w:rsidRPr="00CE4E1F">
        <w:rPr>
          <w:bCs/>
        </w:rPr>
        <w:t xml:space="preserve">, local failure was defined as growth of residual tumor by 25% or more in any dimension on interval </w:t>
      </w:r>
      <w:r w:rsidR="00E94AFA">
        <w:rPr>
          <w:bCs/>
        </w:rPr>
        <w:t>MRI</w:t>
      </w:r>
      <w:r w:rsidRPr="00CE4E1F">
        <w:rPr>
          <w:bCs/>
        </w:rPr>
        <w:t>. Dates and causes of death were extracted from medical record</w:t>
      </w:r>
      <w:r w:rsidR="003E6FF2">
        <w:rPr>
          <w:bCs/>
        </w:rPr>
        <w:t>s</w:t>
      </w:r>
      <w:r w:rsidRPr="00CE4E1F">
        <w:rPr>
          <w:bCs/>
        </w:rPr>
        <w:t xml:space="preserve">, institutional cancer registries, nationwide hospital databases, </w:t>
      </w:r>
      <w:r w:rsidR="0071348A" w:rsidRPr="00CE4E1F">
        <w:rPr>
          <w:bCs/>
        </w:rPr>
        <w:t>publicly</w:t>
      </w:r>
      <w:r w:rsidRPr="00CE4E1F">
        <w:rPr>
          <w:bCs/>
        </w:rPr>
        <w:t xml:space="preserve"> available obituaries, and SEER, Department of Motor Vehicles, and Social Security databases. Clinical variables and events in the discovery and validation cohorts were reviewed independently at each institution by neurological surgeons, radiation oncologists, and neuro-oncologists specialized in meningioma treatment and blinded to molecular data.</w:t>
      </w:r>
      <w:r w:rsidR="003F206B" w:rsidRPr="00CE4E1F">
        <w:rPr>
          <w:bCs/>
        </w:rPr>
        <w:t xml:space="preserve"> This study was approved by the Institutional Review Boards at UCSF (</w:t>
      </w:r>
      <w:r w:rsidR="003F206B" w:rsidRPr="00CE4E1F">
        <w:rPr>
          <w:color w:val="000000" w:themeColor="text1"/>
        </w:rPr>
        <w:t xml:space="preserve">#13-12587, </w:t>
      </w:r>
      <w:r w:rsidR="003F206B" w:rsidRPr="00CE4E1F">
        <w:rPr>
          <w:bCs/>
        </w:rPr>
        <w:t>#17-22324, #17-23196, and #</w:t>
      </w:r>
      <w:r w:rsidR="003F206B" w:rsidRPr="00CE4E1F">
        <w:rPr>
          <w:color w:val="000000" w:themeColor="text1"/>
        </w:rPr>
        <w:t>18-24633</w:t>
      </w:r>
      <w:r w:rsidR="003F206B" w:rsidRPr="00CE4E1F">
        <w:rPr>
          <w:bCs/>
        </w:rPr>
        <w:t xml:space="preserve">) and </w:t>
      </w:r>
      <w:r w:rsidR="0030193C">
        <w:rPr>
          <w:bCs/>
        </w:rPr>
        <w:t>The University of Hong Kong</w:t>
      </w:r>
      <w:r w:rsidR="0030193C" w:rsidRPr="00CE4E1F">
        <w:rPr>
          <w:bCs/>
        </w:rPr>
        <w:t xml:space="preserve"> </w:t>
      </w:r>
      <w:r w:rsidR="003F206B" w:rsidRPr="00CE4E1F">
        <w:rPr>
          <w:bCs/>
        </w:rPr>
        <w:t>(UW 07-273 and UW 21-112).</w:t>
      </w:r>
    </w:p>
    <w:p w14:paraId="58C662C4" w14:textId="123DC0CA" w:rsidR="008559DA" w:rsidRDefault="0030193C" w:rsidP="00742F09">
      <w:pPr>
        <w:spacing w:line="360" w:lineRule="auto"/>
        <w:ind w:firstLine="720"/>
        <w:contextualSpacing/>
        <w:jc w:val="both"/>
        <w:rPr>
          <w:bCs/>
        </w:rPr>
      </w:pPr>
      <w:r>
        <w:rPr>
          <w:bCs/>
        </w:rPr>
        <w:t>Additional</w:t>
      </w:r>
      <w:r w:rsidRPr="00CE4E1F">
        <w:rPr>
          <w:bCs/>
        </w:rPr>
        <w:t xml:space="preserve"> </w:t>
      </w:r>
      <w:r w:rsidR="008559DA" w:rsidRPr="00CE4E1F">
        <w:rPr>
          <w:bCs/>
        </w:rPr>
        <w:t xml:space="preserve">retrospective </w:t>
      </w:r>
      <w:r w:rsidR="00404F7B">
        <w:rPr>
          <w:bCs/>
        </w:rPr>
        <w:t xml:space="preserve">clinical </w:t>
      </w:r>
      <w:r w:rsidR="008559DA" w:rsidRPr="00CE4E1F">
        <w:rPr>
          <w:bCs/>
        </w:rPr>
        <w:t>validation cohorts were identified from Northwestern University (</w:t>
      </w:r>
      <w:r w:rsidR="00EC1DEF" w:rsidRPr="00CE4E1F">
        <w:rPr>
          <w:bCs/>
        </w:rPr>
        <w:t>Table S</w:t>
      </w:r>
      <w:r>
        <w:rPr>
          <w:bCs/>
        </w:rPr>
        <w:t>6</w:t>
      </w:r>
      <w:r w:rsidR="00EC1DEF" w:rsidRPr="00CE4E1F">
        <w:rPr>
          <w:bCs/>
        </w:rPr>
        <w:t xml:space="preserve">, </w:t>
      </w:r>
      <w:r w:rsidR="008559DA" w:rsidRPr="00CE4E1F">
        <w:rPr>
          <w:bCs/>
        </w:rPr>
        <w:t>N=180</w:t>
      </w:r>
      <w:r w:rsidR="00420F71" w:rsidRPr="00CE4E1F">
        <w:rPr>
          <w:bCs/>
        </w:rPr>
        <w:t>,</w:t>
      </w:r>
      <w:r w:rsidR="00254417">
        <w:rPr>
          <w:bCs/>
        </w:rPr>
        <w:t xml:space="preserve"> </w:t>
      </w:r>
      <w:r w:rsidR="002777F0">
        <w:rPr>
          <w:bCs/>
        </w:rPr>
        <w:t>105</w:t>
      </w:r>
      <w:r>
        <w:rPr>
          <w:bCs/>
        </w:rPr>
        <w:t xml:space="preserve"> </w:t>
      </w:r>
      <w:r w:rsidR="00420F71" w:rsidRPr="00CE4E1F">
        <w:rPr>
          <w:bCs/>
        </w:rPr>
        <w:t xml:space="preserve">frozen and </w:t>
      </w:r>
      <w:r w:rsidR="002777F0">
        <w:rPr>
          <w:bCs/>
        </w:rPr>
        <w:t>75</w:t>
      </w:r>
      <w:r>
        <w:rPr>
          <w:bCs/>
        </w:rPr>
        <w:t xml:space="preserve"> </w:t>
      </w:r>
      <w:r w:rsidR="00420F71" w:rsidRPr="00CE4E1F">
        <w:rPr>
          <w:bCs/>
        </w:rPr>
        <w:t>FFPE</w:t>
      </w:r>
      <w:r w:rsidR="008559DA" w:rsidRPr="00CE4E1F">
        <w:rPr>
          <w:bCs/>
        </w:rPr>
        <w:t xml:space="preserve">), </w:t>
      </w:r>
      <w:r w:rsidR="00254417" w:rsidRPr="00CE4E1F">
        <w:rPr>
          <w:bCs/>
        </w:rPr>
        <w:t>UCSF (Table S7, N=15</w:t>
      </w:r>
      <w:r w:rsidR="003839E5">
        <w:rPr>
          <w:bCs/>
        </w:rPr>
        <w:t>8</w:t>
      </w:r>
      <w:r w:rsidR="00254417" w:rsidRPr="00CE4E1F">
        <w:rPr>
          <w:bCs/>
        </w:rPr>
        <w:t xml:space="preserve"> FFPE samples, WHO 2016 grade 2</w:t>
      </w:r>
      <w:r w:rsidR="00254417">
        <w:rPr>
          <w:bCs/>
        </w:rPr>
        <w:t xml:space="preserve"> or </w:t>
      </w:r>
      <w:r w:rsidR="00254417" w:rsidRPr="00CE4E1F">
        <w:rPr>
          <w:bCs/>
        </w:rPr>
        <w:t>3)</w:t>
      </w:r>
      <w:r w:rsidR="00254417">
        <w:rPr>
          <w:bCs/>
        </w:rPr>
        <w:t xml:space="preserve">, </w:t>
      </w:r>
      <w:r w:rsidRPr="00CE4E1F">
        <w:rPr>
          <w:bCs/>
        </w:rPr>
        <w:t>Baylor College of Medicine (Table S</w:t>
      </w:r>
      <w:r w:rsidR="00254417">
        <w:rPr>
          <w:bCs/>
        </w:rPr>
        <w:t>8</w:t>
      </w:r>
      <w:r w:rsidRPr="00CE4E1F">
        <w:rPr>
          <w:bCs/>
        </w:rPr>
        <w:t>, N=11</w:t>
      </w:r>
      <w:r w:rsidR="00CD3EFA">
        <w:rPr>
          <w:bCs/>
        </w:rPr>
        <w:t>6</w:t>
      </w:r>
      <w:r w:rsidRPr="00CE4E1F">
        <w:rPr>
          <w:bCs/>
        </w:rPr>
        <w:t xml:space="preserve"> frozen), </w:t>
      </w:r>
      <w:r w:rsidR="00254417">
        <w:rPr>
          <w:bCs/>
        </w:rPr>
        <w:t xml:space="preserve">and </w:t>
      </w:r>
      <w:r w:rsidR="00420F71" w:rsidRPr="00CE4E1F">
        <w:rPr>
          <w:bCs/>
        </w:rPr>
        <w:t xml:space="preserve">Heidelberg University </w:t>
      </w:r>
      <w:r w:rsidR="003E1E2F">
        <w:rPr>
          <w:bCs/>
        </w:rPr>
        <w:t xml:space="preserve">plus the Medical University of Vienna </w:t>
      </w:r>
      <w:r w:rsidR="00420F71" w:rsidRPr="00CE4E1F">
        <w:rPr>
          <w:bCs/>
        </w:rPr>
        <w:t>(</w:t>
      </w:r>
      <w:r w:rsidR="00EC1DEF" w:rsidRPr="00CE4E1F">
        <w:rPr>
          <w:bCs/>
        </w:rPr>
        <w:t xml:space="preserve">Table S9, </w:t>
      </w:r>
      <w:r w:rsidR="00420F71" w:rsidRPr="00CE4E1F">
        <w:rPr>
          <w:bCs/>
        </w:rPr>
        <w:t>N=7</w:t>
      </w:r>
      <w:r w:rsidR="00AC4D43">
        <w:rPr>
          <w:bCs/>
        </w:rPr>
        <w:t>3</w:t>
      </w:r>
      <w:r w:rsidR="00254417">
        <w:rPr>
          <w:bCs/>
        </w:rPr>
        <w:t xml:space="preserve"> </w:t>
      </w:r>
      <w:r w:rsidR="00420F71" w:rsidRPr="00CE4E1F">
        <w:rPr>
          <w:bCs/>
        </w:rPr>
        <w:t xml:space="preserve">FFPE). Patients were identified from respective institutional databases and cross referenced with clinical pathology and research </w:t>
      </w:r>
      <w:r w:rsidR="00763616">
        <w:rPr>
          <w:bCs/>
        </w:rPr>
        <w:t>databases</w:t>
      </w:r>
      <w:r w:rsidR="00763616" w:rsidRPr="00CE4E1F">
        <w:rPr>
          <w:bCs/>
        </w:rPr>
        <w:t xml:space="preserve"> </w:t>
      </w:r>
      <w:r w:rsidR="00420F71" w:rsidRPr="00CE4E1F">
        <w:rPr>
          <w:bCs/>
        </w:rPr>
        <w:t xml:space="preserve">to identify patients with available FFPE or frozen </w:t>
      </w:r>
      <w:r w:rsidR="00254417">
        <w:rPr>
          <w:bCs/>
        </w:rPr>
        <w:t>meningioma tissue</w:t>
      </w:r>
      <w:r w:rsidR="00420F71" w:rsidRPr="00CE4E1F">
        <w:rPr>
          <w:bCs/>
        </w:rPr>
        <w:t xml:space="preserve">. </w:t>
      </w:r>
      <w:r w:rsidR="00254417">
        <w:rPr>
          <w:bCs/>
        </w:rPr>
        <w:t xml:space="preserve">As was done for discovery and consecutive validation cohort meningiomas from UCSF </w:t>
      </w:r>
      <w:r w:rsidR="00763616">
        <w:rPr>
          <w:bCs/>
        </w:rPr>
        <w:t xml:space="preserve">(DRR) </w:t>
      </w:r>
      <w:r w:rsidR="00EF71F0">
        <w:rPr>
          <w:bCs/>
        </w:rPr>
        <w:t xml:space="preserve">or </w:t>
      </w:r>
      <w:r w:rsidR="00254417">
        <w:rPr>
          <w:bCs/>
        </w:rPr>
        <w:t>The University of Hong Kong</w:t>
      </w:r>
      <w:r w:rsidR="00763616">
        <w:rPr>
          <w:bCs/>
        </w:rPr>
        <w:t xml:space="preserve"> (TCL, JKSP, LFL, GKKL)</w:t>
      </w:r>
      <w:r w:rsidR="00254417">
        <w:rPr>
          <w:bCs/>
        </w:rPr>
        <w:t>, respectively, c</w:t>
      </w:r>
      <w:r w:rsidR="00420F71" w:rsidRPr="00CE4E1F">
        <w:rPr>
          <w:bCs/>
        </w:rPr>
        <w:t xml:space="preserve">linical data </w:t>
      </w:r>
      <w:r w:rsidR="00254417">
        <w:rPr>
          <w:bCs/>
        </w:rPr>
        <w:t xml:space="preserve">for </w:t>
      </w:r>
      <w:r w:rsidR="00254417" w:rsidRPr="00CE4E1F">
        <w:rPr>
          <w:bCs/>
        </w:rPr>
        <w:t>Northwestern University</w:t>
      </w:r>
      <w:r w:rsidR="00254417">
        <w:rPr>
          <w:bCs/>
        </w:rPr>
        <w:t xml:space="preserve">, UCSF, Baylor College of Medicine, and Heidelberg University </w:t>
      </w:r>
      <w:r w:rsidR="003E1E2F">
        <w:rPr>
          <w:bCs/>
        </w:rPr>
        <w:t xml:space="preserve">and Medical University of Vienna </w:t>
      </w:r>
      <w:r w:rsidR="00254417">
        <w:rPr>
          <w:bCs/>
        </w:rPr>
        <w:t xml:space="preserve">validation cohort meningiomas </w:t>
      </w:r>
      <w:r w:rsidR="00420F71" w:rsidRPr="00CE4E1F">
        <w:rPr>
          <w:bCs/>
        </w:rPr>
        <w:t xml:space="preserve">were collected independently at each institution by </w:t>
      </w:r>
      <w:r w:rsidR="00254417">
        <w:rPr>
          <w:bCs/>
        </w:rPr>
        <w:t>radiation oncologists (WCC, JC</w:t>
      </w:r>
      <w:r w:rsidR="005318CB">
        <w:rPr>
          <w:bCs/>
        </w:rPr>
        <w:t>, DRR</w:t>
      </w:r>
      <w:r w:rsidR="00254417">
        <w:rPr>
          <w:bCs/>
        </w:rPr>
        <w:t xml:space="preserve">), </w:t>
      </w:r>
      <w:r w:rsidR="00420F71" w:rsidRPr="00CE4E1F">
        <w:rPr>
          <w:bCs/>
        </w:rPr>
        <w:t>neurological surgeons (A</w:t>
      </w:r>
      <w:r w:rsidR="00763616">
        <w:rPr>
          <w:bCs/>
        </w:rPr>
        <w:t>J</w:t>
      </w:r>
      <w:r w:rsidR="00420F71" w:rsidRPr="00CE4E1F">
        <w:rPr>
          <w:bCs/>
        </w:rPr>
        <w:t>P, M</w:t>
      </w:r>
      <w:r w:rsidR="00254417">
        <w:rPr>
          <w:bCs/>
        </w:rPr>
        <w:t>W</w:t>
      </w:r>
      <w:r w:rsidR="00420F71" w:rsidRPr="00CE4E1F">
        <w:rPr>
          <w:bCs/>
        </w:rPr>
        <w:t>Y, STM)</w:t>
      </w:r>
      <w:r w:rsidR="00254417">
        <w:rPr>
          <w:bCs/>
        </w:rPr>
        <w:t>,</w:t>
      </w:r>
      <w:r w:rsidR="00420F71" w:rsidRPr="00CE4E1F">
        <w:rPr>
          <w:bCs/>
        </w:rPr>
        <w:t xml:space="preserve"> </w:t>
      </w:r>
      <w:r w:rsidR="003E1E2F">
        <w:rPr>
          <w:bCs/>
        </w:rPr>
        <w:t xml:space="preserve">neuro-oncologists </w:t>
      </w:r>
      <w:r w:rsidR="003E1E2F">
        <w:rPr>
          <w:bCs/>
        </w:rPr>
        <w:lastRenderedPageBreak/>
        <w:t xml:space="preserve">(ASB, MP) </w:t>
      </w:r>
      <w:r w:rsidR="00420F71" w:rsidRPr="00CE4E1F">
        <w:rPr>
          <w:bCs/>
        </w:rPr>
        <w:t>and neuro-pathologists (</w:t>
      </w:r>
      <w:r w:rsidR="00763616">
        <w:rPr>
          <w:bCs/>
        </w:rPr>
        <w:t xml:space="preserve">CHGL, </w:t>
      </w:r>
      <w:r w:rsidR="00763616" w:rsidRPr="00CE4E1F">
        <w:rPr>
          <w:iCs/>
        </w:rPr>
        <w:t>SLNM</w:t>
      </w:r>
      <w:r w:rsidR="00763616">
        <w:rPr>
          <w:iCs/>
        </w:rPr>
        <w:t>,</w:t>
      </w:r>
      <w:r w:rsidR="00254417">
        <w:rPr>
          <w:bCs/>
        </w:rPr>
        <w:t xml:space="preserve"> </w:t>
      </w:r>
      <w:r w:rsidR="003E1E2F">
        <w:rPr>
          <w:bCs/>
        </w:rPr>
        <w:t xml:space="preserve">CH, </w:t>
      </w:r>
      <w:r w:rsidR="00763616">
        <w:rPr>
          <w:bCs/>
        </w:rPr>
        <w:t xml:space="preserve">CMH, </w:t>
      </w:r>
      <w:r w:rsidR="00420F71" w:rsidRPr="00CE4E1F">
        <w:rPr>
          <w:bCs/>
        </w:rPr>
        <w:t xml:space="preserve">FS) specialized in meningioma </w:t>
      </w:r>
      <w:r w:rsidR="00254417">
        <w:rPr>
          <w:bCs/>
        </w:rPr>
        <w:t xml:space="preserve">diagnosis and </w:t>
      </w:r>
      <w:r w:rsidR="00420F71" w:rsidRPr="00CE4E1F">
        <w:rPr>
          <w:bCs/>
        </w:rPr>
        <w:t>treatment.</w:t>
      </w:r>
      <w:r w:rsidR="0057148A" w:rsidRPr="00CE4E1F">
        <w:rPr>
          <w:bCs/>
        </w:rPr>
        <w:t xml:space="preserve"> </w:t>
      </w:r>
      <w:r w:rsidR="00EF71F0">
        <w:rPr>
          <w:bCs/>
        </w:rPr>
        <w:t>Surgical pathology from meningiomas comprising the discovery and consecutive validation cohorts from UCSF or The University of Hong Kong, respectively, were reviewed for histologic</w:t>
      </w:r>
      <w:r w:rsidR="0037218D">
        <w:rPr>
          <w:bCs/>
        </w:rPr>
        <w:t>al</w:t>
      </w:r>
      <w:r w:rsidR="00EF71F0">
        <w:rPr>
          <w:bCs/>
        </w:rPr>
        <w:t xml:space="preserve"> concordance with the </w:t>
      </w:r>
      <w:r w:rsidR="00BC4582">
        <w:rPr>
          <w:bCs/>
        </w:rPr>
        <w:t xml:space="preserve">2016 </w:t>
      </w:r>
      <w:r w:rsidR="00EF71F0">
        <w:rPr>
          <w:bCs/>
        </w:rPr>
        <w:t xml:space="preserve">WHO Classification of Central Nervous </w:t>
      </w:r>
      <w:r w:rsidR="0071348A">
        <w:rPr>
          <w:bCs/>
        </w:rPr>
        <w:t>System</w:t>
      </w:r>
      <w:r w:rsidR="00EF71F0">
        <w:rPr>
          <w:bCs/>
        </w:rPr>
        <w:t xml:space="preserve"> </w:t>
      </w:r>
      <w:r w:rsidR="0071348A">
        <w:rPr>
          <w:bCs/>
        </w:rPr>
        <w:t>Tumors</w:t>
      </w:r>
      <w:r w:rsidR="00EF71F0">
        <w:rPr>
          <w:bCs/>
        </w:rPr>
        <w:t xml:space="preserve"> by neuro-pathologists at each institution</w:t>
      </w:r>
      <w:r w:rsidR="00BC4582">
        <w:rPr>
          <w:bCs/>
        </w:rPr>
        <w:fldChar w:fldCharType="begin" w:fldLock="1"/>
      </w:r>
      <w:r w:rsidR="000F4EF5">
        <w:rPr>
          <w:bCs/>
        </w:rPr>
        <w:instrText>ADDIN CSL_CITATION {"citationItems":[{"id":"ITEM-1","itemData":{"DOI":"10.1007/s00401-016-1545-1","ISBN":"0040101615451","ISSN":"14320533","PMID":"27157931","abstract":"The 2016 World Health Organization Classification of Tumors of the Central Nervous System is both a conceptual and practical advance over its 2007 predecessor. For the first time, the WHO classification of CNS tumors uses molecular parameters in addition to histology to define many tumor entities, thus formulating a concept for how CNS tumor diagnoses should be structured in the molecular era. As such, the 2016 CNS WHO presents major restructuring of the diffuse gliomas, medulloblastomas and other embryonal tumors, and incorporates new entities that are defined by both histology and molecular features, including glioblastoma, IDH-wildtype and glioblastoma, IDH-mutant; diffuse midline glioma, H3 K27M–mutant; RELA fusion–positive ependymoma; medulloblastoma, WNT-activated and medulloblastoma, SHH-activated; and embryonal tumour with multilayered rosettes, C19MC-altered. The 2016 edition has added newly recognized neoplasms, and has deleted some entities, variants and patterns that no longer have diagnostic and/or biological relevance. Other notable changes include the addition of brain invasion as a criterion for atypical meningioma and the introduction of a soft tissue-type grading system for the now combined entity of solitary fibrous tumor / hemangiopericytoma—a departure from the manner by which other CNS tumors are graded. Overall, it is hoped that the 2016 CNS WHO will facilitate clinical, experimental and epidemiological studies that will lead to improvements in the lives of patients with brain tumors.","author":[{"dropping-particle":"","family":"Louis","given":"David N.","non-dropping-particle":"","parse-names":false,"suffix":""},{"dropping-particle":"","family":"Perry","given":"Arie","non-dropping-particle":"","parse-names":false,"suffix":""},{"dropping-particle":"","family":"Reifenberger","given":"Guido","non-dropping-particle":"","parse-names":false,"suffix":""},{"dropping-particle":"","family":"Deimling","given":"Andreas","non-dropping-particle":"von","parse-names":false,"suffix":""},{"dropping-particle":"","family":"Figarella-Branger","given":"Dominique","non-dropping-particle":"","parse-names":false,"suffix":""},{"dropping-particle":"","family":"Cavenee","given":"Webster K.","non-dropping-particle":"","parse-names":false,"suffix":""},{"dropping-particle":"","family":"Ohgaki","given":"Hiroko","non-dropping-particle":"","parse-names":false,"suffix":""},{"dropping-particle":"","family":"Wiestler","given":"Otmar D.","non-dropping-particle":"","parse-names":false,"suffix":""},{"dropping-particle":"","family":"Kleihues","given":"Paul","non-dropping-particle":"","parse-names":false,"suffix":""},{"dropping-particle":"","family":"Ellison","given":"David W.","non-dropping-particle":"","parse-names":false,"suffix":""}],"container-title":"Acta Neuropathologica","id":"ITEM-1","issue":"6","issued":{"date-parts":[["2016"]]},"page":"803-820","title":"The 2016 World Health Organization Classification of Tumors of the Central Nervous System: a summary","type":"article","volume":"131"},"uris":["http://www.mendeley.com/documents/?uuid=157994ac-627d-47c8-80b9-9036d887dbfe"]}],"mendeley":{"formattedCitation":"&lt;sup&gt;9&lt;/sup&gt;","plainTextFormattedCitation":"9","previouslyFormattedCitation":"&lt;sup&gt;9&lt;/sup&gt;"},"properties":{"noteIndex":0},"schema":"https://github.com/citation-style-language/schema/raw/master/csl-citation.json"}</w:instrText>
      </w:r>
      <w:r w:rsidR="00BC4582">
        <w:rPr>
          <w:bCs/>
        </w:rPr>
        <w:fldChar w:fldCharType="separate"/>
      </w:r>
      <w:r w:rsidR="000F4EF5" w:rsidRPr="000F4EF5">
        <w:rPr>
          <w:bCs/>
          <w:noProof/>
          <w:vertAlign w:val="superscript"/>
        </w:rPr>
        <w:t>9</w:t>
      </w:r>
      <w:r w:rsidR="00BC4582">
        <w:rPr>
          <w:bCs/>
        </w:rPr>
        <w:fldChar w:fldCharType="end"/>
      </w:r>
      <w:r w:rsidR="00EF71F0">
        <w:rPr>
          <w:bCs/>
        </w:rPr>
        <w:t xml:space="preserve">. Surgical pathology for analytical validation and retrospective clinical validation meningiomas was not re-reviewed, and may therefore better represent the intrinsic heterogeneity in </w:t>
      </w:r>
      <w:r w:rsidR="00EE6D88">
        <w:rPr>
          <w:bCs/>
        </w:rPr>
        <w:t xml:space="preserve">routine </w:t>
      </w:r>
      <w:r w:rsidR="00EF71F0">
        <w:rPr>
          <w:bCs/>
        </w:rPr>
        <w:t>clinical practice. Nevertheless, i</w:t>
      </w:r>
      <w:r w:rsidR="00680303" w:rsidRPr="00CE4E1F">
        <w:rPr>
          <w:bCs/>
        </w:rPr>
        <w:t xml:space="preserve">nter-pathologist concordance </w:t>
      </w:r>
      <w:r w:rsidR="00842D07">
        <w:rPr>
          <w:bCs/>
        </w:rPr>
        <w:t>was</w:t>
      </w:r>
      <w:r w:rsidR="00842D07" w:rsidRPr="00CE4E1F">
        <w:rPr>
          <w:bCs/>
        </w:rPr>
        <w:t xml:space="preserve"> </w:t>
      </w:r>
      <w:r w:rsidR="00680303" w:rsidRPr="00CE4E1F">
        <w:rPr>
          <w:bCs/>
        </w:rPr>
        <w:t xml:space="preserve">previously reported to be high in determination of </w:t>
      </w:r>
      <w:r w:rsidR="00EF71F0">
        <w:rPr>
          <w:bCs/>
        </w:rPr>
        <w:t xml:space="preserve">meningioma </w:t>
      </w:r>
      <w:r w:rsidR="00680303" w:rsidRPr="00CE4E1F">
        <w:rPr>
          <w:bCs/>
        </w:rPr>
        <w:t xml:space="preserve">WHO grade based on local versus central review </w:t>
      </w:r>
      <w:r w:rsidR="001B4529">
        <w:rPr>
          <w:bCs/>
        </w:rPr>
        <w:t xml:space="preserve">of the meningiomas from </w:t>
      </w:r>
      <w:r w:rsidR="00680303" w:rsidRPr="00CE4E1F">
        <w:rPr>
          <w:bCs/>
        </w:rPr>
        <w:t>RTOG 0539</w:t>
      </w:r>
      <w:r w:rsidR="001B4529">
        <w:rPr>
          <w:bCs/>
        </w:rPr>
        <w:t xml:space="preserve"> that were included in our study</w:t>
      </w:r>
      <w:r w:rsidR="00680303" w:rsidRPr="00CE4E1F">
        <w:rPr>
          <w:bCs/>
        </w:rPr>
        <w:fldChar w:fldCharType="begin" w:fldLock="1"/>
      </w:r>
      <w:r w:rsidR="000F4EF5">
        <w:rPr>
          <w:bCs/>
        </w:rPr>
        <w:instrText>ADDIN CSL_CITATION {"citationItems":[{"id":"ITEM-1","itemData":{"DOI":"10.1093/neuonc/nov247","ISSN":"15235866","PMID":"26493095","abstract":"Background. With advances in the understanding of histopathology on outcome, accurate meningioma grading becomes critical and drives treatment selection. The 2000 and 2007 WHO schema greatly increased the proportion of grade II meningiomas. Although associations with progression-free survival (PFS) and overall survival (OS) have been independently validated, interobserver concordance has not been formally assessed. Methods. Once mature, NRG Oncology RTOG-0539 will report PFS and OS in variably treated low-, intermediate-, and high-risk cohorts. We address concordance of histopathologic assessment between enrolling institutions and central review, performed by a single pathologist (AP), who is also involved in developing current WHO criteria. Results. The trial included 170 evaluable patients, 2 of whom had 2 eligible pathology reviews from different surgeries, resulting in 172 cases for analysis. Upon central review, 76 cases were categorized as WHO grade I, 71 as grade II, and 25 as grade III. Concordance for tumor grade was 87.2%. Among patients with WHO grades I, II, and III meningioma, respective concordance rates were 93.0%, 87.8%, and 93.6% (P values &lt;.0001). Moderate to substantial agreement was encountered for individual grading criteria and were highest for brain invasion, ≥20 mitoses/10 high-powered field [HPF], and spontaneous necrosis, and lowest for small cells, sheeting, and ≥4 mitoses/10 HPF. In comparison, published concordance for gliomas in clinical trials have ranged from 8%-74%. Conclusion. Our data suggest that current meningioma classification and grading are at least as objective and reproducible as for gliomas. Nevertheless, reproducibility remains suboptimal. Further improvements may be anticipated with education and clarification of subjective criteria, although development of biomarkers may be the most promising strategy.","author":[{"dropping-particle":"","family":"Rogers","given":"C. Leland","non-dropping-particle":"","parse-names":false,"suffix":""},{"dropping-particle":"","family":"Perry","given":"Arie","non-dropping-particle":"","parse-names":false,"suffix":""},{"dropping-particle":"","family":"Pugh","given":"Stephanie","non-dropping-particle":"","parse-names":false,"suffix":""},{"dropping-particle":"","family":"Vogelbaum","given":"Michael A.","non-dropping-particle":"","parse-names":false,"suffix":""},{"dropping-particle":"","family":"Brachman","given":"David","non-dropping-particle":"","parse-names":false,"suffix":""},{"dropping-particle":"","family":"McMillan","given":"William","non-dropping-particle":"","parse-names":false,"suffix":""},{"dropping-particle":"","family":"Jenrette","given":"Joseph","non-dropping-particle":"","parse-names":false,"suffix":""},{"dropping-particle":"","family":"Barani","given":"Igor","non-dropping-particle":"","parse-names":false,"suffix":""},{"dropping-particle":"","family":"Shrieve","given":"Dennis","non-dropping-particle":"","parse-names":false,"suffix":""},{"dropping-particle":"","family":"Sloan","given":"Andy","non-dropping-particle":"","parse-names":false,"suffix":""},{"dropping-particle":"","family":"Bovi","given":"Joseph","non-dropping-particle":"","parse-names":false,"suffix":""},{"dropping-particle":"","family":"Kwok","given":"Young","non-dropping-particle":"","parse-names":false,"suffix":""},{"dropping-particle":"","family":"Burri","given":"Stuart H.","non-dropping-particle":"","parse-names":false,"suffix":""},{"dropping-particle":"","family":"Chao","given":"Samuel T.","non-dropping-particle":"","parse-names":false,"suffix":""},{"dropping-particle":"","family":"Spalding","given":"Aaron C.","non-dropping-particle":"","parse-names":false,"suffix":""},{"dropping-particle":"","family":"Anscher","given":"Mitchell S.","non-dropping-particle":"","parse-names":false,"suffix":""},{"dropping-particle":"","family":"Bloom","given":"Beatrice","non-dropping-particle":"","parse-names":false,"suffix":""},{"dropping-particle":"","family":"Mehta","given":"Minesh","non-dropping-particle":"","parse-names":false,"suffix":""}],"container-title":"Neuro-Oncology","id":"ITEM-1","issue":"4","issued":{"date-parts":[["2016"]]},"page":"565-574","title":"Pathology concordance levels for meningioma classification and grading in NRG Oncology RTOG Trial 0539","type":"article-journal","volume":"18"},"uris":["http://www.mendeley.com/documents/?uuid=8a0f6be6-e1f9-4fbb-a71a-d861758bb87a"]}],"mendeley":{"formattedCitation":"&lt;sup&gt;10&lt;/sup&gt;","plainTextFormattedCitation":"10","previouslyFormattedCitation":"&lt;sup&gt;10&lt;/sup&gt;"},"properties":{"noteIndex":0},"schema":"https://github.com/citation-style-language/schema/raw/master/csl-citation.json"}</w:instrText>
      </w:r>
      <w:r w:rsidR="00680303" w:rsidRPr="00CE4E1F">
        <w:rPr>
          <w:bCs/>
        </w:rPr>
        <w:fldChar w:fldCharType="separate"/>
      </w:r>
      <w:r w:rsidR="000F4EF5" w:rsidRPr="000F4EF5">
        <w:rPr>
          <w:bCs/>
          <w:noProof/>
          <w:vertAlign w:val="superscript"/>
        </w:rPr>
        <w:t>10</w:t>
      </w:r>
      <w:r w:rsidR="00680303" w:rsidRPr="00CE4E1F">
        <w:rPr>
          <w:bCs/>
        </w:rPr>
        <w:fldChar w:fldCharType="end"/>
      </w:r>
      <w:r w:rsidR="001B4529">
        <w:rPr>
          <w:bCs/>
        </w:rPr>
        <w:t>. Moreover, t</w:t>
      </w:r>
      <w:r w:rsidR="0057148A" w:rsidRPr="00CE4E1F">
        <w:rPr>
          <w:bCs/>
        </w:rPr>
        <w:t xml:space="preserve">here was no difference in </w:t>
      </w:r>
      <w:r w:rsidR="00973D59">
        <w:rPr>
          <w:bCs/>
        </w:rPr>
        <w:t>LFFR</w:t>
      </w:r>
      <w:r w:rsidR="0057148A" w:rsidRPr="00CE4E1F">
        <w:rPr>
          <w:bCs/>
        </w:rPr>
        <w:t xml:space="preserve"> across different WHO epochs (</w:t>
      </w:r>
      <w:r w:rsidR="00EF71F0">
        <w:rPr>
          <w:bCs/>
        </w:rPr>
        <w:t>e</w:t>
      </w:r>
      <w:r w:rsidR="0057148A" w:rsidRPr="00CE4E1F">
        <w:rPr>
          <w:bCs/>
        </w:rPr>
        <w:t xml:space="preserve">poch 1: &lt;Jan 1, 2000, </w:t>
      </w:r>
      <w:r w:rsidR="00EF71F0">
        <w:rPr>
          <w:bCs/>
        </w:rPr>
        <w:t>e</w:t>
      </w:r>
      <w:r w:rsidR="0057148A" w:rsidRPr="00CE4E1F">
        <w:rPr>
          <w:bCs/>
        </w:rPr>
        <w:t xml:space="preserve">poch 2: Jan 1, 2000 </w:t>
      </w:r>
      <w:r w:rsidR="00433963">
        <w:rPr>
          <w:bCs/>
        </w:rPr>
        <w:t>-</w:t>
      </w:r>
      <w:r w:rsidR="0057148A" w:rsidRPr="00CE4E1F">
        <w:rPr>
          <w:bCs/>
        </w:rPr>
        <w:t xml:space="preserve"> Jan 1, 2007, </w:t>
      </w:r>
      <w:r w:rsidR="00EF71F0">
        <w:rPr>
          <w:bCs/>
        </w:rPr>
        <w:t>e</w:t>
      </w:r>
      <w:r w:rsidR="0057148A" w:rsidRPr="00CE4E1F">
        <w:rPr>
          <w:bCs/>
        </w:rPr>
        <w:t>poch 3: Jan 1, 2007</w:t>
      </w:r>
      <w:r w:rsidR="00433963">
        <w:rPr>
          <w:bCs/>
        </w:rPr>
        <w:t xml:space="preserve"> </w:t>
      </w:r>
      <w:r w:rsidR="0057148A" w:rsidRPr="00CE4E1F">
        <w:rPr>
          <w:bCs/>
        </w:rPr>
        <w:t>-</w:t>
      </w:r>
      <w:r w:rsidR="00433963">
        <w:rPr>
          <w:bCs/>
        </w:rPr>
        <w:t xml:space="preserve"> </w:t>
      </w:r>
      <w:r w:rsidR="0057148A" w:rsidRPr="00CE4E1F">
        <w:rPr>
          <w:bCs/>
        </w:rPr>
        <w:t xml:space="preserve">Jan 1, 2016, and </w:t>
      </w:r>
      <w:r w:rsidR="00EF71F0">
        <w:rPr>
          <w:bCs/>
        </w:rPr>
        <w:t>e</w:t>
      </w:r>
      <w:r w:rsidR="0057148A" w:rsidRPr="00CE4E1F">
        <w:rPr>
          <w:bCs/>
        </w:rPr>
        <w:t>poch 4: Jan 1, 2016</w:t>
      </w:r>
      <w:r w:rsidR="00433963">
        <w:rPr>
          <w:bCs/>
        </w:rPr>
        <w:t xml:space="preserve"> </w:t>
      </w:r>
      <w:r w:rsidR="0057148A" w:rsidRPr="00CE4E1F">
        <w:rPr>
          <w:bCs/>
        </w:rPr>
        <w:t>-</w:t>
      </w:r>
      <w:r w:rsidR="00433963">
        <w:rPr>
          <w:bCs/>
        </w:rPr>
        <w:t xml:space="preserve"> </w:t>
      </w:r>
      <w:r w:rsidR="0057148A" w:rsidRPr="00CE4E1F">
        <w:rPr>
          <w:bCs/>
        </w:rPr>
        <w:t xml:space="preserve">Jan 1, 2021; </w:t>
      </w:r>
      <w:r w:rsidR="00EF71F0">
        <w:rPr>
          <w:bCs/>
        </w:rPr>
        <w:t>e</w:t>
      </w:r>
      <w:r w:rsidR="0057148A" w:rsidRPr="00CE4E1F">
        <w:rPr>
          <w:bCs/>
        </w:rPr>
        <w:t xml:space="preserve">poch 2 vs 1, P=0.09, </w:t>
      </w:r>
      <w:r w:rsidR="00EF71F0">
        <w:rPr>
          <w:bCs/>
        </w:rPr>
        <w:t>e</w:t>
      </w:r>
      <w:r w:rsidR="0057148A" w:rsidRPr="00CE4E1F">
        <w:rPr>
          <w:bCs/>
        </w:rPr>
        <w:t xml:space="preserve">poch 3 vs 1, P=0.12, </w:t>
      </w:r>
      <w:r w:rsidR="00EF71F0">
        <w:rPr>
          <w:bCs/>
        </w:rPr>
        <w:t>e</w:t>
      </w:r>
      <w:r w:rsidR="0057148A" w:rsidRPr="00CE4E1F">
        <w:rPr>
          <w:bCs/>
        </w:rPr>
        <w:t xml:space="preserve">poch 4 vs 1, P=0.98; N=814 meningiomas), nor was there a significant interaction between WHO grade and WHO epoch </w:t>
      </w:r>
      <w:r w:rsidR="00EF71F0">
        <w:rPr>
          <w:bCs/>
        </w:rPr>
        <w:t xml:space="preserve">for </w:t>
      </w:r>
      <w:r w:rsidR="004C1DA9">
        <w:rPr>
          <w:bCs/>
        </w:rPr>
        <w:t>LFFR</w:t>
      </w:r>
      <w:r w:rsidR="0057148A" w:rsidRPr="00CE4E1F">
        <w:rPr>
          <w:bCs/>
        </w:rPr>
        <w:t xml:space="preserve"> (N=814 meningiomas, interaction P&gt;0.20 for all </w:t>
      </w:r>
      <w:r w:rsidR="00EF71F0">
        <w:rPr>
          <w:bCs/>
        </w:rPr>
        <w:t xml:space="preserve">epoch and WHO grade </w:t>
      </w:r>
      <w:r w:rsidR="0057148A" w:rsidRPr="00CE4E1F">
        <w:rPr>
          <w:bCs/>
        </w:rPr>
        <w:t xml:space="preserve">combinations). </w:t>
      </w:r>
      <w:r w:rsidR="00992E2A" w:rsidRPr="00992E2A">
        <w:rPr>
          <w:bCs/>
        </w:rPr>
        <w:t xml:space="preserve">In </w:t>
      </w:r>
      <w:r w:rsidR="00992E2A">
        <w:rPr>
          <w:bCs/>
        </w:rPr>
        <w:t>the University of Hong Kong</w:t>
      </w:r>
      <w:r w:rsidR="00992E2A" w:rsidRPr="00992E2A">
        <w:rPr>
          <w:bCs/>
        </w:rPr>
        <w:t xml:space="preserve"> </w:t>
      </w:r>
      <w:r w:rsidR="007305EB">
        <w:rPr>
          <w:bCs/>
        </w:rPr>
        <w:t xml:space="preserve">validation </w:t>
      </w:r>
      <w:r w:rsidR="00992E2A" w:rsidRPr="00992E2A">
        <w:rPr>
          <w:bCs/>
        </w:rPr>
        <w:t>cohort</w:t>
      </w:r>
      <w:r w:rsidR="007305EB">
        <w:rPr>
          <w:bCs/>
        </w:rPr>
        <w:t>,</w:t>
      </w:r>
      <w:r w:rsidR="00992E2A">
        <w:rPr>
          <w:bCs/>
        </w:rPr>
        <w:t xml:space="preserve"> which was comprised of consecutive meningiomas resected at a single institution</w:t>
      </w:r>
      <w:r w:rsidR="00992E2A" w:rsidRPr="00992E2A">
        <w:rPr>
          <w:bCs/>
        </w:rPr>
        <w:t xml:space="preserve">, no statistically significant interaction term was observed between the gene expression biomarker and </w:t>
      </w:r>
      <w:r w:rsidR="00965EE6">
        <w:rPr>
          <w:bCs/>
        </w:rPr>
        <w:t>epoch</w:t>
      </w:r>
      <w:r w:rsidR="00992E2A" w:rsidRPr="00992E2A">
        <w:rPr>
          <w:bCs/>
        </w:rPr>
        <w:t xml:space="preserve"> (P=0.592).</w:t>
      </w:r>
    </w:p>
    <w:p w14:paraId="5E04348D" w14:textId="1103D3FD" w:rsidR="00437909" w:rsidRDefault="00EF71F0" w:rsidP="00742F09">
      <w:pPr>
        <w:spacing w:line="360" w:lineRule="auto"/>
        <w:ind w:firstLine="720"/>
        <w:contextualSpacing/>
        <w:jc w:val="both"/>
        <w:rPr>
          <w:bCs/>
        </w:rPr>
      </w:pPr>
      <w:r>
        <w:rPr>
          <w:bCs/>
        </w:rPr>
        <w:t>Neurofibromatosis type 2</w:t>
      </w:r>
      <w:r w:rsidRPr="00437909">
        <w:rPr>
          <w:bCs/>
        </w:rPr>
        <w:t xml:space="preserve"> </w:t>
      </w:r>
      <w:r>
        <w:rPr>
          <w:bCs/>
        </w:rPr>
        <w:t xml:space="preserve">(NF2) </w:t>
      </w:r>
      <w:r w:rsidR="00437909" w:rsidRPr="00437909">
        <w:rPr>
          <w:bCs/>
        </w:rPr>
        <w:t xml:space="preserve">syndrome status was available for 745 cases across 3 cohorts (UCSF discovery, </w:t>
      </w:r>
      <w:r>
        <w:rPr>
          <w:bCs/>
        </w:rPr>
        <w:t xml:space="preserve">The </w:t>
      </w:r>
      <w:r w:rsidR="00437909" w:rsidRPr="00437909">
        <w:rPr>
          <w:bCs/>
        </w:rPr>
        <w:t xml:space="preserve">University of Hong Kong, </w:t>
      </w:r>
      <w:r>
        <w:rPr>
          <w:bCs/>
        </w:rPr>
        <w:t xml:space="preserve">and </w:t>
      </w:r>
      <w:r w:rsidR="00437909" w:rsidRPr="00437909">
        <w:rPr>
          <w:bCs/>
        </w:rPr>
        <w:t>Northwestern University), and was identified in 21 cases (2.8%</w:t>
      </w:r>
      <w:r>
        <w:rPr>
          <w:bCs/>
        </w:rPr>
        <w:t>,</w:t>
      </w:r>
      <w:r w:rsidR="00437909" w:rsidRPr="00437909">
        <w:rPr>
          <w:bCs/>
        </w:rPr>
        <w:t xml:space="preserve"> </w:t>
      </w:r>
      <w:r>
        <w:rPr>
          <w:bCs/>
        </w:rPr>
        <w:t xml:space="preserve">N=10 </w:t>
      </w:r>
      <w:r w:rsidR="00437909" w:rsidRPr="00437909">
        <w:rPr>
          <w:bCs/>
        </w:rPr>
        <w:t xml:space="preserve">WHO grade 1, </w:t>
      </w:r>
      <w:r>
        <w:rPr>
          <w:bCs/>
        </w:rPr>
        <w:t xml:space="preserve">N=3 </w:t>
      </w:r>
      <w:r w:rsidR="00437909" w:rsidRPr="00437909">
        <w:rPr>
          <w:bCs/>
        </w:rPr>
        <w:t xml:space="preserve">WHO grade 2, </w:t>
      </w:r>
      <w:r>
        <w:rPr>
          <w:bCs/>
        </w:rPr>
        <w:t xml:space="preserve">and N=3 </w:t>
      </w:r>
      <w:r w:rsidR="00437909" w:rsidRPr="00437909">
        <w:rPr>
          <w:bCs/>
        </w:rPr>
        <w:t xml:space="preserve">WHO grade 3). With 9 local </w:t>
      </w:r>
      <w:r w:rsidR="00B57C8E">
        <w:rPr>
          <w:bCs/>
        </w:rPr>
        <w:t xml:space="preserve">meningioma </w:t>
      </w:r>
      <w:r w:rsidR="00437909" w:rsidRPr="00437909">
        <w:rPr>
          <w:bCs/>
        </w:rPr>
        <w:t>recurrence</w:t>
      </w:r>
      <w:r>
        <w:rPr>
          <w:bCs/>
        </w:rPr>
        <w:t>s in 21 cases associated with NF2 syndrome</w:t>
      </w:r>
      <w:r w:rsidR="00437909" w:rsidRPr="00437909">
        <w:rPr>
          <w:bCs/>
        </w:rPr>
        <w:t xml:space="preserve">, sample </w:t>
      </w:r>
      <w:r>
        <w:rPr>
          <w:bCs/>
        </w:rPr>
        <w:t xml:space="preserve">size </w:t>
      </w:r>
      <w:r w:rsidR="00B57C8E">
        <w:rPr>
          <w:bCs/>
        </w:rPr>
        <w:t xml:space="preserve">precluded </w:t>
      </w:r>
      <w:r>
        <w:rPr>
          <w:bCs/>
        </w:rPr>
        <w:t>robust interrogat</w:t>
      </w:r>
      <w:r w:rsidR="00B57C8E">
        <w:rPr>
          <w:bCs/>
        </w:rPr>
        <w:t>ion of</w:t>
      </w:r>
      <w:r>
        <w:rPr>
          <w:bCs/>
        </w:rPr>
        <w:t xml:space="preserve"> the gene expression biomarker in this </w:t>
      </w:r>
      <w:r w:rsidR="007D75C0">
        <w:rPr>
          <w:bCs/>
        </w:rPr>
        <w:t>clinical population</w:t>
      </w:r>
      <w:r w:rsidR="00437909" w:rsidRPr="00437909">
        <w:rPr>
          <w:bCs/>
        </w:rPr>
        <w:t xml:space="preserve">. </w:t>
      </w:r>
      <w:r w:rsidR="007D75C0">
        <w:rPr>
          <w:bCs/>
        </w:rPr>
        <w:t>Meningiomas in patients</w:t>
      </w:r>
      <w:r w:rsidR="00437909" w:rsidRPr="00437909">
        <w:rPr>
          <w:bCs/>
        </w:rPr>
        <w:t xml:space="preserve"> </w:t>
      </w:r>
      <w:r w:rsidR="00B57C8E">
        <w:rPr>
          <w:bCs/>
        </w:rPr>
        <w:t xml:space="preserve">with </w:t>
      </w:r>
      <w:r w:rsidR="00437909" w:rsidRPr="00437909">
        <w:rPr>
          <w:bCs/>
        </w:rPr>
        <w:t>NF2 syndrome were more likely to be recurrent (7 of 21, 33%) and recurred frequently (10 of 21, 47.6%, 5-year LFFR 54.6%, 95% CI 34.5%-86.5%).</w:t>
      </w:r>
    </w:p>
    <w:p w14:paraId="07160B0B" w14:textId="37D780EF" w:rsidR="005B5C77" w:rsidRDefault="003A3B8B" w:rsidP="00742F09">
      <w:pPr>
        <w:spacing w:line="360" w:lineRule="auto"/>
        <w:ind w:firstLine="720"/>
        <w:contextualSpacing/>
        <w:jc w:val="both"/>
        <w:rPr>
          <w:bCs/>
        </w:rPr>
      </w:pPr>
      <w:r>
        <w:rPr>
          <w:bCs/>
        </w:rPr>
        <w:t xml:space="preserve">Postoperative </w:t>
      </w:r>
      <w:r w:rsidR="003E1E2F">
        <w:rPr>
          <w:bCs/>
        </w:rPr>
        <w:t xml:space="preserve">fractionated </w:t>
      </w:r>
      <w:r>
        <w:rPr>
          <w:bCs/>
        </w:rPr>
        <w:t>external beam radiotherapy characteristics were collected from available medical records. External beam radiotherapy (N=147 cases) was exclusively photon</w:t>
      </w:r>
      <w:r w:rsidR="003E1E2F">
        <w:rPr>
          <w:bCs/>
        </w:rPr>
        <w:t>-</w:t>
      </w:r>
      <w:r>
        <w:rPr>
          <w:bCs/>
        </w:rPr>
        <w:t xml:space="preserve">based for all cohorts except for </w:t>
      </w:r>
      <w:r w:rsidR="00D1020B">
        <w:rPr>
          <w:bCs/>
        </w:rPr>
        <w:t xml:space="preserve">5 </w:t>
      </w:r>
      <w:r>
        <w:rPr>
          <w:bCs/>
        </w:rPr>
        <w:t xml:space="preserve">patients from Northwestern University who received proton therapy. The median </w:t>
      </w:r>
      <w:r w:rsidR="00D1020B">
        <w:rPr>
          <w:bCs/>
        </w:rPr>
        <w:t xml:space="preserve">postoperative </w:t>
      </w:r>
      <w:r>
        <w:rPr>
          <w:bCs/>
        </w:rPr>
        <w:t>radiotherapy dose was 59.4Gy (IQR 54-60Gy), consistent with doses used in contemporary clinical trials and guidelines</w:t>
      </w:r>
      <w:r>
        <w:rPr>
          <w:bCs/>
        </w:rPr>
        <w:fldChar w:fldCharType="begin" w:fldLock="1"/>
      </w:r>
      <w:r w:rsidR="000F4EF5">
        <w:rPr>
          <w:bCs/>
        </w:rPr>
        <w:instrText>ADDIN CSL_CITATION {"citationItems":[{"id":"ITEM-1","itemData":{"DOI":"10.3171/2016.11.JNS161170","ISSN":"19330693","PMID":"28984517","abstract":"OBJECTIVE This is the first clinical outcomes report of NRG Oncology RTOG 0539, detailing the primary endpoint, 3-year progression-free survival (PFS), compared with a predefined historical control for intermediate-risk meningioma, and secondarily evaluating overall survival (OS), local failure, and prospectively scored adverse events (AEs). METHODS NRG Oncology RTOG 0539 was a Phase II clinical trial allocating meningioma patients to 1 of 3 prognostic groups and management strategies according to WHO grade, recurrence status, and resection extent. For the intermediate-risk group (Group 2), eligible patients had either newly diagnosed WHO Grade II meningioma that had been treated with gross-total resection (GTR; Simpson Grades I-III) or recurrent WHO Grade I meningioma with any resection extent. Pathology and imaging were centrally reviewed. Patients were treated with radiation therapy (RT), either intensity modulated (IMRT) or 3D conformal (3DCRT), 54 Gy in 30 fractions. The RT target volume was defined as the tumor bed and any nodular enhancement (e.g., in patients with recurrent WHO Grade I tumors) with a minimum 8-mm and maximum 15-mm margin, depending on tumor location and setup reproducibility of the RT method. The primary endpoint was 3-year PFS. Results were compared with historical controls (3-year PFS: 70% following GTR alone and 90% with GTR + RT). AEs were scored using NCI Common Toxicity Criteria. RESULTS Fifty-six patients enrolled in the intermediate-risk group, of whom 3 were ineligible and 1 did not receive RT. Of the 52 patients who received protocol therapy, 4 withdrew without a recurrence before 3 years leaving 48 patients evaluable for the primary endpoint, 3-year PFS, which was actuarially 93.8% (p = 0.0003). Within 3 years, 3 patients experienced events affecting PFS: 1 patient with a WHO Grade II tumor died of the disease, 1 patient with a WHO Grade II tumor had disease progression but remained alive, and 1 patient with recurrent WHO Grade I meningioma died of undetermined cause without tumor progression. The 3-year actuarial local failure rate was 4.1%, and the 3-year OS rate was 96%. After 3 years, progression occurred in 2 additional patients: 1 patient with recurrent WHO Grade I meningioma and 1 patient with WHO Grade II disease; both remain alive. Among 52 evaluable patients who received protocol treatment, 36 (69.2%) had WHO Grade II tumors and underwent GTR, and 16 (30.8%) had recurrent WHO Grade I tumors. There was no sig…","author":[{"dropping-particle":"","family":"Rogers","given":"Leland","non-dropping-particle":"","parse-names":false,"suffix":""},{"dropping-particle":"","family":"Zhang","given":"Peixin","non-dropping-particle":"","parse-names":false,"suffix":""},{"dropping-particle":"","family":"Vogelbaum","given":"Michael A.","non-dropping-particle":"","parse-names":false,"suffix":""},{"dropping-particle":"","family":"Perry","given":"Arie","non-dropping-particle":"","parse-names":false,"suffix":""},{"dropping-particle":"","family":"Ashby","given":"Lynn S.","non-dropping-particle":"","parse-names":false,"suffix":""},{"dropping-particle":"","family":"Modi","given":"Jignesh M.","non-dropping-particle":"","parse-names":false,"suffix":""},{"dropping-particle":"","family":"Alleman","given":"Anthony M.","non-dropping-particle":"","parse-names":false,"suffix":""},{"dropping-particle":"","family":"Galvin","given":"James","non-dropping-particle":"","parse-names":false,"suffix":""},{"dropping-particle":"","family":"Brachman","given":"David","non-dropping-particle":"","parse-names":false,"suffix":""},{"dropping-particle":"","family":"Jenrette","given":"Joseph M.","non-dropping-particle":"","parse-names":false,"suffix":""},{"dropping-particle":"","family":"Groot","given":"John","non-dropping-particle":"De","parse-names":false,"suffix":""},{"dropping-particle":"","family":"Bovi","given":"Joseph A.","non-dropping-particle":"","parse-names":false,"suffix":""},{"dropping-particle":"","family":"Werner-Wasik","given":"Maria","non-dropping-particle":"","parse-names":false,"suffix":""},{"dropping-particle":"","family":"Knisely","given":"Jonathan P.S.","non-dropping-particle":"","parse-names":false,"suffix":""},{"dropping-particle":"","family":"Mehta","given":"Minesh P.","non-dropping-particle":"","parse-names":false,"suffix":""}],"container-title":"Journal of Neurosurgery","id":"ITEM-1","issue":"1","issued":{"date-parts":[["2018","10","6"]]},"page":"35-47","title":"Intermediate-risk meningioma: Initial outcomes from NRG Oncology RTOG 0539","type":"article-journal","volume":"129"},"uris":["http://www.mendeley.com/documents/?uuid=19f94c57-1b33-4eef-bd08-86552a82bb69"]},{"id":"ITEM-2","itemData":{"DOI":"10.1016/j.ijrobp.2019.11.028","ISSN":"1879355X","PMID":"31786276","abstract":"Background: Phase 2 cooperative group meningioma trial assessing the safety and efficacy of risk-adaptive management strategies. This is the initial analysis of the high-risk cohort. Methods and Materials: High-risk patients were those with a new or recurrent World Health Organization (WHO) grade III meningioma of any resection extent, recurrent WHO grade II of any resection extent, or new WHO grade II after subtotal resection. Patients received intensity-modulated radiotherapy (IMRT) using a simultaneous integrated boost technique (60 Gy high dose and 54 Gy low dose in 30 fractions). Three-year progression-free survival (PFS) was the primary endpoint. Adverse events (AEs) were scored per NCI Common Terminology Criteria for Adverse Events version 3. Results: Of 57 enrolled patients, 53 received protocol treatment. Median follow-up was 4.0 years (4.8 years for living patients). Two patients withdrew without progression before year 3; for the remaining 51 patients, 3-year PFS was 58.8%. Among all 53 protocol-treated patients, 3-year PFS was 59.2%. Three-year local control was 68.9%, and overall survival was 78.6%. Of 51 patients, 1 patient (1.9%) experienced a late grade-5 necrosis-related AE. All other acute (23 of 53 patients) and late (21 of 51 patients) AEs were grades 1 to 3. Conclusions: Patients with high-risk meningioma treated with IMRT (60 Gy/30) experienced 3-year PFS of 58.8%. Combined acute and late AEs were limited to grades 1 to 3, except for a single necrosis-related grade 5 event. These results support postoperative IMRT for high-risk meningioma and invite ongoing investigations to improve outcomes further.","author":[{"dropping-particle":"","family":"Rogers","given":"C. Leland","non-dropping-particle":"","parse-names":false,"suffix":""},{"dropping-particle":"","family":"Won","given":"Minhee","non-dropping-particle":"","parse-names":false,"suffix":""},{"dropping-particle":"","family":"Vogelbaum","given":"Michael A.","non-dropping-particle":"","parse-names":false,"suffix":""},{"dropping-particle":"","family":"Perry","given":"Arie","non-dropping-particle":"","parse-names":false,"suffix":""},{"dropping-particle":"","family":"Ashby","given":"Lynn S.","non-dropping-particle":"","parse-names":false,"suffix":""},{"dropping-particle":"","family":"Modi","given":"Jignesh M.","non-dropping-particle":"","parse-names":false,"suffix":""},{"dropping-particle":"","family":"Alleman","given":"Anthony M.","non-dropping-particle":"","parse-names":false,"suffix":""},{"dropping-particle":"","family":"Galvin","given":"James","non-dropping-particle":"","parse-names":false,"suffix":""},{"dropping-particle":"","family":"Fogh","given":"Shannon E.","non-dropping-particle":"","parse-names":false,"suffix":""},{"dropping-particle":"","family":"Youssef","given":"Emad","non-dropping-particle":"","parse-names":false,"suffix":""},{"dropping-particle":"","family":"Deb","given":"Nimisha","non-dropping-particle":"","parse-names":false,"suffix":""},{"dropping-particle":"","family":"Kwok","given":"Young","non-dropping-particle":"","parse-names":false,"suffix":""},{"dropping-particle":"","family":"Robinson","given":"Clifford G.","non-dropping-particle":"","parse-names":false,"suffix":""},{"dropping-particle":"","family":"Shu","given":"Hui Kuo","non-dropping-particle":"","parse-names":false,"suffix":""},{"dropping-particle":"","family":"Fisher","given":"Barbara J.","non-dropping-particle":"","parse-names":false,"suffix":""},{"dropping-particle":"","family":"Panet-Raymond","given":"Valerie","non-dropping-particle":"","parse-names":false,"suffix":""},{"dropping-particle":"","family":"McMillan","given":"William G.","non-dropping-particle":"","parse-names":false,"suffix":""},{"dropping-particle":"","family":"Groot","given":"John F.","non-dropping-particle":"de","parse-names":false,"suffix":""},{"dropping-particle":"","family":"Zhang","given":"Peixin","non-dropping-particle":"","parse-names":false,"suffix":""},{"dropping-particle":"","family":"Mehta","given":"Minesh P.","non-dropping-particle":"","parse-names":false,"suffix":""}],"container-title":"International Journal of Radiation Oncology Biology Physics","id":"ITEM-2","issue":"4","issued":{"date-parts":[["2020"]]},"page":"790-799","title":"High-risk Meningioma: Initial Outcomes From NRG Oncology/RTOG 0539","type":"article-journal","volume":"106"},"uris":["http://www.mendeley.com/documents/?uuid=098f4a4f-cee7-4468-acbe-5a3fe57b27d3"]},{"id":"ITEM-3","itemData":{"DOI":"10.1093/neuonc/noab150","ISSN":"15235866","PMID":"34181733","abstract":"Meningiomas are the most common intracranial tumors. Yet, only few controlled clinical trials have been conducted to guide clinical decision making, resulting in variations of management approaches across countries and centers. However, recent advances in molecular genetics and clinical trial results help to refine the diagnostic and therapeutic approach to meningioma. Accordingly, the European Association of Neuro-Oncology (EANO) updated its recommendations for the diagnosis and treatment of meningiomas. A provisional diagnosis of meningioma is typically made by neuroimaging, mostly magnetic resonance imaging. Such provisional diagnoses may be made incidentally. Accordingly, a significant proportion of meningiomas, notably in patients that are asymptomatic or elderly or both, may be managed by a watch-and-scan strategy. A surgical intervention with tissue, commonly with the goal of gross total resection, is required for the definitive diagnosis according to the WHO classification. A role for molecular profiling including gene panel sequencing and genomic methylation profiling is emerging. A gross total surgical resection including the involved dura is often curative. Inoperable or recurrent tumors requiring treatment can be treated with radiosurgery, if the size or the vicinity of critical structures allows that, or with fractionated radiotherapy (RT). Treatment concepts combining surgery and radiosurgery or fractionated RT are increasingly used, although there remain controversies regard timing, type, and dosing of the various RT approaches. Radionuclide therapy targeting somatostatin receptors is an experimental approach, as are all approaches of systemic pharmacotherapy. The best albeit modest results with pharmacotherapy have been obtained with bevacizumab or multikinase inhibitors targeting vascular endothelial growth factor receptor, but no standard of care systemic treatment has been yet defined.","author":[{"dropping-particle":"","family":"Goldbrunner","given":"Roland","non-dropping-particle":"","parse-names":false,"suffix":""},{"dropping-particle":"","family":"Stavrinou","given":"Pantelis","non-dropping-particle":"","parse-names":false,"suffix":""},{"dropping-particle":"","family":"Jenkinson","given":"Michael D.","non-dropping-particle":"","parse-names":false,"suffix":""},{"dropping-particle":"","family":"Sahm","given":"Felix","non-dropping-particle":"","parse-names":false,"suffix":""},{"dropping-particle":"","family":"Mawrin","given":"Christian","non-dropping-particle":"","parse-names":false,"suffix":""},{"dropping-particle":"","family":"Weber","given":"Damien C.","non-dropping-particle":"","parse-names":false,"suffix":""},{"dropping-particle":"","family":"Preusser","given":"Matthias","non-dropping-particle":"","parse-names":false,"suffix":""},{"dropping-particle":"","family":"Minniti","given":"Giuseppe","non-dropping-particle":"","parse-names":false,"suffix":""},{"dropping-particle":"","family":"Lund-Johansen","given":"Morten","non-dropping-particle":"","parse-names":false,"suffix":""},{"dropping-particle":"","family":"Lefranc","given":"Florence","non-dropping-particle":"","parse-names":false,"suffix":""},{"dropping-particle":"","family":"Houdart","given":"Emanuel","non-dropping-particle":"","parse-names":false,"suffix":""},{"dropping-particle":"","family":"Sallabanda","given":"Kita","non-dropping-particle":"","parse-names":false,"suffix":""},{"dropping-particle":"","family":"Rhun","given":"Emilie","non-dropping-particle":"Le","parse-names":false,"suffix":""},{"dropping-particle":"","family":"Nieuwenhuizen","given":"David","non-dropping-particle":"","parse-names":false,"suffix":""},{"dropping-particle":"","family":"Tabatabai","given":"Ghazaleh","non-dropping-particle":"","parse-names":false,"suffix":""},{"dropping-particle":"","family":"Soffietti","given":"Riccardo","non-dropping-particle":"","parse-names":false,"suffix":""},{"dropping-particle":"","family":"Weller","given":"Michael","non-dropping-particle":"","parse-names":false,"suffix":""}],"container-title":"Neuro-Oncology","id":"ITEM-3","issue":"11","issued":{"date-parts":[["2021"]]},"page":"1821-1834","title":"EANO guideline on the diagnosis and management of meningiomas","type":"article-journal","volume":"23"},"uris":["http://www.mendeley.com/documents/?uuid=2b30eafc-8da5-4607-b502-5ce70efe2575"]}],"mendeley":{"formattedCitation":"&lt;sup&gt;11–13&lt;/sup&gt;","plainTextFormattedCitation":"11–13","previouslyFormattedCitation":"&lt;sup&gt;11–13&lt;/sup&gt;"},"properties":{"noteIndex":0},"schema":"https://github.com/citation-style-language/schema/raw/master/csl-citation.json"}</w:instrText>
      </w:r>
      <w:r>
        <w:rPr>
          <w:bCs/>
        </w:rPr>
        <w:fldChar w:fldCharType="separate"/>
      </w:r>
      <w:r w:rsidR="000F4EF5" w:rsidRPr="000F4EF5">
        <w:rPr>
          <w:bCs/>
          <w:noProof/>
          <w:vertAlign w:val="superscript"/>
        </w:rPr>
        <w:t>11–13</w:t>
      </w:r>
      <w:r>
        <w:rPr>
          <w:bCs/>
        </w:rPr>
        <w:fldChar w:fldCharType="end"/>
      </w:r>
      <w:r>
        <w:rPr>
          <w:bCs/>
        </w:rPr>
        <w:t xml:space="preserve">. </w:t>
      </w:r>
    </w:p>
    <w:p w14:paraId="5E507C17" w14:textId="2A965ADE" w:rsidR="00433963" w:rsidRPr="00CE4E1F" w:rsidRDefault="00BE4B7F" w:rsidP="00742F09">
      <w:pPr>
        <w:spacing w:line="360" w:lineRule="auto"/>
        <w:ind w:firstLine="720"/>
        <w:contextualSpacing/>
        <w:jc w:val="both"/>
        <w:rPr>
          <w:bCs/>
        </w:rPr>
      </w:pPr>
      <w:r>
        <w:rPr>
          <w:bCs/>
        </w:rPr>
        <w:t xml:space="preserve">Additional analytical validation cohorts comprised of </w:t>
      </w:r>
      <w:r w:rsidR="001939F8">
        <w:rPr>
          <w:bCs/>
        </w:rPr>
        <w:t xml:space="preserve">microarray or </w:t>
      </w:r>
      <w:r w:rsidR="001C2B46">
        <w:rPr>
          <w:bCs/>
        </w:rPr>
        <w:t xml:space="preserve">RNA sequencing data with or without clinical </w:t>
      </w:r>
      <w:r w:rsidR="003E6FF2">
        <w:rPr>
          <w:bCs/>
        </w:rPr>
        <w:t xml:space="preserve">follow up </w:t>
      </w:r>
      <w:r w:rsidR="001C2B46">
        <w:rPr>
          <w:bCs/>
        </w:rPr>
        <w:t>data were obtained from publicly available sources</w:t>
      </w:r>
      <w:r w:rsidR="00C82F33">
        <w:rPr>
          <w:bCs/>
        </w:rPr>
        <w:t xml:space="preserve"> or from</w:t>
      </w:r>
      <w:r w:rsidR="001C2B46">
        <w:rPr>
          <w:bCs/>
        </w:rPr>
        <w:t xml:space="preserve"> </w:t>
      </w:r>
      <w:r w:rsidR="001939F8">
        <w:rPr>
          <w:bCs/>
        </w:rPr>
        <w:t>co-</w:t>
      </w:r>
      <w:r w:rsidR="001C2B46">
        <w:rPr>
          <w:bCs/>
        </w:rPr>
        <w:lastRenderedPageBreak/>
        <w:t xml:space="preserve">authors (Table S4). RNA sequencing data was provided in the form of pre-processed transcript-per-million (TPM) </w:t>
      </w:r>
      <w:r w:rsidR="001939F8">
        <w:rPr>
          <w:bCs/>
        </w:rPr>
        <w:t>matri</w:t>
      </w:r>
      <w:r w:rsidR="00C82F33">
        <w:rPr>
          <w:bCs/>
        </w:rPr>
        <w:t>c</w:t>
      </w:r>
      <w:r w:rsidR="001939F8">
        <w:rPr>
          <w:bCs/>
        </w:rPr>
        <w:t>es</w:t>
      </w:r>
      <w:r w:rsidR="001C2B46">
        <w:rPr>
          <w:bCs/>
        </w:rPr>
        <w:t xml:space="preserve">. These included 360 FFPE meningiomas with </w:t>
      </w:r>
      <w:r w:rsidR="001939F8">
        <w:rPr>
          <w:bCs/>
        </w:rPr>
        <w:t xml:space="preserve">RNA sequencing data </w:t>
      </w:r>
      <w:r w:rsidR="001C2B46">
        <w:rPr>
          <w:bCs/>
        </w:rPr>
        <w:t xml:space="preserve">from Caris Life Sciences, 110 frozen meningiomas with </w:t>
      </w:r>
      <w:r w:rsidR="001939F8">
        <w:rPr>
          <w:bCs/>
        </w:rPr>
        <w:t xml:space="preserve">RNA sequencing data </w:t>
      </w:r>
      <w:r w:rsidR="001C2B46">
        <w:rPr>
          <w:bCs/>
        </w:rPr>
        <w:t xml:space="preserve">from Baylor College of Medicine, 47 frozen meningiomas with </w:t>
      </w:r>
      <w:r w:rsidR="001939F8">
        <w:rPr>
          <w:bCs/>
        </w:rPr>
        <w:t xml:space="preserve">RNA sequencing data </w:t>
      </w:r>
      <w:r w:rsidR="001C2B46">
        <w:rPr>
          <w:bCs/>
        </w:rPr>
        <w:t xml:space="preserve">from Brigham and Women’s Hospital, 64 FFPE meningiomas with </w:t>
      </w:r>
      <w:r w:rsidR="001939F8">
        <w:rPr>
          <w:bCs/>
        </w:rPr>
        <w:t xml:space="preserve">RNA sequencing data </w:t>
      </w:r>
      <w:r w:rsidR="001C2B46">
        <w:rPr>
          <w:bCs/>
        </w:rPr>
        <w:t xml:space="preserve">from Heidelberg University, </w:t>
      </w:r>
      <w:r w:rsidR="001939F8">
        <w:rPr>
          <w:bCs/>
        </w:rPr>
        <w:t xml:space="preserve">56 frozen meningiomas with microarray data from the University of California Los Angeles, </w:t>
      </w:r>
      <w:r w:rsidR="001C2B46">
        <w:rPr>
          <w:bCs/>
        </w:rPr>
        <w:t xml:space="preserve">29 frozen pediatric meningiomas from the Children’s Brain Tumor Network, and 31 frozen meningiomas </w:t>
      </w:r>
      <w:r w:rsidR="001939F8">
        <w:rPr>
          <w:bCs/>
        </w:rPr>
        <w:t xml:space="preserve">with RNA sequencing data </w:t>
      </w:r>
      <w:r w:rsidR="001C2B46">
        <w:rPr>
          <w:bCs/>
        </w:rPr>
        <w:t>from University Hospital Magdeburg.</w:t>
      </w:r>
    </w:p>
    <w:p w14:paraId="1C5AF7F9" w14:textId="77777777" w:rsidR="005C3A0E" w:rsidRPr="00CE4E1F" w:rsidRDefault="005C3A0E" w:rsidP="00742F09">
      <w:pPr>
        <w:spacing w:line="360" w:lineRule="auto"/>
        <w:contextualSpacing/>
        <w:jc w:val="both"/>
        <w:rPr>
          <w:bCs/>
          <w:iCs/>
        </w:rPr>
      </w:pPr>
    </w:p>
    <w:p w14:paraId="0B0C9A9E" w14:textId="54C3212C" w:rsidR="0048334E" w:rsidRPr="00CE4E1F" w:rsidRDefault="0048334E" w:rsidP="00742F09">
      <w:pPr>
        <w:spacing w:line="360" w:lineRule="auto"/>
        <w:contextualSpacing/>
        <w:jc w:val="both"/>
        <w:rPr>
          <w:i/>
        </w:rPr>
      </w:pPr>
      <w:r w:rsidRPr="00CE4E1F">
        <w:rPr>
          <w:i/>
        </w:rPr>
        <w:t xml:space="preserve">Clinical data and analyses from prospective RTOG 0539 </w:t>
      </w:r>
      <w:r w:rsidR="009F5517" w:rsidRPr="00CE4E1F">
        <w:rPr>
          <w:i/>
        </w:rPr>
        <w:t xml:space="preserve">validation </w:t>
      </w:r>
      <w:r w:rsidR="00915EDE">
        <w:rPr>
          <w:i/>
        </w:rPr>
        <w:t xml:space="preserve">cohort </w:t>
      </w:r>
      <w:r w:rsidRPr="00CE4E1F">
        <w:rPr>
          <w:i/>
        </w:rPr>
        <w:t>meningiomas</w:t>
      </w:r>
    </w:p>
    <w:p w14:paraId="7D549949" w14:textId="1928C086" w:rsidR="007D75C0" w:rsidRDefault="00145DEC" w:rsidP="00742F09">
      <w:pPr>
        <w:spacing w:line="360" w:lineRule="auto"/>
        <w:ind w:firstLine="720"/>
        <w:contextualSpacing/>
        <w:jc w:val="both"/>
      </w:pPr>
      <w:r w:rsidRPr="00CE4E1F">
        <w:t>P</w:t>
      </w:r>
      <w:r w:rsidR="0048334E" w:rsidRPr="00CE4E1F">
        <w:t>rospectively-collected FFPE meningiomas from the RTOG 0539</w:t>
      </w:r>
      <w:r w:rsidR="0048334E" w:rsidRPr="00CE4E1F">
        <w:fldChar w:fldCharType="begin" w:fldLock="1"/>
      </w:r>
      <w:r w:rsidR="000F4EF5">
        <w:instrText>ADDIN CSL_CITATION {"citationItems":[{"id":"ITEM-1","itemData":{"DOI":"10.1016/j.ijrobp.2019.11.028","ISSN":"1879355X","PMID":"31786276","abstract":"Background: Phase 2 cooperative group meningioma trial assessing the safety and efficacy of risk-adaptive management strategies. This is the initial analysis of the high-risk cohort. Methods and Materials: High-risk patients were those with a new or recurrent World Health Organization (WHO) grade III meningioma of any resection extent, recurrent WHO grade II of any resection extent, or new WHO grade II after subtotal resection. Patients received intensity-modulated radiotherapy (IMRT) using a simultaneous integrated boost technique (60 Gy high dose and 54 Gy low dose in 30 fractions). Three-year progression-free survival (PFS) was the primary endpoint. Adverse events (AEs) were scored per NCI Common Terminology Criteria for Adverse Events version 3. Results: Of 57 enrolled patients, 53 received protocol treatment. Median follow-up was 4.0 years (4.8 years for living patients). Two patients withdrew without progression before year 3; for the remaining 51 patients, 3-year PFS was 58.8%. Among all 53 protocol-treated patients, 3-year PFS was 59.2%. Three-year local control was 68.9%, and overall survival was 78.6%. Of 51 patients, 1 patient (1.9%) experienced a late grade-5 necrosis-related AE. All other acute (23 of 53 patients) and late (21 of 51 patients) AEs were grades 1 to 3. Conclusions: Patients with high-risk meningioma treated with IMRT (60 Gy/30) experienced 3-year PFS of 58.8%. Combined acute and late AEs were limited to grades 1 to 3, except for a single necrosis-related grade 5 event. These results support postoperative IMRT for high-risk meningioma and invite ongoing investigations to improve outcomes further.","author":[{"dropping-particle":"","family":"Rogers","given":"C. Leland","non-dropping-particle":"","parse-names":false,"suffix":""},{"dropping-particle":"","family":"Won","given":"Minhee","non-dropping-particle":"","parse-names":false,"suffix":""},{"dropping-particle":"","family":"Vogelbaum","given":"Michael A.","non-dropping-particle":"","parse-names":false,"suffix":""},{"dropping-particle":"","family":"Perry","given":"Arie","non-dropping-particle":"","parse-names":false,"suffix":""},{"dropping-particle":"","family":"Ashby","given":"Lynn S.","non-dropping-particle":"","parse-names":false,"suffix":""},{"dropping-particle":"","family":"Modi","given":"Jignesh M.","non-dropping-particle":"","parse-names":false,"suffix":""},{"dropping-particle":"","family":"Alleman","given":"Anthony M.","non-dropping-particle":"","parse-names":false,"suffix":""},{"dropping-particle":"","family":"Galvin","given":"James","non-dropping-particle":"","parse-names":false,"suffix":""},{"dropping-particle":"","family":"Fogh","given":"Shannon E.","non-dropping-particle":"","parse-names":false,"suffix":""},{"dropping-particle":"","family":"Youssef","given":"Emad","non-dropping-particle":"","parse-names":false,"suffix":""},{"dropping-particle":"","family":"Deb","given":"Nimisha","non-dropping-particle":"","parse-names":false,"suffix":""},{"dropping-particle":"","family":"Kwok","given":"Young","non-dropping-particle":"","parse-names":false,"suffix":""},{"dropping-particle":"","family":"Robinson","given":"Clifford G.","non-dropping-particle":"","parse-names":false,"suffix":""},{"dropping-particle":"","family":"Shu","given":"Hui Kuo","non-dropping-particle":"","parse-names":false,"suffix":""},{"dropping-particle":"","family":"Fisher","given":"Barbara J.","non-dropping-particle":"","parse-names":false,"suffix":""},{"dropping-particle":"","family":"Panet-Raymond","given":"Valerie","non-dropping-particle":"","parse-names":false,"suffix":""},{"dropping-particle":"","family":"McMillan","given":"William G.","non-dropping-particle":"","parse-names":false,"suffix":""},{"dropping-particle":"","family":"Groot","given":"John F.","non-dropping-particle":"de","parse-names":false,"suffix":""},{"dropping-particle":"","family":"Zhang","given":"Peixin","non-dropping-particle":"","parse-names":false,"suffix":""},{"dropping-particle":"","family":"Mehta","given":"Minesh P.","non-dropping-particle":"","parse-names":false,"suffix":""}],"container-title":"International Journal of Radiation Oncology Biology Physics","id":"ITEM-1","issue":"4","issued":{"date-parts":[["2020"]]},"page":"790-799","title":"High-risk Meningioma: Initial Outcomes From NRG Oncology/RTOG 0539","type":"article-journal","volume":"106"},"uris":["http://www.mendeley.com/documents/?uuid=098f4a4f-cee7-4468-acbe-5a3fe57b27d3"]},{"id":"ITEM-2","itemData":{"DOI":"10.3171/2016.11.JNS161170","ISSN":"19330693","PMID":"28984517","abstract":"OBJECTIVE This is the first clinical outcomes report of NRG Oncology RTOG 0539, detailing the primary endpoint, 3-year progression-free survival (PFS), compared with a predefined historical control for intermediate-risk meningioma, and secondarily evaluating overall survival (OS), local failure, and prospectively scored adverse events (AEs). METHODS NRG Oncology RTOG 0539 was a Phase II clinical trial allocating meningioma patients to 1 of 3 prognostic groups and management strategies according to WHO grade, recurrence status, and resection extent. For the intermediate-risk group (Group 2), eligible patients had either newly diagnosed WHO Grade II meningioma that had been treated with gross-total resection (GTR; Simpson Grades I-III) or recurrent WHO Grade I meningioma with any resection extent. Pathology and imaging were centrally reviewed. Patients were treated with radiation therapy (RT), either intensity modulated (IMRT) or 3D conformal (3DCRT), 54 Gy in 30 fractions. The RT target volume was defined as the tumor bed and any nodular enhancement (e.g., in patients with recurrent WHO Grade I tumors) with a minimum 8-mm and maximum 15-mm margin, depending on tumor location and setup reproducibility of the RT method. The primary endpoint was 3-year PFS. Results were compared with historical controls (3-year PFS: 70% following GTR alone and 90% with GTR + RT). AEs were scored using NCI Common Toxicity Criteria. RESULTS Fifty-six patients enrolled in the intermediate-risk group, of whom 3 were ineligible and 1 did not receive RT. Of the 52 patients who received protocol therapy, 4 withdrew without a recurrence before 3 years leaving 48 patients evaluable for the primary endpoint, 3-year PFS, which was actuarially 93.8% (p = 0.0003). Within 3 years, 3 patients experienced events affecting PFS: 1 patient with a WHO Grade II tumor died of the disease, 1 patient with a WHO Grade II tumor had disease progression but remained alive, and 1 patient with recurrent WHO Grade I meningioma died of undetermined cause without tumor progression. The 3-year actuarial local failure rate was 4.1%, and the 3-year OS rate was 96%. After 3 years, progression occurred in 2 additional patients: 1 patient with recurrent WHO Grade I meningioma and 1 patient with WHO Grade II disease; both remain alive. Among 52 evaluable patients who received protocol treatment, 36 (69.2%) had WHO Grade II tumors and underwent GTR, and 16 (30.8%) had recurrent WHO Grade I tumors. There was no sig…","author":[{"dropping-particle":"","family":"Rogers","given":"Leland","non-dropping-particle":"","parse-names":false,"suffix":""},{"dropping-particle":"","family":"Zhang","given":"Peixin","non-dropping-particle":"","parse-names":false,"suffix":""},{"dropping-particle":"","family":"Vogelbaum","given":"Michael A.","non-dropping-particle":"","parse-names":false,"suffix":""},{"dropping-particle":"","family":"Perry","given":"Arie","non-dropping-particle":"","parse-names":false,"suffix":""},{"dropping-particle":"","family":"Ashby","given":"Lynn S.","non-dropping-particle":"","parse-names":false,"suffix":""},{"dropping-particle":"","family":"Modi","given":"Jignesh M.","non-dropping-particle":"","parse-names":false,"suffix":""},{"dropping-particle":"","family":"Alleman","given":"Anthony M.","non-dropping-particle":"","parse-names":false,"suffix":""},{"dropping-particle":"","family":"Galvin","given":"James","non-dropping-particle":"","parse-names":false,"suffix":""},{"dropping-particle":"","family":"Brachman","given":"David","non-dropping-particle":"","parse-names":false,"suffix":""},{"dropping-particle":"","family":"Jenrette","given":"Joseph M.","non-dropping-particle":"","parse-names":false,"suffix":""},{"dropping-particle":"","family":"Groot","given":"John","non-dropping-particle":"De","parse-names":false,"suffix":""},{"dropping-particle":"","family":"Bovi","given":"Joseph A.","non-dropping-particle":"","parse-names":false,"suffix":""},{"dropping-particle":"","family":"Werner-Wasik","given":"Maria","non-dropping-particle":"","parse-names":false,"suffix":""},{"dropping-particle":"","family":"Knisely","given":"Jonathan P.S.","non-dropping-particle":"","parse-names":false,"suffix":""},{"dropping-particle":"","family":"Mehta","given":"Minesh P.","non-dropping-particle":"","parse-names":false,"suffix":""}],"container-title":"Journal of Neurosurgery","id":"ITEM-2","issue":"1","issued":{"date-parts":[["2018","10","6"]]},"page":"35-47","title":"Intermediate-risk meningioma: Initial outcomes from NRG Oncology RTOG 0539","type":"article-journal","volume":"129"},"uris":["http://www.mendeley.com/documents/?uuid=19f94c57-1b33-4eef-bd08-86552a82bb69"]},{"id":"ITEM-3","itemData":{"DOI":"10.1093/neuonc/noac137","ISSN":"1523-5866","PMID":"35657335","abstract":"BACKGROUND Three- and five-year progression-free survival (PFS) for low-risk meningioma managed with surgery and observation exceeds 90%. Herewith we summarize outcomes for low-risk meningioma patients enrolled on NRG/RTOG 0539. METHODS This phase II trial allocated patients to 1 of 3 groups per WHO grade, recurrence status, and resection extent. Low-risk patients had either gross total (GTR) or subtotal resection (STR) for a newly diagnosed grade 1 meningioma and were observed after surgery. The primary endpoint was 3-year PFS. Adverse events (AEs) were scored using CTCAE version 3. RESULTS Among 60 evaluable patients, median follow-up was 9.1 years. The 3, 5, and 10 year rates were 91.4% (95% CI:84.2-98.6), 89.4% (95% CI:81.3-97.5), 85.0% (95% CI:75.3-94.7) for PFS and 98.3% (95% CI:94.9-100), 98.3%, (95% CI:94.9-100), 93.8% (95% CI:87.0-100) for overall survival (OS), respectively. With centrally confirmed GTR, 3/5/10y PFS and OS rates were 94.3/94.3/87.6% and 97.1/97.1/90.4%. With STR, 3/5/10y PFS rates were 83.1/72.7/72.7% and 10y OS 100%. Five patients reported 1 grade 3, 4 grade 2, and 5 grade 1 adverse events. There were no grade 4 or 5 adverse events. CONCLUSIONS These results prospectively validate high PFS and OS for low-risk meningioma managed surgically but raise questions regarding optimal management following STR, a subcohort that could potentially benefit from adjuvant therapy.","author":[{"dropping-particle":"","family":"Rogers","given":"C Leland","non-dropping-particle":"","parse-names":false,"suffix":""},{"dropping-particle":"","family":"Pugh","given":"Stephanie L","non-dropping-particle":"","parse-names":false,"suffix":""},{"dropping-particle":"","family":"Vogelbaum","given":"Michael A","non-dropping-particle":"","parse-names":false,"suffix":""},{"dropping-particle":"","family":"Perry","given":"Arie","non-dropping-particle":"","parse-names":false,"suffix":""},{"dropping-particle":"","family":"Ashby","given":"Lynn S","non-dropping-particle":"","parse-names":false,"suffix":""},{"dropping-particle":"","family":"Modi","given":"Jignesh M","non-dropping-particle":"","parse-names":false,"suffix":""},{"dropping-particle":"","family":"Alleman","given":"Anthony M","non-dropping-particle":"","parse-names":false,"suffix":""},{"dropping-particle":"","family":"Barani","given":"Igor J","non-dropping-particle":"","parse-names":false,"suffix":""},{"dropping-particle":"","family":"Braunstein","given":"Steve","non-dropping-particle":"","parse-names":false,"suffix":""},{"dropping-particle":"","family":"Bovi","given":"Joseph A","non-dropping-particle":"","parse-names":false,"suffix":""},{"dropping-particle":"","family":"Groot","given":"John F","non-dropping-particle":"de","parse-names":false,"suffix":""},{"dropping-particle":"","family":"Whitton","given":"Anthony C","non-dropping-particle":"","parse-names":false,"suffix":""},{"dropping-particle":"","family":"Lindhorst","given":"Scott M","non-dropping-particle":"","parse-names":false,"suffix":""},{"dropping-particle":"","family":"Deb","given":"Nimisha","non-dropping-particle":"","parse-names":false,"suffix":""},{"dropping-particle":"","family":"Shrieve","given":"Dennis C","non-dropping-particle":"","parse-names":false,"suffix":""},{"dropping-particle":"","family":"Shu","given":"Hui-Kuo","non-dropping-particle":"","parse-names":false,"suffix":""},{"dropping-particle":"","family":"Bloom","given":"Beatrice","non-dropping-particle":"","parse-names":false,"suffix":""},{"dropping-particle":"","family":"Machtay","given":"Mitchell","non-dropping-particle":"","parse-names":false,"suffix":""},{"dropping-particle":"V","family":"Mishra","given":"Mark","non-dropping-particle":"","parse-names":false,"suffix":""},{"dropping-particle":"","family":"Robinson","given":"Clifford G","non-dropping-particle":"","parse-names":false,"suffix":""},{"dropping-particle":"","family":"Won","given":"Minhee","non-dropping-particle":"","parse-names":false,"suffix":""},{"dropping-particle":"","family":"Mehta","given":"Minesh P","non-dropping-particle":"","parse-names":false,"suffix":""}],"container-title":"Neuro-oncology","id":"ITEM-3","issued":{"date-parts":[["2022","6","3"]]},"title":"Low-Risk Meningioma: Initial Outcomes from NRG Oncology/RTOG 0539.","type":"article-journal"},"uris":["http://www.mendeley.com/documents/?uuid=41921338-4c0b-4f7f-97b9-7c0ca4c95a57"]}],"mendeley":{"formattedCitation":"&lt;sup&gt;11,12,14&lt;/sup&gt;","plainTextFormattedCitation":"11,12,14","previouslyFormattedCitation":"&lt;sup&gt;11,12,14&lt;/sup&gt;"},"properties":{"noteIndex":0},"schema":"https://github.com/citation-style-language/schema/raw/master/csl-citation.json"}</w:instrText>
      </w:r>
      <w:r w:rsidR="0048334E" w:rsidRPr="00CE4E1F">
        <w:fldChar w:fldCharType="separate"/>
      </w:r>
      <w:r w:rsidR="000F4EF5" w:rsidRPr="000F4EF5">
        <w:rPr>
          <w:noProof/>
          <w:vertAlign w:val="superscript"/>
        </w:rPr>
        <w:t>11,12,14</w:t>
      </w:r>
      <w:r w:rsidR="0048334E" w:rsidRPr="00CE4E1F">
        <w:fldChar w:fldCharType="end"/>
      </w:r>
      <w:r w:rsidR="0048334E" w:rsidRPr="00CE4E1F">
        <w:t xml:space="preserve"> </w:t>
      </w:r>
      <w:r w:rsidRPr="00CE4E1F">
        <w:t xml:space="preserve">clinical </w:t>
      </w:r>
      <w:r w:rsidR="0048334E" w:rsidRPr="00CE4E1F">
        <w:t xml:space="preserve">trial </w:t>
      </w:r>
      <w:r w:rsidRPr="00CE4E1F">
        <w:t xml:space="preserve">were </w:t>
      </w:r>
      <w:r w:rsidR="0048334E" w:rsidRPr="00CE4E1F">
        <w:t xml:space="preserve">obtained from NRG Oncology, </w:t>
      </w:r>
      <w:r w:rsidRPr="00CE4E1F">
        <w:t xml:space="preserve">and </w:t>
      </w:r>
      <w:r w:rsidR="004C65A3">
        <w:t xml:space="preserve">non-NRG Oncology </w:t>
      </w:r>
      <w:r w:rsidR="000A5926">
        <w:t>authors</w:t>
      </w:r>
      <w:r w:rsidRPr="00CE4E1F">
        <w:t xml:space="preserve"> </w:t>
      </w:r>
      <w:r w:rsidR="0048334E" w:rsidRPr="00CE4E1F">
        <w:t xml:space="preserve">were blinded to </w:t>
      </w:r>
      <w:r w:rsidRPr="00CE4E1F">
        <w:t xml:space="preserve">the </w:t>
      </w:r>
      <w:r w:rsidR="0048334E" w:rsidRPr="00CE4E1F">
        <w:t xml:space="preserve">clinical data from this </w:t>
      </w:r>
      <w:r w:rsidR="004C65A3">
        <w:t>study</w:t>
      </w:r>
      <w:r w:rsidR="0048334E" w:rsidRPr="00CE4E1F">
        <w:t xml:space="preserve">. Available FFPE cores (N=103) were provided by NRG Oncology, which represented all non-depleted </w:t>
      </w:r>
      <w:r w:rsidR="007D75C0">
        <w:t xml:space="preserve">RTOG 0539 </w:t>
      </w:r>
      <w:r w:rsidR="0048334E" w:rsidRPr="00CE4E1F">
        <w:t xml:space="preserve">samples available </w:t>
      </w:r>
      <w:r w:rsidRPr="00CE4E1F">
        <w:t>in</w:t>
      </w:r>
      <w:r w:rsidR="0048334E" w:rsidRPr="00CE4E1F">
        <w:t xml:space="preserve"> the NRG biobank</w:t>
      </w:r>
      <w:r w:rsidR="007D75C0">
        <w:t xml:space="preserve"> in 2022</w:t>
      </w:r>
      <w:r w:rsidR="0048334E" w:rsidRPr="00CE4E1F">
        <w:t>. Cohort characteristics are shown in Table S1</w:t>
      </w:r>
      <w:r w:rsidR="00291296">
        <w:t>3</w:t>
      </w:r>
      <w:r w:rsidR="0048334E" w:rsidRPr="00CE4E1F">
        <w:t xml:space="preserve">. FFPE cores were processed and </w:t>
      </w:r>
      <w:r w:rsidR="000A5926">
        <w:t xml:space="preserve">gene expression </w:t>
      </w:r>
      <w:r w:rsidR="0048334E" w:rsidRPr="00CE4E1F">
        <w:t xml:space="preserve">risk scores </w:t>
      </w:r>
      <w:r w:rsidRPr="00CE4E1F">
        <w:t xml:space="preserve">were </w:t>
      </w:r>
      <w:r w:rsidR="0048334E" w:rsidRPr="00CE4E1F">
        <w:t xml:space="preserve">calculated by the </w:t>
      </w:r>
      <w:r w:rsidR="004C65A3">
        <w:t>primary</w:t>
      </w:r>
      <w:r w:rsidR="004C65A3" w:rsidRPr="00CE4E1F">
        <w:t xml:space="preserve"> </w:t>
      </w:r>
      <w:r w:rsidR="0048334E" w:rsidRPr="00CE4E1F">
        <w:t>author</w:t>
      </w:r>
      <w:r w:rsidR="004C65A3">
        <w:t>s (WCC, DRR)</w:t>
      </w:r>
      <w:r w:rsidR="0048334E" w:rsidRPr="00CE4E1F">
        <w:t xml:space="preserve"> according to the </w:t>
      </w:r>
      <w:r w:rsidR="004C65A3">
        <w:t>procedure</w:t>
      </w:r>
      <w:r w:rsidR="000A5926">
        <w:t>s</w:t>
      </w:r>
      <w:r w:rsidR="004C65A3">
        <w:t xml:space="preserve"> described </w:t>
      </w:r>
      <w:r w:rsidR="0048334E" w:rsidRPr="00CE4E1F">
        <w:t>above</w:t>
      </w:r>
      <w:r w:rsidRPr="00CE4E1F">
        <w:t>. A</w:t>
      </w:r>
      <w:r w:rsidR="0048334E" w:rsidRPr="00CE4E1F">
        <w:t xml:space="preserve">ll statistical evaluation of </w:t>
      </w:r>
      <w:r w:rsidR="000A5926">
        <w:t xml:space="preserve">gene expression </w:t>
      </w:r>
      <w:r w:rsidR="0048334E" w:rsidRPr="00CE4E1F">
        <w:t xml:space="preserve">biomarker performance in </w:t>
      </w:r>
      <w:r w:rsidRPr="00CE4E1F">
        <w:t>RTOG 0539 meningiomas</w:t>
      </w:r>
      <w:r w:rsidR="0048334E" w:rsidRPr="00CE4E1F">
        <w:t xml:space="preserve"> was performed </w:t>
      </w:r>
      <w:r w:rsidRPr="00CE4E1F">
        <w:t xml:space="preserve">independently </w:t>
      </w:r>
      <w:r w:rsidR="0048334E" w:rsidRPr="00CE4E1F">
        <w:t>by statisticians at NRG Oncology (M</w:t>
      </w:r>
      <w:r w:rsidR="004C65A3">
        <w:t>YC</w:t>
      </w:r>
      <w:r w:rsidR="0048334E" w:rsidRPr="00CE4E1F">
        <w:t>P, MW).</w:t>
      </w:r>
      <w:r w:rsidR="00CF6B64">
        <w:t xml:space="preserve"> </w:t>
      </w:r>
    </w:p>
    <w:p w14:paraId="6D1C1E86" w14:textId="29885AB5" w:rsidR="007D75C0" w:rsidRDefault="007D75C0" w:rsidP="00742F09">
      <w:pPr>
        <w:spacing w:line="360" w:lineRule="auto"/>
        <w:ind w:firstLine="720"/>
        <w:contextualSpacing/>
        <w:jc w:val="both"/>
      </w:pPr>
      <w:r>
        <w:t xml:space="preserve">In brief, RTOG 0539 was a Phase II multicenter prospective trial stratifying meningioma patients into 3 clinical risk </w:t>
      </w:r>
      <w:r w:rsidR="009A5986">
        <w:t>groups</w:t>
      </w:r>
      <w:r w:rsidR="0037218D" w:rsidRPr="0037218D">
        <w:t xml:space="preserve"> </w:t>
      </w:r>
      <w:r w:rsidR="0037218D">
        <w:t>after surgical resection</w:t>
      </w:r>
      <w:r>
        <w:t xml:space="preserve">: low clinical risk comprised </w:t>
      </w:r>
      <w:r w:rsidR="009A5986">
        <w:t xml:space="preserve">of </w:t>
      </w:r>
      <w:r w:rsidR="0037218D">
        <w:t>primary</w:t>
      </w:r>
      <w:r>
        <w:t xml:space="preserve"> WHO grade 1 meningiomas after </w:t>
      </w:r>
      <w:r w:rsidR="0037218D">
        <w:t>any resection</w:t>
      </w:r>
      <w:r>
        <w:t>; intermediate clinical risk comprised of recurrent WHO grade 1 meningioma</w:t>
      </w:r>
      <w:r w:rsidR="009A5986">
        <w:t>s</w:t>
      </w:r>
      <w:r>
        <w:t xml:space="preserve"> after </w:t>
      </w:r>
      <w:r w:rsidR="009A5986">
        <w:t>any resection</w:t>
      </w:r>
      <w:r>
        <w:t xml:space="preserve">, or </w:t>
      </w:r>
      <w:r w:rsidR="0037218D">
        <w:t>primary</w:t>
      </w:r>
      <w:r>
        <w:t xml:space="preserve"> WHO grade 2 meningioma</w:t>
      </w:r>
      <w:r w:rsidR="009A5986">
        <w:t>s</w:t>
      </w:r>
      <w:r>
        <w:t xml:space="preserve"> after </w:t>
      </w:r>
      <w:r w:rsidR="009A5986">
        <w:t>GTR</w:t>
      </w:r>
      <w:r>
        <w:t xml:space="preserve">; </w:t>
      </w:r>
      <w:r w:rsidR="009A5986">
        <w:t xml:space="preserve">and </w:t>
      </w:r>
      <w:r>
        <w:t xml:space="preserve">high clinical risk comprised </w:t>
      </w:r>
      <w:r w:rsidR="009A5986">
        <w:t xml:space="preserve">of </w:t>
      </w:r>
      <w:r>
        <w:t>WHO grade 3 meningioma</w:t>
      </w:r>
      <w:r w:rsidR="009A5986">
        <w:t>s</w:t>
      </w:r>
      <w:r>
        <w:t xml:space="preserve"> </w:t>
      </w:r>
      <w:r w:rsidR="009A5986">
        <w:t>after</w:t>
      </w:r>
      <w:r>
        <w:t xml:space="preserve"> any resection, recurrent WHO grade 2 meningioma</w:t>
      </w:r>
      <w:r w:rsidR="004C0883">
        <w:t>s</w:t>
      </w:r>
      <w:r>
        <w:t xml:space="preserve"> </w:t>
      </w:r>
      <w:r w:rsidR="009A5986">
        <w:t>after</w:t>
      </w:r>
      <w:r>
        <w:t xml:space="preserve"> any resection, and </w:t>
      </w:r>
      <w:r w:rsidR="0037218D">
        <w:t>primary</w:t>
      </w:r>
      <w:r>
        <w:t xml:space="preserve"> WHO grade 2 meningioma</w:t>
      </w:r>
      <w:r w:rsidR="004C0883">
        <w:t>s</w:t>
      </w:r>
      <w:r>
        <w:t xml:space="preserve"> after </w:t>
      </w:r>
      <w:r w:rsidR="004C0883">
        <w:t>STR</w:t>
      </w:r>
      <w:r>
        <w:t xml:space="preserve">. Intermediate and high </w:t>
      </w:r>
      <w:r w:rsidR="004C0883">
        <w:t xml:space="preserve">clinical </w:t>
      </w:r>
      <w:r>
        <w:t xml:space="preserve">risk patients </w:t>
      </w:r>
      <w:r w:rsidR="004C0883">
        <w:t xml:space="preserve">enrolled on RTOG 0539 </w:t>
      </w:r>
      <w:r>
        <w:t xml:space="preserve">received adjuvant radiotherapy, while low </w:t>
      </w:r>
      <w:r w:rsidR="004C0883">
        <w:t xml:space="preserve">clinical </w:t>
      </w:r>
      <w:r>
        <w:t xml:space="preserve">risk patients underwent </w:t>
      </w:r>
      <w:r w:rsidR="000A5926">
        <w:t>postoperative surveillance</w:t>
      </w:r>
      <w:r>
        <w:t>.</w:t>
      </w:r>
    </w:p>
    <w:p w14:paraId="7D944635" w14:textId="775A36B5" w:rsidR="0048334E" w:rsidRPr="00CE4E1F" w:rsidRDefault="00CF6B64" w:rsidP="00742F09">
      <w:pPr>
        <w:spacing w:line="360" w:lineRule="auto"/>
        <w:ind w:firstLine="720"/>
        <w:contextualSpacing/>
        <w:jc w:val="both"/>
        <w:rPr>
          <w:bCs/>
          <w:iCs/>
        </w:rPr>
      </w:pPr>
      <w:r>
        <w:t xml:space="preserve">Surveillance imaging </w:t>
      </w:r>
      <w:r w:rsidR="007D75C0">
        <w:t xml:space="preserve">in RTOG 0539 was standardized </w:t>
      </w:r>
      <w:r>
        <w:t>per protocol</w:t>
      </w:r>
      <w:r w:rsidR="007D75C0">
        <w:t>, and was comprised of</w:t>
      </w:r>
      <w:r>
        <w:t xml:space="preserve"> MRI imaging at </w:t>
      </w:r>
      <w:r w:rsidRPr="00CF6B64">
        <w:t xml:space="preserve">6-month intervals for at least 3 years, </w:t>
      </w:r>
      <w:r>
        <w:t xml:space="preserve">or </w:t>
      </w:r>
      <w:r w:rsidRPr="00CF6B64">
        <w:t>more frequently if indicate</w:t>
      </w:r>
      <w:r>
        <w:t>d clinically</w:t>
      </w:r>
      <w:r w:rsidRPr="00CF6B64">
        <w:t xml:space="preserve">. Patients </w:t>
      </w:r>
      <w:r>
        <w:t xml:space="preserve">receiving radiotherapy </w:t>
      </w:r>
      <w:r w:rsidR="0037218D">
        <w:t>underwent surveillance</w:t>
      </w:r>
      <w:r w:rsidRPr="00CF6B64">
        <w:t xml:space="preserve"> MRI 3 months post-</w:t>
      </w:r>
      <w:r>
        <w:t>radiation</w:t>
      </w:r>
      <w:r w:rsidRPr="00CF6B64">
        <w:t xml:space="preserve">, </w:t>
      </w:r>
      <w:r>
        <w:t xml:space="preserve">followed by </w:t>
      </w:r>
      <w:r w:rsidR="007D75C0">
        <w:t xml:space="preserve">MRI imaging at </w:t>
      </w:r>
      <w:r w:rsidR="007D75C0" w:rsidRPr="00CF6B64">
        <w:t>6-month intervals for at least 3 years</w:t>
      </w:r>
      <w:r w:rsidRPr="00CF6B64">
        <w:t xml:space="preserve">. Thereafter, protocol imaging </w:t>
      </w:r>
      <w:r>
        <w:t xml:space="preserve">consisted of </w:t>
      </w:r>
      <w:r w:rsidR="007D75C0">
        <w:t>MRI imaging at 12</w:t>
      </w:r>
      <w:r w:rsidR="007D75C0" w:rsidRPr="00CF6B64">
        <w:t>-month intervals</w:t>
      </w:r>
      <w:r w:rsidR="007D75C0">
        <w:t xml:space="preserve"> for 10 years</w:t>
      </w:r>
      <w:r w:rsidRPr="00CF6B64">
        <w:t>.</w:t>
      </w:r>
      <w:r w:rsidR="00E67BFB">
        <w:t xml:space="preserve"> </w:t>
      </w:r>
      <w:r w:rsidR="00C62A40" w:rsidRPr="00C62A40">
        <w:rPr>
          <w:bCs/>
        </w:rPr>
        <w:t xml:space="preserve">The trial protocol stipulated at minimum the </w:t>
      </w:r>
      <w:r w:rsidR="00C62A40" w:rsidRPr="00C62A40">
        <w:rPr>
          <w:bCs/>
        </w:rPr>
        <w:lastRenderedPageBreak/>
        <w:t>inclusion of pre- and post-contrast T1, T2, and FLAIR</w:t>
      </w:r>
      <w:r w:rsidR="00E96977">
        <w:rPr>
          <w:bCs/>
        </w:rPr>
        <w:t xml:space="preserve"> sequences</w:t>
      </w:r>
      <w:r w:rsidR="00C62A40" w:rsidRPr="00C62A40">
        <w:rPr>
          <w:bCs/>
        </w:rPr>
        <w:t>, and multi-planar MRI imaging</w:t>
      </w:r>
      <w:r w:rsidR="00E96977">
        <w:rPr>
          <w:bCs/>
        </w:rPr>
        <w:t>. P</w:t>
      </w:r>
      <w:r w:rsidR="00C62A40" w:rsidRPr="00C62A40">
        <w:rPr>
          <w:bCs/>
        </w:rPr>
        <w:t>ostoperative MRI imaging within 3 months of surgery was mandated, and imaging studies from RTOG 0539 were centrally reviewed for determination of extent of resection.</w:t>
      </w:r>
    </w:p>
    <w:p w14:paraId="0D360ED4" w14:textId="77777777" w:rsidR="0048334E" w:rsidRPr="00CE4E1F" w:rsidRDefault="0048334E" w:rsidP="00742F09">
      <w:pPr>
        <w:spacing w:line="360" w:lineRule="auto"/>
        <w:contextualSpacing/>
        <w:jc w:val="both"/>
        <w:rPr>
          <w:bCs/>
          <w:i/>
          <w:iCs/>
        </w:rPr>
      </w:pPr>
    </w:p>
    <w:p w14:paraId="785949D0" w14:textId="5B6001E8" w:rsidR="00AE2F75" w:rsidRPr="00CE4E1F" w:rsidRDefault="00AE2F75" w:rsidP="00742F09">
      <w:pPr>
        <w:spacing w:line="360" w:lineRule="auto"/>
        <w:contextualSpacing/>
        <w:jc w:val="both"/>
        <w:rPr>
          <w:bCs/>
          <w:i/>
          <w:iCs/>
        </w:rPr>
      </w:pPr>
      <w:r w:rsidRPr="00CE4E1F">
        <w:rPr>
          <w:bCs/>
          <w:i/>
          <w:iCs/>
        </w:rPr>
        <w:t>RNA sequencing and analysis</w:t>
      </w:r>
    </w:p>
    <w:p w14:paraId="46E7BED7" w14:textId="31879309" w:rsidR="006C477C" w:rsidRPr="00CE4E1F" w:rsidRDefault="006C477C" w:rsidP="00742F09">
      <w:pPr>
        <w:spacing w:line="360" w:lineRule="auto"/>
        <w:ind w:firstLine="720"/>
        <w:contextualSpacing/>
        <w:jc w:val="both"/>
        <w:rPr>
          <w:bCs/>
        </w:rPr>
      </w:pPr>
      <w:r w:rsidRPr="00CE4E1F">
        <w:rPr>
          <w:bCs/>
        </w:rPr>
        <w:t>RNA sequencing of discovery cohort samples was performed as previously described</w:t>
      </w:r>
      <w:r w:rsidR="00680303" w:rsidRPr="00CE4E1F">
        <w:rPr>
          <w:bCs/>
        </w:rPr>
        <w:fldChar w:fldCharType="begin" w:fldLock="1"/>
      </w:r>
      <w:r w:rsidR="00680303" w:rsidRPr="00CE4E1F">
        <w:rPr>
          <w:bCs/>
        </w:rPr>
        <w:instrText>ADDIN CSL_CITATION {"citationItems":[{"id":"ITEM-1","itemData":{"DOI":"10.1038/s41588-022-01061-8","ISSN":"15461718","PMID":"35534562","abstract":"Meningiomas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Genetics","id":"ITEM-1","issue":"5","issued":{"date-parts":[["2022","5","9"]]},"page":"649-659","title":"Meningioma DNA methylation groups identify biological drivers and therapeutic vulnerabilities","type":"article-journal","volume":"54"},"uris":["http://www.mendeley.com/documents/?uuid=703cdae5-1236-49c4-bdb8-590c06b07bcf"]}],"mendeley":{"formattedCitation":"&lt;sup&gt;1&lt;/sup&gt;","plainTextFormattedCitation":"1","previouslyFormattedCitation":"&lt;sup&gt;1&lt;/sup&gt;"},"properties":{"noteIndex":0},"schema":"https://github.com/citation-style-language/schema/raw/master/csl-citation.json"}</w:instrText>
      </w:r>
      <w:r w:rsidR="00680303" w:rsidRPr="00CE4E1F">
        <w:rPr>
          <w:bCs/>
        </w:rPr>
        <w:fldChar w:fldCharType="separate"/>
      </w:r>
      <w:r w:rsidR="00680303" w:rsidRPr="00CE4E1F">
        <w:rPr>
          <w:bCs/>
          <w:noProof/>
          <w:vertAlign w:val="superscript"/>
        </w:rPr>
        <w:t>1</w:t>
      </w:r>
      <w:r w:rsidR="00680303" w:rsidRPr="00CE4E1F">
        <w:rPr>
          <w:bCs/>
        </w:rPr>
        <w:fldChar w:fldCharType="end"/>
      </w:r>
      <w:r w:rsidRPr="00CE4E1F">
        <w:rPr>
          <w:bCs/>
        </w:rPr>
        <w:t xml:space="preserve">. For RNA sequencing of </w:t>
      </w:r>
      <w:r w:rsidR="00145DEC" w:rsidRPr="00CE4E1F">
        <w:rPr>
          <w:bCs/>
        </w:rPr>
        <w:t>T</w:t>
      </w:r>
      <w:r w:rsidRPr="00CE4E1F">
        <w:rPr>
          <w:bCs/>
        </w:rPr>
        <w:t xml:space="preserve">he University of Hong Kong </w:t>
      </w:r>
      <w:r w:rsidR="00145DEC" w:rsidRPr="00CE4E1F">
        <w:rPr>
          <w:bCs/>
        </w:rPr>
        <w:t xml:space="preserve">clinical </w:t>
      </w:r>
      <w:r w:rsidRPr="00CE4E1F">
        <w:rPr>
          <w:bCs/>
        </w:rPr>
        <w:t xml:space="preserve">validation cohort, library preparation was performed using the TruSeq Standard mRNA Kit (#20020595, Illumina), and 150 bp paired-end reads were sequenced on an Illumina NovaSeq 6000 to an average of 20 million reads per sample. Sequencing was performed </w:t>
      </w:r>
      <w:r w:rsidR="00145DEC" w:rsidRPr="00CE4E1F">
        <w:rPr>
          <w:bCs/>
        </w:rPr>
        <w:t xml:space="preserve">at </w:t>
      </w:r>
      <w:r w:rsidRPr="00CE4E1F">
        <w:rPr>
          <w:bCs/>
        </w:rPr>
        <w:t>MedGenome Inc</w:t>
      </w:r>
      <w:r w:rsidR="00145DEC" w:rsidRPr="00CE4E1F">
        <w:rPr>
          <w:bCs/>
        </w:rPr>
        <w:t>.</w:t>
      </w:r>
      <w:r w:rsidRPr="00CE4E1F">
        <w:rPr>
          <w:bCs/>
        </w:rPr>
        <w:t xml:space="preserve"> (Foster City, CA). Analysis was performed using a pipeline comprised of FastQC for quality control and Kallisto</w:t>
      </w:r>
      <w:r w:rsidR="008E0232" w:rsidRPr="00CE4E1F">
        <w:rPr>
          <w:bCs/>
        </w:rPr>
        <w:t xml:space="preserve"> (v0.46.2)</w:t>
      </w:r>
      <w:r w:rsidRPr="00CE4E1F">
        <w:rPr>
          <w:bCs/>
        </w:rPr>
        <w:t xml:space="preserve"> for pseudo alignment and transcript abundance quantification using default settings</w:t>
      </w:r>
      <w:r w:rsidR="008E0232" w:rsidRPr="00CE4E1F">
        <w:rPr>
          <w:bCs/>
        </w:rPr>
        <w:t xml:space="preserve">. </w:t>
      </w:r>
      <w:r w:rsidR="00145DEC" w:rsidRPr="00CE4E1F">
        <w:rPr>
          <w:bCs/>
        </w:rPr>
        <w:t>Gene expression types</w:t>
      </w:r>
      <w:r w:rsidR="00680303" w:rsidRPr="00CE4E1F">
        <w:rPr>
          <w:bCs/>
        </w:rPr>
        <w:fldChar w:fldCharType="begin" w:fldLock="1"/>
      </w:r>
      <w:r w:rsidR="000F4EF5">
        <w:rPr>
          <w:bCs/>
        </w:rPr>
        <w:instrText>ADDIN CSL_CITATION {"citationItems":[{"id":"ITEM-1","itemData":{"DOI":"10.1073/pnas.1912858116","ISSN":"10916490","PMID":"31591222","abstract":"Meningiomas account for one-third of all primary brain tumors. Although typically benign, about 20% of meningiomas are aggressive, and despite the rigor of the current histopathological classification system there remains considerable uncertainty in predicting tumor behavior. Here, we analyzed 160 tumors from all 3 World Health Organization (WHO) grades (I through III) using clinical, gene expression, and sequencing data. Unsupervised clustering analysis identified 3 molecular types (A, B, and C) that reliably predicted recurrence. These groups did not directly correlate with the WHO grading system, which classifies more than half of the tumors in the most aggressive molecular type as benign. Transcriptional and biochemical analyses revealed that aggressive meningiomas involve loss of the repressor function of the DREAM complex, which results in cell-cycle activation; only tumors in this category tend to recur after full resection. These findings should improve our ability to predict recurrence and develop targeted treatments for these clinically challenging tumors.","author":[{"dropping-particle":"","family":"Patel","given":"Akash J.","non-dropping-particle":"","parse-names":false,"suffix":""},{"dropping-particle":"","family":"Wan","given":"Ying Wooi","non-dropping-particle":"","parse-names":false,"suffix":""},{"dropping-particle":"","family":"Al-Ouran","given":"Rami","non-dropping-particle":"","parse-names":false,"suffix":""},{"dropping-particle":"","family":"Revelli","given":"Jean Pierre","non-dropping-particle":"","parse-names":false,"suffix":""},{"dropping-particle":"","family":"Cardenas","given":"Maria F.","non-dropping-particle":"","parse-names":false,"suffix":""},{"dropping-particle":"","family":"Oneissi","given":"Mazen","non-dropping-particle":"","parse-names":false,"suffix":""},{"dropping-particle":"","family":"Xi","given":"Liu","non-dropping-particle":"","parse-names":false,"suffix":""},{"dropping-particle":"","family":"Jalali","given":"Ali","non-dropping-particle":"","parse-names":false,"suffix":""},{"dropping-particle":"","family":"Magnotti","given":"John F.","non-dropping-particle":"","parse-names":false,"suffix":""},{"dropping-particle":"","family":"Muzny","given":"Donna M.","non-dropping-particle":"","parse-names":false,"suffix":""},{"dropping-particle":"","family":"Doddapaneni","given":"Harsha Vardhan","non-dropping-particle":"","parse-names":false,"suffix":""},{"dropping-particle":"","family":"Sebastian","given":"Sherly","non-dropping-particle":"","parse-names":false,"suffix":""},{"dropping-particle":"","family":"Heck","given":"Kent A.","non-dropping-particle":"","parse-names":false,"suffix":""},{"dropping-particle":"","family":"Clay Goodman","given":"J.","non-dropping-particle":"","parse-names":false,"suffix":""},{"dropping-particle":"","family":"Gopinath","given":"Shankar P.","non-dropping-particle":"","parse-names":false,"suffix":""},{"dropping-particle":"","family":"Liu","given":"Zhandong","non-dropping-particle":"","parse-names":false,"suffix":""},{"dropping-particle":"","family":"Rao","given":"Ganesh","non-dropping-particle":"","parse-names":false,"suffix":""},{"dropping-particle":"","family":"Plon","given":"Sharon E.","non-dropping-particle":"","parse-names":false,"suffix":""},{"dropping-particle":"","family":"Yoshor","given":"Daniel","non-dropping-particle":"","parse-names":false,"suffix":""},{"dropping-particle":"","family":"Wheeler","given":"David A.","non-dropping-particle":"","parse-names":false,"suffix":""},{"dropping-particle":"","family":"Zoghbi","given":"Huda Y.","non-dropping-particle":"","parse-names":false,"suffix":""},{"dropping-particle":"","family":"Klisch","given":"Tiemo J.","non-dropping-particle":"","parse-names":false,"suffix":""}],"container-title":"Proceedings of the National Academy of Sciences of the United States of America","id":"ITEM-1","issue":"43","issued":{"date-parts":[["2019"]]},"page":"21715-21726","title":"Molecular profiling predicts meningioma recurrence and reveals loss of DREAM complex repression in aggressive tumors","type":"article-journal","volume":"116"},"uris":["http://www.mendeley.com/documents/?uuid=1b4206bc-8c3c-450b-8aa6-392bbc4800d8"]}],"mendeley":{"formattedCitation":"&lt;sup&gt;15&lt;/sup&gt;","plainTextFormattedCitation":"15","previouslyFormattedCitation":"&lt;sup&gt;15&lt;/sup&gt;"},"properties":{"noteIndex":0},"schema":"https://github.com/citation-style-language/schema/raw/master/csl-citation.json"}</w:instrText>
      </w:r>
      <w:r w:rsidR="00680303" w:rsidRPr="00CE4E1F">
        <w:rPr>
          <w:bCs/>
        </w:rPr>
        <w:fldChar w:fldCharType="separate"/>
      </w:r>
      <w:r w:rsidR="000F4EF5" w:rsidRPr="000F4EF5">
        <w:rPr>
          <w:bCs/>
          <w:noProof/>
          <w:vertAlign w:val="superscript"/>
        </w:rPr>
        <w:t>15</w:t>
      </w:r>
      <w:r w:rsidR="00680303" w:rsidRPr="00CE4E1F">
        <w:rPr>
          <w:bCs/>
        </w:rPr>
        <w:fldChar w:fldCharType="end"/>
      </w:r>
      <w:r w:rsidR="0016127C" w:rsidRPr="00CE4E1F">
        <w:rPr>
          <w:bCs/>
        </w:rPr>
        <w:t xml:space="preserve"> were assigned </w:t>
      </w:r>
      <w:r w:rsidR="006A4C63" w:rsidRPr="00CE4E1F">
        <w:rPr>
          <w:bCs/>
        </w:rPr>
        <w:t xml:space="preserve">independently </w:t>
      </w:r>
      <w:r w:rsidR="0016127C" w:rsidRPr="00CE4E1F">
        <w:rPr>
          <w:bCs/>
        </w:rPr>
        <w:t xml:space="preserve">by authors </w:t>
      </w:r>
      <w:r w:rsidR="00145DEC" w:rsidRPr="00CE4E1F">
        <w:rPr>
          <w:bCs/>
        </w:rPr>
        <w:t>who developed this classification system (JCB, ASH, TK, AJP),</w:t>
      </w:r>
      <w:r w:rsidR="0016127C" w:rsidRPr="00CE4E1F">
        <w:rPr>
          <w:bCs/>
        </w:rPr>
        <w:t xml:space="preserve"> </w:t>
      </w:r>
      <w:r w:rsidR="009F5517" w:rsidRPr="00CE4E1F">
        <w:rPr>
          <w:bCs/>
        </w:rPr>
        <w:t xml:space="preserve">and </w:t>
      </w:r>
      <w:r w:rsidR="00145DEC" w:rsidRPr="00CE4E1F">
        <w:rPr>
          <w:bCs/>
        </w:rPr>
        <w:t>who were</w:t>
      </w:r>
      <w:r w:rsidR="00AE21EA" w:rsidRPr="00CE4E1F">
        <w:rPr>
          <w:bCs/>
        </w:rPr>
        <w:t xml:space="preserve"> blinded to clinical outcomes</w:t>
      </w:r>
      <w:r w:rsidR="00145DEC" w:rsidRPr="00CE4E1F">
        <w:rPr>
          <w:bCs/>
        </w:rPr>
        <w:t xml:space="preserve"> and </w:t>
      </w:r>
      <w:r w:rsidR="009F5517" w:rsidRPr="00CE4E1F">
        <w:rPr>
          <w:bCs/>
        </w:rPr>
        <w:t xml:space="preserve">other </w:t>
      </w:r>
      <w:r w:rsidR="00145DEC" w:rsidRPr="00CE4E1F">
        <w:rPr>
          <w:bCs/>
        </w:rPr>
        <w:t>molecular characteristics</w:t>
      </w:r>
      <w:r w:rsidR="0016127C" w:rsidRPr="00CE4E1F">
        <w:rPr>
          <w:bCs/>
        </w:rPr>
        <w:t>.</w:t>
      </w:r>
    </w:p>
    <w:p w14:paraId="49932335" w14:textId="77777777" w:rsidR="006C477C" w:rsidRPr="00CE4E1F" w:rsidRDefault="006C477C" w:rsidP="00742F09">
      <w:pPr>
        <w:spacing w:line="360" w:lineRule="auto"/>
        <w:contextualSpacing/>
        <w:jc w:val="both"/>
        <w:rPr>
          <w:bCs/>
        </w:rPr>
      </w:pPr>
    </w:p>
    <w:p w14:paraId="288F9601" w14:textId="43EFCFCA" w:rsidR="00BE7535" w:rsidRPr="00CE4E1F" w:rsidRDefault="00BE7535" w:rsidP="00742F09">
      <w:pPr>
        <w:spacing w:line="360" w:lineRule="auto"/>
        <w:contextualSpacing/>
        <w:jc w:val="both"/>
        <w:rPr>
          <w:i/>
          <w:iCs/>
        </w:rPr>
      </w:pPr>
      <w:r w:rsidRPr="00CE4E1F">
        <w:rPr>
          <w:i/>
          <w:iCs/>
        </w:rPr>
        <w:t xml:space="preserve">DNA methylation </w:t>
      </w:r>
      <w:r w:rsidR="00AE2F75" w:rsidRPr="00CE4E1F">
        <w:rPr>
          <w:i/>
          <w:iCs/>
        </w:rPr>
        <w:t>profiling and analysis</w:t>
      </w:r>
    </w:p>
    <w:p w14:paraId="6203482E" w14:textId="4EF70AB7" w:rsidR="000A7806" w:rsidRPr="00CE4E1F" w:rsidRDefault="000A7806" w:rsidP="00742F09">
      <w:pPr>
        <w:spacing w:line="360" w:lineRule="auto"/>
        <w:ind w:firstLine="720"/>
        <w:contextualSpacing/>
        <w:jc w:val="both"/>
        <w:rPr>
          <w:iCs/>
        </w:rPr>
      </w:pPr>
      <w:r w:rsidRPr="00CE4E1F">
        <w:rPr>
          <w:iCs/>
        </w:rPr>
        <w:t>DNA methylation profiling was performed as previously described</w:t>
      </w:r>
      <w:r w:rsidR="00680303" w:rsidRPr="00CE4E1F">
        <w:rPr>
          <w:iCs/>
        </w:rPr>
        <w:fldChar w:fldCharType="begin" w:fldLock="1"/>
      </w:r>
      <w:r w:rsidR="00680303" w:rsidRPr="00CE4E1F">
        <w:rPr>
          <w:iCs/>
        </w:rPr>
        <w:instrText>ADDIN CSL_CITATION {"citationItems":[{"id":"ITEM-1","itemData":{"DOI":"10.1038/s41588-022-01061-8","ISSN":"15461718","PMID":"35534562","abstract":"Meningiomas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Genetics","id":"ITEM-1","issue":"5","issued":{"date-parts":[["2022","5","9"]]},"page":"649-659","title":"Meningioma DNA methylation groups identify biological drivers and therapeutic vulnerabilities","type":"article-journal","volume":"54"},"uris":["http://www.mendeley.com/documents/?uuid=703cdae5-1236-49c4-bdb8-590c06b07bcf"]}],"mendeley":{"formattedCitation":"&lt;sup&gt;1&lt;/sup&gt;","plainTextFormattedCitation":"1","previouslyFormattedCitation":"&lt;sup&gt;1&lt;/sup&gt;"},"properties":{"noteIndex":0},"schema":"https://github.com/citation-style-language/schema/raw/master/csl-citation.json"}</w:instrText>
      </w:r>
      <w:r w:rsidR="00680303" w:rsidRPr="00CE4E1F">
        <w:rPr>
          <w:iCs/>
        </w:rPr>
        <w:fldChar w:fldCharType="separate"/>
      </w:r>
      <w:r w:rsidR="00680303" w:rsidRPr="00CE4E1F">
        <w:rPr>
          <w:iCs/>
          <w:noProof/>
          <w:vertAlign w:val="superscript"/>
        </w:rPr>
        <w:t>1</w:t>
      </w:r>
      <w:r w:rsidR="00680303" w:rsidRPr="00CE4E1F">
        <w:rPr>
          <w:iCs/>
        </w:rPr>
        <w:fldChar w:fldCharType="end"/>
      </w:r>
      <w:r w:rsidRPr="00CE4E1F">
        <w:rPr>
          <w:iCs/>
        </w:rPr>
        <w:t xml:space="preserve"> using the Illumina Methylation EPIC Beadchip (WG-317-1003, Illumina) according to manufacturer instructions</w:t>
      </w:r>
      <w:r w:rsidR="005B5F0B">
        <w:rPr>
          <w:iCs/>
        </w:rPr>
        <w:t>. P</w:t>
      </w:r>
      <w:r w:rsidRPr="00CE4E1F">
        <w:rPr>
          <w:iCs/>
        </w:rPr>
        <w:t xml:space="preserve">re-processing and β-value calculations were </w:t>
      </w:r>
      <w:r w:rsidR="00145DEC" w:rsidRPr="00CE4E1F">
        <w:rPr>
          <w:iCs/>
        </w:rPr>
        <w:t>performed using</w:t>
      </w:r>
      <w:r w:rsidRPr="00CE4E1F">
        <w:rPr>
          <w:iCs/>
        </w:rPr>
        <w:t xml:space="preserve"> the SeSAMe (v1.12.9) pipeline (BioConductor 3.13) with default settings. All </w:t>
      </w:r>
      <w:r w:rsidR="00145DEC" w:rsidRPr="00CE4E1F">
        <w:rPr>
          <w:iCs/>
        </w:rPr>
        <w:t xml:space="preserve">DNA </w:t>
      </w:r>
      <w:r w:rsidRPr="00CE4E1F">
        <w:rPr>
          <w:iCs/>
        </w:rPr>
        <w:t>methylation profiling was performed at the Molecular Genomics Core at the University of Southern California</w:t>
      </w:r>
      <w:r w:rsidR="00DD2640">
        <w:rPr>
          <w:iCs/>
        </w:rPr>
        <w:t xml:space="preserve"> (Los Angeles, CA)</w:t>
      </w:r>
      <w:r w:rsidRPr="00CE4E1F">
        <w:rPr>
          <w:iCs/>
        </w:rPr>
        <w:t xml:space="preserve">. </w:t>
      </w:r>
      <w:r w:rsidR="00D53007" w:rsidRPr="00CE4E1F">
        <w:rPr>
          <w:iCs/>
        </w:rPr>
        <w:t xml:space="preserve">Assignment of meningiomas to DNA methylation groups or DNA methylation </w:t>
      </w:r>
      <w:r w:rsidR="00D53007" w:rsidRPr="00A4622C">
        <w:rPr>
          <w:iCs/>
        </w:rPr>
        <w:t>subgroups was performed using previously trained support vector models by the author</w:t>
      </w:r>
      <w:r w:rsidR="00954E0D">
        <w:rPr>
          <w:iCs/>
        </w:rPr>
        <w:t>s</w:t>
      </w:r>
      <w:r w:rsidR="00D53007" w:rsidRPr="00A4622C">
        <w:rPr>
          <w:iCs/>
        </w:rPr>
        <w:t xml:space="preserve"> who developed these classification systems (</w:t>
      </w:r>
      <w:hyperlink r:id="rId8" w:history="1">
        <w:r w:rsidR="00DF2D3F" w:rsidRPr="007D75C0">
          <w:rPr>
            <w:rStyle w:val="Hyperlink"/>
          </w:rPr>
          <w:t>https://william-c-chen.shinyapps.io/MeninMethylClassApp/</w:t>
        </w:r>
      </w:hyperlink>
      <w:r w:rsidR="00D53007" w:rsidRPr="00A4622C">
        <w:rPr>
          <w:iCs/>
        </w:rPr>
        <w:t>)</w:t>
      </w:r>
      <w:r w:rsidR="00D53007" w:rsidRPr="00A4622C">
        <w:rPr>
          <w:iCs/>
        </w:rPr>
        <w:fldChar w:fldCharType="begin" w:fldLock="1"/>
      </w:r>
      <w:r w:rsidR="000F4EF5">
        <w:rPr>
          <w:iCs/>
        </w:rPr>
        <w:instrText>ADDIN CSL_CITATION {"citationItems":[{"id":"ITEM-1","itemData":{"DOI":"10.1093/neuonc/noac224","ISSN":"1523-5866","PMID":"36227281","abstract":"BACKGROUND Meningiomas, the most common primary intracranial tumors, can be separated into 3 DNA methylation groups with distinct biological drivers, clinical outcomes, and therapeutic vulnerabilities. Alternative meningioma grouping schemes using copy number variants, gene expression profiles, somatic short variants, or integrated molecular models have been proposed. These data suggest meningioma DNA methylation groups may harbor subgroups unifying contrasting theories of meningioma biology. METHODS 565 meningioma DNA methylation profiles from patients with comprehensive clinical follow-up at independent discovery (n=200) or validation (n=365) institutions were re-analyzed and classified into Merlin-intact, Immune-enriched, or Hypermitotic DNA methylation groups. RNA sequencing from the discovery (n=200) or validation (n=302) cohort were analyzed in the context of DNA methylation groups to identify subgroups. Biological features and clinical outcomes were analyzed across meningioma grouping schemes. RESULTS RNA sequencing revealed differential enrichment of FOXM1 target genes across 2 subgroups of Hypermitotic meningiomas. Differential expression and ontology analyses showed the subgroup of Hypermitotic meningiomas without FOXM1 target gene enrichment was distinguished by gene expression programs driving macromolecular metabolism. Analysis of genetic, epigenetic, gene expression, or cellular features revealed Hypermitotic meningioma subgroups were concordant with Proliferative or Hypermetabolic meningiomas, which were previously reported alongside Merlin-intact and Immune-enriched tumors using an integrated molecular model. The addition of DNA methylation subgroups to clinical models refined prediction of postoperative outcomes compared to the addition of DNA methylation groups. CONCLUSIONS Meningiomas can be separated into 3 DNA methylation groups and Hypermitotic meningiomas can be subdivided into Proliferative and Hypermetabolic subgroups, each with distinct biological and clinical features.","author":[{"dropping-particle":"","family":"Choudhury","given":"Abrar","non-dropping-particle":"","parse-names":false,"suffix":""},{"dropping-particle":"","family":"Chen","given":"William C","non-dropping-particle":"","parse-names":false,"suffix":""},{"dropping-particle":"","family":"Lucas","given":"Calixto-Hope G","non-dropping-particle":"","parse-names":false,"suffix":""},{"dropping-particle":"","family":"Bayley","given":"James C","non-dropping-particle":"","parse-names":false,"suffix":""},{"dropping-particle":"","family":"Harmanci","given":"Akdes S","non-dropping-particle":"","parse-names":false,"suffix":""},{"dropping-particle":"","family":"Maas","given":"Sybren L N","non-dropping-particle":"","parse-names":false,"suffix":""},{"dropping-particle":"","family":"Santagata","given":"Sandro","non-dropping-particle":"","parse-names":false,"suffix":""},{"dropping-particle":"","family":"Klisch","given":"Tiemo","non-dropping-particle":"","parse-names":false,"suffix":""},{"dropping-particle":"","family":"Perry","given":"Arie","non-dropping-particle":"","parse-names":false,"suffix":""},{"dropping-particle":"","family":"Bi","given":"Wenya Linda","non-dropping-particle":"","parse-names":false,"suffix":""},{"dropping-particle":"","family":"Sahm","given":"Felix","non-dropping-particle":"","parse-names":false,"suffix":""},{"dropping-particle":"","family":"Patel","given":"Akash","non-dropping-particle":"","parse-names":false,"suffix":""},{"dropping-particle":"","family":"Magill","given":"Stephen T","non-dropping-particle":"","parse-names":false,"suffix":""},{"dropping-particle":"","family":"Raleigh","given":"David R","non-dropping-particle":"","parse-names":false,"suffix":""}],"container-title":"Neuro-oncology","id":"ITEM-1","issued":{"date-parts":[["2022","10","13"]]},"title":"Hypermitotic meningiomas harbor DNA methylation subgroups with distinct biological and clinical features.","type":"article-journal"},"uris":["http://www.mendeley.com/documents/?uuid=12c70f09-e513-4b13-a979-50364f43e66d"]},{"id":"ITEM-2","itemData":{"DOI":"10.1038/s41588-022-01061-8","ISSN":"15461718","PMID":"35534562","abstract":"Meningiomas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Genetics","id":"ITEM-2","issue":"5","issued":{"date-parts":[["2022","5","9"]]},"page":"649-659","title":"Meningioma DNA methylation groups identify biological drivers and therapeutic vulnerabilities","type":"article-journal","volume":"54"},"uris":["http://www.mendeley.com/documents/?uuid=703cdae5-1236-49c4-bdb8-590c06b07bcf"]}],"mendeley":{"formattedCitation":"&lt;sup&gt;1,7&lt;/sup&gt;","plainTextFormattedCitation":"1,7","previouslyFormattedCitation":"&lt;sup&gt;1,7&lt;/sup&gt;"},"properties":{"noteIndex":0},"schema":"https://github.com/citation-style-language/schema/raw/master/csl-citation.json"}</w:instrText>
      </w:r>
      <w:r w:rsidR="00D53007" w:rsidRPr="00A4622C">
        <w:rPr>
          <w:iCs/>
        </w:rPr>
        <w:fldChar w:fldCharType="separate"/>
      </w:r>
      <w:r w:rsidR="000F4EF5" w:rsidRPr="000F4EF5">
        <w:rPr>
          <w:iCs/>
          <w:noProof/>
          <w:vertAlign w:val="superscript"/>
        </w:rPr>
        <w:t>1,7</w:t>
      </w:r>
      <w:r w:rsidR="00D53007" w:rsidRPr="00A4622C">
        <w:rPr>
          <w:iCs/>
        </w:rPr>
        <w:fldChar w:fldCharType="end"/>
      </w:r>
      <w:r w:rsidR="00D53007" w:rsidRPr="00CE4E1F">
        <w:rPr>
          <w:bCs/>
        </w:rPr>
        <w:t>.</w:t>
      </w:r>
      <w:r w:rsidR="00D53007" w:rsidRPr="00CE4E1F">
        <w:rPr>
          <w:iCs/>
        </w:rPr>
        <w:t xml:space="preserve"> </w:t>
      </w:r>
      <w:r w:rsidR="0016127C" w:rsidRPr="00CE4E1F">
        <w:rPr>
          <w:iCs/>
        </w:rPr>
        <w:t xml:space="preserve">DNA methylation </w:t>
      </w:r>
      <w:r w:rsidR="00145DEC" w:rsidRPr="00CE4E1F">
        <w:rPr>
          <w:iCs/>
        </w:rPr>
        <w:t>families</w:t>
      </w:r>
      <w:r w:rsidR="00680303" w:rsidRPr="00CE4E1F">
        <w:rPr>
          <w:iCs/>
        </w:rPr>
        <w:fldChar w:fldCharType="begin" w:fldLock="1"/>
      </w:r>
      <w:r w:rsidR="000F4EF5">
        <w:rPr>
          <w:iCs/>
        </w:rPr>
        <w:instrText>ADDIN CSL_CITATION {"citationItems":[{"id":"ITEM-1","itemData":{"DOI":"10.1016/S1470-2045(17)30155-9","ISBN":"1470-2045","ISSN":"14745488","PMID":"28314689","abstract":"Background The WHO classification of brain tumours describes 15 subtypes of meningioma. Nine of these subtypes are allotted to WHO grade I, and three each to grade II and grade III. Grading is based solely on histology, with an absence of molecular markers. Although the existing classification and grading approach is of prognostic value, it harbours shortcomings such as ill-defined parameters for subtypes and grading criteria prone to arbitrary judgment. In this study, we aimed for a comprehensive characterisation of the entire molecular genetic landscape of meningioma to identify biologically and clinically relevant subgroups. Methods In this multicentre, retrospective analysis, we investigated genome-wide DNA methylation patterns of meningiomas from ten European academic neuro-oncology centres to identify distinct methylation classes of meningiomas. The methylation classes were further characterised by DNA copy number analysis, mutational profiling, and RNA sequencing. Methylation classes were analysed for progression-free survival outcomes by the Kaplan-Meier method. The DNA methylation-based and WHO classification schema were compared using the Brier prediction score, analysed in an independent cohort with WHO grading, progression-free survival, and disease-specific survival data available, collected at the Medical University Vienna (Vienna, Austria), assessing methylation patterns with an alternative methylation chip. Findings We retrospectively collected 497 meningiomas along with 309 samples of other extra-axial skull tumours that might histologically mimic meningioma variants. Unsupervised clustering of DNA methylation data clearly segregated all meningiomas from other skull tumours. We generated genome-wide DNA methylation profiles from all 497 meningioma samples. DNA methylation profiling distinguished six distinct clinically relevant methylation classes associated with typical mutational, cytogenetic, and gene expression patterns. Compared with WHO grading, classification by individual and combined methylation classes more accurately identifies patients at high risk of disease progression in tumours with WHO grade I histology, and patients at lower risk of recurrence among WHO grade II tumours (p=0·0096) from the Brier prediction test). We validated this finding in our independent cohort of 140 patients with meningioma. Interpretation DNA methylation-based meningioma classification captures clinically more homogenous groups and has a higher p…","author":[{"dropping-particle":"","family":"Sahm","given":"Felix","non-dropping-particle":"","parse-names":false,"suffix":""},{"dropping-particle":"","family":"Schrimpf","given":"Daniel","non-dropping-particle":"","parse-names":false,"suffix":""},{"dropping-particle":"","family":"Stichel","given":"Damian","non-dropping-particle":"","parse-names":false,"suffix":""},{"dropping-particle":"","family":"Jones","given":"David T.W.","non-dropping-particle":"","parse-names":false,"suffix":""},{"dropping-particle":"","family":"Hielscher","given":"Thomas","non-dropping-particle":"","parse-names":false,"suffix":""},{"dropping-particle":"","family":"Schefzyk","given":"Sebastian","non-dropping-particle":"","parse-names":false,"suffix":""},{"dropping-particle":"","family":"Okonechnikov","given":"Konstantin","non-dropping-particle":"","parse-names":false,"suffix":""},{"dropping-particle":"","family":"Koelsche","given":"Christian","non-dropping-particle":"","parse-names":false,"suffix":""},{"dropping-particle":"","family":"Reuss","given":"David E.","non-dropping-particle":"","parse-names":false,"suffix":""},{"dropping-particle":"","family":"Capper","given":"David","non-dropping-particle":"","parse-names":false,"suffix":""},{"dropping-particle":"","family":"Sturm","given":"Dominik","non-dropping-particle":"","parse-names":false,"suffix":""},{"dropping-particle":"","family":"Wirsching","given":"Hans Georg","non-dropping-particle":"","parse-names":false,"suffix":""},{"dropping-particle":"","family":"Berghoff","given":"Anna Sophie","non-dropping-particle":"","parse-names":false,"suffix":""},{"dropping-particle":"","family":"Baumgarten","given":"Peter","non-dropping-particle":"","parse-names":false,"suffix":""},{"dropping-particle":"","family":"Kratz","given":"Annekathrin","non-dropping-particle":"","parse-names":false,"suffix":""},{"dropping-particle":"","family":"Huang","given":"Kristin","non-dropping-particle":"","parse-names":false,"suffix":""},{"dropping-particle":"","family":"Wefers","given":"Annika K.","non-dropping-particle":"","parse-names":false,"suffix":""},{"dropping-particle":"","family":"Hovestadt","given":"Volker","non-dropping-particle":"","parse-names":false,"suffix":""},{"dropping-particle":"","family":"Sill","given":"Martin","non-dropping-particle":"","parse-names":false,"suffix":""},{"dropping-particle":"","family":"Ellis","given":"Hayley P.","non-dropping-particle":"","parse-names":false,"suffix":""},{"dropping-particle":"","family":"Kurian","given":"Kathreena M.","non-dropping-particle":"","parse-names":false,"suffix":""},{"dropping-particle":"","family":"Okuducu","given":"Ali Fuat","non-dropping-particle":"","parse-names":false,"suffix":""},{"dropping-particle":"","family":"Jungk","given":"Christine","non-dropping-particle":"","parse-names":false,"suffix":""},{"dropping-particle":"","family":"Drueschler","given":"Katharina","non-dropping-particle":"","parse-names":false,"suffix":""},{"dropping-particle":"","family":"Schick","given":"Matthias","non-dropping-particle":"","parse-names":false,"suffix":""},{"dropping-particle":"","family":"Bewerunge-Hudler","given":"Melanie","non-dropping-particle":"","parse-names":false,"suffix":""},{"dropping-particle":"","family":"Mawrin","given":"Christian","non-dropping-particle":"","parse-names":false,"suffix":""},{"dropping-particle":"","family":"Seiz-Rosenhagen","given":"Marcel","non-dropping-particle":"","parse-names":false,"suffix":""},{"dropping-particle":"","family":"Ketter","given":"Ralf","non-dropping-particle":"","parse-names":false,"suffix":""},{"dropping-particle":"","family":"Simon","given":"Matthias","non-dropping-particle":"","parse-names":false,"suffix":""},{"dropping-particle":"","family":"Westphal","given":"Manfred","non-dropping-particle":"","parse-names":false,"suffix":""},{"dropping-particle":"","family":"Lamszus","given":"Katrin","non-dropping-particle":"","parse-names":false,"suffix":""},{"dropping-particle":"","family":"Becker","given":"Albert","non-dropping-particle":"","parse-names":false,"suffix":""},{"dropping-particle":"","family":"Koch","given":"Arend","non-dropping-particle":"","parse-names":false,"suffix":""},{"dropping-particle":"","family":"Schittenhelm","given":"Jens","non-dropping-particle":"","parse-names":false,"suffix":""},{"dropping-particle":"","family":"Rushing","given":"Elisabeth J.","non-dropping-particle":"","parse-names":false,"suffix":""},{"dropping-particle":"","family":"Collins","given":"V. Peter","non-dropping-particle":"","parse-names":false,"suffix":""},{"dropping-particle":"","family":"Brehmer","given":"Stefanie","non-dropping-particle":"","parse-names":false,"suffix":""},{"dropping-particle":"","family":"Chavez","given":"Lukas","non-dropping-particle":"","parse-names":false,"suffix":""},{"dropping-particle":"","family":"Platten","given":"Michael","non-dropping-particle":"","parse-names":false,"suffix":""},{"dropping-particle":"","family":"Hänggi","given":"Daniel","non-dropping-particle":"","parse-names":false,"suffix":""},{"dropping-particle":"","family":"Unterberg","given":"Andreas","non-dropping-particle":"","parse-names":false,"suffix":""},{"dropping-particle":"","family":"Paulus","given":"Werner","non-dropping-particle":"","parse-names":false,"suffix":""},{"dropping-particle":"","family":"Wick","given":"Wolfgang","non-dropping-particle":"","parse-names":false,"suffix":""},{"dropping-particle":"","family":"Pfister","given":"Stefan M.","non-dropping-particle":"","parse-names":false,"suffix":""},{"dropping-particle":"","family":"Mittelbronn","given":"Michel","non-dropping-particle":"","parse-names":false,"suffix":""},{"dropping-particle":"","family":"Preusser","given":"Matthias","non-dropping-particle":"","parse-names":false,"suffix":""},{"dropping-particle":"","family":"Herold-Mende","given":"Christel","non-dropping-particle":"","parse-names":false,"suffix":""},{"dropping-particle":"","family":"Weller","given":"Michael","non-dropping-particle":"","parse-names":false,"suffix":""},{"dropping-particle":"","family":"Deimling","given":"Andreas","non-dropping-particle":"von","parse-names":false,"suffix":""}],"container-title":"The Lancet Oncology","id":"ITEM-1","issue":"5","issued":{"date-parts":[["2017"]]},"page":"682-694","title":"DNA methylation-based classification and grading system for meningioma: a multicentre, retrospective analysis","type":"article-journal","volume":"18"},"uris":["http://www.mendeley.com/documents/?uuid=b1eebdea-c9de-4a56-96fb-5329a3405c3d"]}],"mendeley":{"formattedCitation":"&lt;sup&gt;16&lt;/sup&gt;","plainTextFormattedCitation":"16","previouslyFormattedCitation":"&lt;sup&gt;16&lt;/sup&gt;"},"properties":{"noteIndex":0},"schema":"https://github.com/citation-style-language/schema/raw/master/csl-citation.json"}</w:instrText>
      </w:r>
      <w:r w:rsidR="00680303" w:rsidRPr="00CE4E1F">
        <w:rPr>
          <w:iCs/>
        </w:rPr>
        <w:fldChar w:fldCharType="separate"/>
      </w:r>
      <w:r w:rsidR="000F4EF5" w:rsidRPr="000F4EF5">
        <w:rPr>
          <w:iCs/>
          <w:noProof/>
          <w:vertAlign w:val="superscript"/>
        </w:rPr>
        <w:t>16</w:t>
      </w:r>
      <w:r w:rsidR="00680303" w:rsidRPr="00CE4E1F">
        <w:rPr>
          <w:iCs/>
        </w:rPr>
        <w:fldChar w:fldCharType="end"/>
      </w:r>
      <w:r w:rsidR="0016127C" w:rsidRPr="00CE4E1F">
        <w:rPr>
          <w:iCs/>
        </w:rPr>
        <w:t xml:space="preserve"> and integrated score</w:t>
      </w:r>
      <w:r w:rsidR="00680303" w:rsidRPr="00CE4E1F">
        <w:rPr>
          <w:iCs/>
        </w:rPr>
        <w:fldChar w:fldCharType="begin" w:fldLock="1"/>
      </w:r>
      <w:r w:rsidR="000F4EF5">
        <w:rPr>
          <w:iCs/>
        </w:rPr>
        <w:instrText>ADDIN CSL_CITATION {"citationItems":[{"id":"ITEM-1","itemData":{"DOI":"10.1200/JCO.21.00784","ISSN":"15277755","PMID":"34618539","abstract":"PURPOSE Meningiomas are the most frequent primary intracranial tumors. Patient outcome varies widely from benign to highly aggressive, ultimately fatal courses. Reliable identification of risk of progression for individual patients is of pivotal importance. However, only biomarkers for highly aggressive tumors are established (CDKN2A/B and TERT), whereas no molecularly based stratification exists for the broad spectrum of patients with low- and intermediate-risk meningioma. METHODS DNA methylation data and copy-number information were generated for 3,031 meningiomas (2,868 patients), and mutation data for 858 samples. DNA methylation subgroups, copy-number variations (CNVs), mutations, and WHO grading were analyzed. Prediction power for outcome was assessed in a retrospective cohort of 514 patients, validated on a retrospective cohort of 184, and on a prospective cohort of 287 multicenter cases. RESULTS Both CNV- and methylation family–based subgrouping independently resulted in increased prediction accuracy of risk of recurrence compared with the WHO classification (c-indexes WHO 2016, CNV, and methylation family 0.699, 0.706, and 0.721, respectively). Merging all risk stratification approaches into an integrated molecular-morphologic score resulted in further substantial increase in accuracy (c-index 0.744). This integrated score consistently provided superior accuracy in all three cohorts, significantly outperforming WHO grading (c-index difference P 5 .005). Besides the overall stratification advantage, the integrated score separates more precisely for risk of progression at the diagnostically challenging interface of WHO grade 1 and grade 2 tumors (hazard ratio 4.34 [2.48-7.57] and 3.34 [1.28-8.72] retrospective and prospective validation cohorts, respectively). CONCLUSION Merging these layers of histologic and molecular data into an integrated, three-tiered score significantly improves the precision in meningioma stratification. Implementation into diagnostic routine informs clinical decision making for patients with meningioma on the basis of robust outcome prediction.","author":[{"dropping-particle":"","family":"Maas","given":"Sybren L.N.","non-dropping-particle":"","parse-names":false,"suffix":""},{"dropping-particle":"","family":"Stichel","given":"Damian","non-dropping-particle":"","parse-names":false,"suffix":""},{"dropping-particle":"","family":"Hielscher","given":"Thomas","non-dropping-particle":"","parse-names":false,"suffix":""},{"dropping-particle":"","family":"Sievers","given":"Philipp","non-dropping-particle":"","parse-names":false,"suffix":""},{"dropping-particle":"","family":"Berghoff","given":"Anna S.","non-dropping-particle":"","parse-names":false,"suffix":""},{"dropping-particle":"","family":"Schrimpf","given":"Daniel","non-dropping-particle":"","parse-names":false,"suffix":""},{"dropping-particle":"","family":"Sill","given":"Martin","non-dropping-particle":"","parse-names":false,"suffix":""},{"dropping-particle":"","family":"Euskirchen","given":"Philipp","non-dropping-particle":"","parse-names":false,"suffix":""},{"dropping-particle":"","family":"Blume","given":"Christina","non-dropping-particle":"","parse-names":false,"suffix":""},{"dropping-particle":"","family":"Patel","given":"Areeba","non-dropping-particle":"","parse-names":false,"suffix":""},{"dropping-particle":"","family":"Dogan","given":"Helin","non-dropping-particle":"","parse-names":false,"suffix":""},{"dropping-particle":"","family":"Reuss","given":"David","non-dropping-particle":"","parse-names":false,"suffix":""},{"dropping-particle":"","family":"Dohmen","given":"Hildegard","non-dropping-particle":"","parse-names":false,"suffix":""},{"dropping-particle":"","family":"Stein","given":"Marco","non-dropping-particle":"","parse-names":false,"suffix":""},{"dropping-particle":"","family":"Reinhardt","given":"Annekathrin","non-dropping-particle":"","parse-names":false,"suffix":""},{"dropping-particle":"","family":"Suwala","given":"Abigail K.","non-dropping-particle":"","parse-names":false,"suffix":""},{"dropping-particle":"","family":"Wefers","given":"Annika K.","non-dropping-particle":"","parse-names":false,"suffix":""},{"dropping-particle":"","family":"Baumgarten","given":"Peter","non-dropping-particle":"","parse-names":false,"suffix":""},{"dropping-particle":"","family":"Ricklefs","given":"Franz","non-dropping-particle":"","parse-names":false,"suffix":""},{"dropping-particle":"","family":"Rushing","given":"Elisabeth J.","non-dropping-particle":"","parse-names":false,"suffix":""},{"dropping-particle":"","family":"Bewerunge-Hudler","given":"Melanie","non-dropping-particle":"","parse-names":false,"suffix":""},{"dropping-particle":"","family":"Ketter","given":"Ralf","non-dropping-particle":"","parse-names":false,"suffix":""},{"dropping-particle":"","family":"Schittenhelm","given":"Jens","non-dropping-particle":"","parse-names":false,"suffix":""},{"dropping-particle":"","family":"Jaunmuktane","given":"Zane","non-dropping-particle":"","parse-names":false,"suffix":""},{"dropping-particle":"","family":"Leu","given":"Severina","non-dropping-particle":"","parse-names":false,"suffix":""},{"dropping-particle":"","family":"Greenway","given":"Fay E.A.","non-dropping-particle":"","parse-names":false,"suffix":""},{"dropping-particle":"","family":"Bridges","given":"Leslie R.","non-dropping-particle":"","parse-names":false,"suffix":""},{"dropping-particle":"","family":"Jones","given":"Timothy","non-dropping-particle":"","parse-names":false,"suffix":""},{"dropping-particle":"","family":"Grady","given":"Conor","non-dropping-particle":"","parse-names":false,"suffix":""},{"dropping-particle":"","family":"Serrano","given":"Jonathan","non-dropping-particle":"","parse-names":false,"suffix":""},{"dropping-particle":"","family":"Golfinos","given":"John","non-dropping-particle":"","parse-names":false,"suffix":""},{"dropping-particle":"","family":"Sen","given":"Chandra","non-dropping-particle":"","parse-names":false,"suffix":""},{"dropping-particle":"","family":"Mawrin","given":"Christian","non-dropping-particle":"","parse-names":false,"suffix":""},{"dropping-particle":"","family":"Jungk","given":"Christine","non-dropping-particle":"","parse-names":false,"suffix":""},{"dropping-particle":"","family":"Hänggi","given":"Daniel","non-dropping-particle":"","parse-names":false,"suffix":""},{"dropping-particle":"","family":"Westphal","given":"Manfred","non-dropping-particle":"","parse-names":false,"suffix":""},{"dropping-particle":"","family":"Lamszus","given":"Katrin","non-dropping-particle":"","parse-names":false,"suffix":""},{"dropping-particle":"","family":"Etminan","given":"Nima","non-dropping-particle":"","parse-names":false,"suffix":""},{"dropping-particle":"","family":"Jungwirth","given":"Gerhard","non-dropping-particle":"","parse-names":false,"suffix":""},{"dropping-particle":"","family":"Herold-Mende","given":"Christel","non-dropping-particle":"","parse-names":false,"suffix":""},{"dropping-particle":"","family":"Unterberg","given":"Andreas","non-dropping-particle":"","parse-names":false,"suffix":""},{"dropping-particle":"","family":"Harter","given":"Patrick N.","non-dropping-particle":"","parse-names":false,"suffix":""},{"dropping-particle":"","family":"Wirsching","given":"Hans Georg","non-dropping-particle":"","parse-names":false,"suffix":""},{"dropping-particle":"","family":"Neidert","given":"Marian C.","non-dropping-particle":"","parse-names":false,"suffix":""},{"dropping-particle":"","family":"Ratliff","given":"Miriam","non-dropping-particle":"","parse-names":false,"suffix":""},{"dropping-particle":"","family":"Platten","given":"Michael","non-dropping-particle":"","parse-names":false,"suffix":""},{"dropping-particle":"","family":"Snuderl","given":"Matija","non-dropping-particle":"","parse-names":false,"suffix":""},{"dropping-particle":"","family":"Aldape","given":"Kenneth D.","non-dropping-particle":"","parse-names":false,"suffix":""},{"dropping-particle":"","family":"Brandner","given":"Sebastian","non-dropping-particle":"","parse-names":false,"suffix":""},{"dropping-particle":"","family":"Hench","given":"Jürgen","non-dropping-particle":"","parse-names":false,"suffix":""},{"dropping-particle":"","family":"Frank","given":"Stephan","non-dropping-particle":"","parse-names":false,"suffix":""},{"dropping-particle":"","family":"Pfister","given":"Stefan M.","non-dropping-particle":"","parse-names":false,"suffix":""},{"dropping-particle":"","family":"Jones","given":"David T.W.","non-dropping-particle":"","parse-names":false,"suffix":""},{"dropping-particle":"","family":"Reifenberger","given":"Guido","non-dropping-particle":"","parse-names":false,"suffix":""},{"dropping-particle":"","family":"Acker","given":"Till","non-dropping-particle":"","parse-names":false,"suffix":""},{"dropping-particle":"","family":"Wick","given":"Wolfgang","non-dropping-particle":"","parse-names":false,"suffix":""},{"dropping-particle":"","family":"Weller","given":"Michael","non-dropping-particle":"","parse-names":false,"suffix":""},{"dropping-particle":"","family":"Preusser","given":"Matthias","non-dropping-particle":"","parse-names":false,"suffix":""},{"dropping-particle":"","family":"Deimling","given":"Andreas","non-dropping-particle":"von","parse-names":false,"suffix":""},{"dropping-particle":"","family":"Sahm","given":"Felix","non-dropping-particle":"","parse-names":false,"suffix":""}],"container-title":"Journal of Clinical Oncology","id":"ITEM-1","issue":"34","issued":{"date-parts":[["2021"]]},"page":"3839-3852","title":"Integrated Molecular-Morphologic Meningioma Classification: A Multicenter Retrospective Analysis, Retrospectively and Prospectively Validated","type":"article-journal","volume":"39"},"uris":["http://www.mendeley.com/documents/?uuid=e2dece48-a886-43e5-8b02-ba8c8c168310"]}],"mendeley":{"formattedCitation":"&lt;sup&gt;17&lt;/sup&gt;","plainTextFormattedCitation":"17","previouslyFormattedCitation":"&lt;sup&gt;17&lt;/sup&gt;"},"properties":{"noteIndex":0},"schema":"https://github.com/citation-style-language/schema/raw/master/csl-citation.json"}</w:instrText>
      </w:r>
      <w:r w:rsidR="00680303" w:rsidRPr="00CE4E1F">
        <w:rPr>
          <w:iCs/>
        </w:rPr>
        <w:fldChar w:fldCharType="separate"/>
      </w:r>
      <w:r w:rsidR="000F4EF5" w:rsidRPr="000F4EF5">
        <w:rPr>
          <w:iCs/>
          <w:noProof/>
          <w:vertAlign w:val="superscript"/>
        </w:rPr>
        <w:t>17</w:t>
      </w:r>
      <w:r w:rsidR="00680303" w:rsidRPr="00CE4E1F">
        <w:rPr>
          <w:iCs/>
        </w:rPr>
        <w:fldChar w:fldCharType="end"/>
      </w:r>
      <w:r w:rsidR="0016127C" w:rsidRPr="00CE4E1F">
        <w:rPr>
          <w:iCs/>
        </w:rPr>
        <w:t xml:space="preserve"> were assigned </w:t>
      </w:r>
      <w:r w:rsidR="00E809B2" w:rsidRPr="00CE4E1F">
        <w:rPr>
          <w:iCs/>
        </w:rPr>
        <w:t xml:space="preserve">independently </w:t>
      </w:r>
      <w:r w:rsidR="0016127C" w:rsidRPr="00CE4E1F">
        <w:rPr>
          <w:iCs/>
        </w:rPr>
        <w:t xml:space="preserve">by authors </w:t>
      </w:r>
      <w:r w:rsidR="00145DEC" w:rsidRPr="00CE4E1F">
        <w:rPr>
          <w:iCs/>
        </w:rPr>
        <w:t xml:space="preserve">who developed </w:t>
      </w:r>
      <w:r w:rsidR="009F5517" w:rsidRPr="00CE4E1F">
        <w:rPr>
          <w:iCs/>
        </w:rPr>
        <w:t>these classification systems (SLNM, FS)</w:t>
      </w:r>
      <w:r w:rsidR="009F5517" w:rsidRPr="00CE4E1F">
        <w:rPr>
          <w:bCs/>
        </w:rPr>
        <w:t>, and who were blinded to clinical outcomes and other molecular characteristics.</w:t>
      </w:r>
    </w:p>
    <w:p w14:paraId="362B74CD" w14:textId="77777777" w:rsidR="000A7806" w:rsidRPr="00CE4E1F" w:rsidRDefault="000A7806" w:rsidP="00742F09">
      <w:pPr>
        <w:spacing w:line="360" w:lineRule="auto"/>
        <w:contextualSpacing/>
        <w:jc w:val="both"/>
        <w:rPr>
          <w:iCs/>
        </w:rPr>
      </w:pPr>
    </w:p>
    <w:p w14:paraId="6EA71689" w14:textId="33D79148" w:rsidR="00BE7535" w:rsidRPr="00CE4E1F" w:rsidRDefault="00A758F3" w:rsidP="00742F09">
      <w:pPr>
        <w:spacing w:line="360" w:lineRule="auto"/>
        <w:contextualSpacing/>
        <w:jc w:val="both"/>
        <w:rPr>
          <w:i/>
          <w:iCs/>
        </w:rPr>
      </w:pPr>
      <w:r w:rsidRPr="00CE4E1F">
        <w:rPr>
          <w:i/>
          <w:iCs/>
        </w:rPr>
        <w:t xml:space="preserve">Copy </w:t>
      </w:r>
      <w:r w:rsidR="009F5517" w:rsidRPr="00CE4E1F">
        <w:rPr>
          <w:i/>
          <w:iCs/>
        </w:rPr>
        <w:t>n</w:t>
      </w:r>
      <w:r w:rsidRPr="00CE4E1F">
        <w:rPr>
          <w:i/>
          <w:iCs/>
        </w:rPr>
        <w:t xml:space="preserve">umber </w:t>
      </w:r>
      <w:r w:rsidR="009F5517" w:rsidRPr="00CE4E1F">
        <w:rPr>
          <w:i/>
          <w:iCs/>
        </w:rPr>
        <w:t>v</w:t>
      </w:r>
      <w:r w:rsidRPr="00CE4E1F">
        <w:rPr>
          <w:i/>
          <w:iCs/>
        </w:rPr>
        <w:t xml:space="preserve">ariant and </w:t>
      </w:r>
      <w:r w:rsidR="00BE7535" w:rsidRPr="00CE4E1F">
        <w:rPr>
          <w:i/>
          <w:iCs/>
        </w:rPr>
        <w:t>CDKN2A</w:t>
      </w:r>
      <w:r w:rsidR="007D75C0">
        <w:rPr>
          <w:i/>
          <w:iCs/>
        </w:rPr>
        <w:t>/B</w:t>
      </w:r>
      <w:r w:rsidR="00BE7535" w:rsidRPr="00CE4E1F">
        <w:rPr>
          <w:i/>
          <w:iCs/>
        </w:rPr>
        <w:t xml:space="preserve"> </w:t>
      </w:r>
      <w:r w:rsidR="004E3600" w:rsidRPr="00CE4E1F">
        <w:rPr>
          <w:i/>
          <w:iCs/>
        </w:rPr>
        <w:t>analysis</w:t>
      </w:r>
    </w:p>
    <w:p w14:paraId="7A827CFB" w14:textId="0804E37E" w:rsidR="009F5517" w:rsidRPr="00CE4E1F" w:rsidRDefault="00E667CD" w:rsidP="00742F09">
      <w:pPr>
        <w:spacing w:line="360" w:lineRule="auto"/>
        <w:ind w:firstLine="720"/>
        <w:contextualSpacing/>
        <w:jc w:val="both"/>
        <w:rPr>
          <w:iCs/>
        </w:rPr>
      </w:pPr>
      <w:r w:rsidRPr="00CE4E1F">
        <w:rPr>
          <w:iCs/>
        </w:rPr>
        <w:t>Copy number variant profiles were generated from DNA methylation data using the SeSaMe package</w:t>
      </w:r>
      <w:r w:rsidR="009F5517" w:rsidRPr="00CE4E1F">
        <w:rPr>
          <w:iCs/>
        </w:rPr>
        <w:t xml:space="preserve"> as previously described</w:t>
      </w:r>
      <w:r w:rsidR="00404F7B">
        <w:rPr>
          <w:iCs/>
        </w:rPr>
        <w:fldChar w:fldCharType="begin" w:fldLock="1"/>
      </w:r>
      <w:r w:rsidR="00404F7B">
        <w:rPr>
          <w:iCs/>
        </w:rPr>
        <w:instrText>ADDIN CSL_CITATION {"citationItems":[{"id":"ITEM-1","itemData":{"DOI":"10.1038/s41588-022-01061-8","ISSN":"15461718","PMID":"35534562","abstract":"Meningiomas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Genetics","id":"ITEM-1","issue":"5","issued":{"date-parts":[["2022","5","9"]]},"page":"649-659","title":"Meningioma DNA methylation groups identify biological drivers and therapeutic vulnerabilities","type":"article-journal","volume":"54"},"uris":["http://www.mendeley.com/documents/?uuid=703cdae5-1236-49c4-bdb8-590c06b07bcf"]}],"mendeley":{"formattedCitation":"&lt;sup&gt;1&lt;/sup&gt;","plainTextFormattedCitation":"1","previouslyFormattedCitation":"&lt;sup&gt;1&lt;/sup&gt;"},"properties":{"noteIndex":0},"schema":"https://github.com/citation-style-language/schema/raw/master/csl-citation.json"}</w:instrText>
      </w:r>
      <w:r w:rsidR="00404F7B">
        <w:rPr>
          <w:iCs/>
        </w:rPr>
        <w:fldChar w:fldCharType="separate"/>
      </w:r>
      <w:r w:rsidR="00404F7B" w:rsidRPr="00404F7B">
        <w:rPr>
          <w:iCs/>
          <w:noProof/>
          <w:vertAlign w:val="superscript"/>
        </w:rPr>
        <w:t>1</w:t>
      </w:r>
      <w:r w:rsidR="00404F7B">
        <w:rPr>
          <w:iCs/>
        </w:rPr>
        <w:fldChar w:fldCharType="end"/>
      </w:r>
      <w:r w:rsidR="009F5517" w:rsidRPr="00CE4E1F">
        <w:rPr>
          <w:iCs/>
        </w:rPr>
        <w:t xml:space="preserve">. In brief </w:t>
      </w:r>
      <w:r w:rsidRPr="00CE4E1F">
        <w:rPr>
          <w:iCs/>
        </w:rPr>
        <w:t xml:space="preserve">the “cnSegmentation” command with default </w:t>
      </w:r>
      <w:r w:rsidRPr="00CE4E1F">
        <w:rPr>
          <w:iCs/>
        </w:rPr>
        <w:lastRenderedPageBreak/>
        <w:t>setting</w:t>
      </w:r>
      <w:r w:rsidR="009F5517" w:rsidRPr="00CE4E1F">
        <w:rPr>
          <w:iCs/>
        </w:rPr>
        <w:t xml:space="preserve">s and </w:t>
      </w:r>
      <w:r w:rsidRPr="00CE4E1F">
        <w:rPr>
          <w:iCs/>
        </w:rPr>
        <w:t>the ‘EPIC.5.normal’ dataset as a copy-number normal control</w:t>
      </w:r>
      <w:r w:rsidR="009F5517" w:rsidRPr="00CE4E1F">
        <w:rPr>
          <w:iCs/>
        </w:rPr>
        <w:t xml:space="preserve"> were used</w:t>
      </w:r>
      <w:r w:rsidRPr="00CE4E1F">
        <w:rPr>
          <w:iCs/>
        </w:rPr>
        <w:t>. Chromosome segments with mean intensity values less than -0.1 were defined as los</w:t>
      </w:r>
      <w:r w:rsidR="00404F7B">
        <w:rPr>
          <w:iCs/>
        </w:rPr>
        <w:t>t</w:t>
      </w:r>
      <w:r w:rsidR="009F5517" w:rsidRPr="00CE4E1F">
        <w:rPr>
          <w:iCs/>
        </w:rPr>
        <w:t xml:space="preserve"> from frozen meningiomas</w:t>
      </w:r>
      <w:r w:rsidRPr="00CE4E1F">
        <w:rPr>
          <w:iCs/>
        </w:rPr>
        <w:t xml:space="preserve">, greater than 0.15 </w:t>
      </w:r>
      <w:r w:rsidR="009F5517" w:rsidRPr="00CE4E1F">
        <w:rPr>
          <w:iCs/>
        </w:rPr>
        <w:t>were defined as</w:t>
      </w:r>
      <w:r w:rsidRPr="00CE4E1F">
        <w:rPr>
          <w:iCs/>
        </w:rPr>
        <w:t xml:space="preserve"> gain</w:t>
      </w:r>
      <w:r w:rsidR="009F5517" w:rsidRPr="00CE4E1F">
        <w:rPr>
          <w:iCs/>
        </w:rPr>
        <w:t>ed</w:t>
      </w:r>
      <w:r w:rsidRPr="00CE4E1F">
        <w:rPr>
          <w:iCs/>
        </w:rPr>
        <w:t xml:space="preserve"> from frozen </w:t>
      </w:r>
      <w:r w:rsidR="009F5517" w:rsidRPr="00CE4E1F">
        <w:rPr>
          <w:iCs/>
        </w:rPr>
        <w:t>meningiomas</w:t>
      </w:r>
      <w:r w:rsidRPr="00CE4E1F">
        <w:rPr>
          <w:iCs/>
        </w:rPr>
        <w:t>, and -0.3 as los</w:t>
      </w:r>
      <w:r w:rsidR="00404F7B">
        <w:rPr>
          <w:iCs/>
        </w:rPr>
        <w:t>t</w:t>
      </w:r>
      <w:r w:rsidRPr="00CE4E1F">
        <w:rPr>
          <w:iCs/>
        </w:rPr>
        <w:t xml:space="preserve"> and 0.3 as gain</w:t>
      </w:r>
      <w:r w:rsidR="009F5517" w:rsidRPr="00CE4E1F">
        <w:rPr>
          <w:iCs/>
        </w:rPr>
        <w:t>ed</w:t>
      </w:r>
      <w:r w:rsidRPr="00CE4E1F">
        <w:rPr>
          <w:iCs/>
        </w:rPr>
        <w:t xml:space="preserve"> for from FFPE </w:t>
      </w:r>
      <w:r w:rsidR="009F5517" w:rsidRPr="00CE4E1F">
        <w:rPr>
          <w:iCs/>
        </w:rPr>
        <w:t>meningiomas</w:t>
      </w:r>
      <w:r w:rsidRPr="00CE4E1F">
        <w:rPr>
          <w:iCs/>
        </w:rPr>
        <w:t xml:space="preserve"> due to greater baseline noise. A loss or gain affecting at least 30% of a chromosome arm </w:t>
      </w:r>
      <w:r w:rsidR="001B79B5" w:rsidRPr="00CE4E1F">
        <w:rPr>
          <w:iCs/>
        </w:rPr>
        <w:t>was</w:t>
      </w:r>
      <w:r w:rsidRPr="00CE4E1F">
        <w:rPr>
          <w:iCs/>
        </w:rPr>
        <w:t xml:space="preserve"> considered </w:t>
      </w:r>
      <w:r w:rsidR="00ED40B1" w:rsidRPr="00CE4E1F">
        <w:rPr>
          <w:iCs/>
        </w:rPr>
        <w:t xml:space="preserve">a </w:t>
      </w:r>
      <w:r w:rsidRPr="00CE4E1F">
        <w:rPr>
          <w:iCs/>
        </w:rPr>
        <w:t>broad loss</w:t>
      </w:r>
      <w:r w:rsidR="00680303" w:rsidRPr="00CE4E1F">
        <w:rPr>
          <w:iCs/>
        </w:rPr>
        <w:fldChar w:fldCharType="begin" w:fldLock="1"/>
      </w:r>
      <w:r w:rsidR="000F4EF5">
        <w:rPr>
          <w:iCs/>
        </w:rPr>
        <w:instrText>ADDIN CSL_CITATION {"citationItems":[{"id":"ITEM-1","itemData":{"DOI":"10.1093/neuonc/noab213","ISSN":"15235866","PMID":"34508644","abstract":"Background: Meningiomas are the most common primary intracranial tumor in adults. Clinical care is currently guided by the World Health Organization (WHO) grade assigned to meningiomas, a 3-tiered grading system based on histopathology features, as well as extent of surgical resection. Clinical behavior, however, often fails to conform to the WHO grade. Additional prognostic information is needed to optimize patient management. Methods: We evaluated whether chromosomal copy-number data improved prediction of time-to-recurrence for patients with meningioma who were treated with surgery, relative to the WHO schema. The models were developed using Cox proportional hazards, random survival forest, and gradient boosting in a discovery cohort of 527 meningioma patients and validated in 2 independent cohorts of 172 meningioma patients characterized by orthogonal genomic platforms. Results: We developed a 3-tiered grading scheme (Integrated Grades 1-3), which incorporated mitotic count and loss of chromosome 1p, 3p, 4, 6, 10, 14q, 18, 19, or CDKN2A. 32% of meningiomas reclassified to either a lower-risk or higher-risk Integrated Grade compared to their assigned WHO grade. The Integrated Grade more accurately identified meningioma patients at risk for recurrence, relative to the WHO grade, as determined by time-dependent area under the curve, average precision, and the Brier score. Conclusion: We propose a molecularly integrated grading scheme for meningiomas that significantly improves upon the current WHO grading system in prediction of progression-free survival. This framework can be broadly adopted by clinicians with relative ease using widely available genomic technologies and presents an advance in the care of meningioma patients.","author":[{"dropping-particle":"","family":"Driver","given":"Joseph","non-dropping-particle":"","parse-names":false,"suffix":""},{"dropping-particle":"","family":"Hoffman","given":"Samantha E.","non-dropping-particle":"","parse-names":false,"suffix":""},{"dropping-particle":"","family":"Tavakol","given":"Sherwin","non-dropping-particle":"","parse-names":false,"suffix":""},{"dropping-particle":"","family":"Woodward","given":"Eleanor","non-dropping-particle":"","parse-names":false,"suffix":""},{"dropping-particle":"","family":"Maury","given":"Eduardo A.","non-dropping-particle":"","parse-names":false,"suffix":""},{"dropping-particle":"","family":"Bhave","given":"Varun","non-dropping-particle":"","parse-names":false,"suffix":""},{"dropping-particle":"","family":"Greenwald","given":"Noah F.","non-dropping-particle":"","parse-names":false,"suffix":""},{"dropping-particle":"","family":"Nassiri","given":"Farshad","non-dropping-particle":"","parse-names":false,"suffix":""},{"dropping-particle":"","family":"Aldape","given":"Kenneth","non-dropping-particle":"","parse-names":false,"suffix":""},{"dropping-particle":"","family":"Zadeh","given":"Gelareh","non-dropping-particle":"","parse-names":false,"suffix":""},{"dropping-particle":"","family":"Choudhury","given":"Abrar","non-dropping-particle":"","parse-names":false,"suffix":""},{"dropping-particle":"","family":"Vasudevan","given":"Harish N.","non-dropping-particle":"","parse-names":false,"suffix":""},{"dropping-particle":"","family":"Magill","given":"Stephen T.","non-dropping-particle":"","parse-names":false,"suffix":""},{"dropping-particle":"","family":"Raleigh","given":"David R.","non-dropping-particle":"","parse-names":false,"suffix":""},{"dropping-particle":"","family":"Abedalthagafi","given":"Malak","non-dropping-particle":"","parse-names":false,"suffix":""},{"dropping-particle":"","family":"Aizer","given":"Ayal A.","non-dropping-particle":"","parse-names":false,"suffix":""},{"dropping-particle":"","family":"Alexander","given":"Brian M.","non-dropping-particle":"","parse-names":false,"suffix":""},{"dropping-particle":"","family":"Ligon","given":"Keith L.","non-dropping-particle":"","parse-names":false,"suffix":""},{"dropping-particle":"","family":"Reardon","given":"David A.","non-dropping-particle":"","parse-names":false,"suffix":""},{"dropping-particle":"","family":"Wen","given":"Patrick Y.","non-dropping-particle":"","parse-names":false,"suffix":""},{"dropping-particle":"","family":"Al-Mefty","given":"Ossama","non-dropping-particle":"","parse-names":false,"suffix":""},{"dropping-particle":"","family":"Ligon","given":"Azra H.","non-dropping-particle":"","parse-names":false,"suffix":""},{"dropping-particle":"","family":"Dubuc","given":"Adrian M.","non-dropping-particle":"","parse-names":false,"suffix":""},{"dropping-particle":"","family":"Beroukhim","given":"Rameen","non-dropping-particle":"","parse-names":false,"suffix":""},{"dropping-particle":"","family":"Claus","given":"Elizabeth B.","non-dropping-particle":"","parse-names":false,"suffix":""},{"dropping-particle":"","family":"Dunn","given":"Ian F.","non-dropping-particle":"","parse-names":false,"suffix":""},{"dropping-particle":"","family":"Santagata","given":"Sandro","non-dropping-particle":"","parse-names":false,"suffix":""},{"dropping-particle":"","family":"Linda Bi","given":"Wenya","non-dropping-particle":"","parse-names":false,"suffix":""}],"container-title":"Neuro-Oncology","id":"ITEM-1","issue":"5","issued":{"date-parts":[["2022"]]},"page":"796-808","title":"A molecularly integrated grade for meningioma","type":"article-journal","volume":"24"},"uris":["http://www.mendeley.com/documents/?uuid=f72755aa-a178-497c-a922-146804374b2e"]}],"mendeley":{"formattedCitation":"&lt;sup&gt;18&lt;/sup&gt;","plainTextFormattedCitation":"18","previouslyFormattedCitation":"&lt;sup&gt;18&lt;/sup&gt;"},"properties":{"noteIndex":0},"schema":"https://github.com/citation-style-language/schema/raw/master/csl-citation.json"}</w:instrText>
      </w:r>
      <w:r w:rsidR="00680303" w:rsidRPr="00CE4E1F">
        <w:rPr>
          <w:iCs/>
        </w:rPr>
        <w:fldChar w:fldCharType="separate"/>
      </w:r>
      <w:r w:rsidR="000F4EF5" w:rsidRPr="000F4EF5">
        <w:rPr>
          <w:iCs/>
          <w:noProof/>
          <w:vertAlign w:val="superscript"/>
        </w:rPr>
        <w:t>18</w:t>
      </w:r>
      <w:r w:rsidR="00680303" w:rsidRPr="00CE4E1F">
        <w:rPr>
          <w:iCs/>
        </w:rPr>
        <w:fldChar w:fldCharType="end"/>
      </w:r>
      <w:r w:rsidRPr="00CE4E1F">
        <w:rPr>
          <w:iCs/>
        </w:rPr>
        <w:t>. CNV profiling excluded sex chromosomes and p arms of acrocentric chromosomes (13p, 14p, 15p, 21p and 22p)</w:t>
      </w:r>
      <w:r w:rsidR="00BE67B4" w:rsidRPr="00CE4E1F">
        <w:rPr>
          <w:iCs/>
        </w:rPr>
        <w:t>.</w:t>
      </w:r>
    </w:p>
    <w:p w14:paraId="6952F52A" w14:textId="77CDB70C" w:rsidR="0064368C" w:rsidRPr="00CE4E1F" w:rsidRDefault="00BE67B4" w:rsidP="00742F09">
      <w:pPr>
        <w:spacing w:line="360" w:lineRule="auto"/>
        <w:ind w:firstLine="720"/>
        <w:contextualSpacing/>
        <w:jc w:val="both"/>
        <w:rPr>
          <w:iCs/>
        </w:rPr>
      </w:pPr>
      <w:r w:rsidRPr="007D75C0">
        <w:rPr>
          <w:i/>
        </w:rPr>
        <w:t>CDKN2A/B</w:t>
      </w:r>
      <w:r w:rsidRPr="00CE4E1F">
        <w:rPr>
          <w:iCs/>
        </w:rPr>
        <w:t xml:space="preserve"> locus </w:t>
      </w:r>
      <w:r w:rsidR="00680303" w:rsidRPr="00CE4E1F">
        <w:rPr>
          <w:iCs/>
        </w:rPr>
        <w:t>loss</w:t>
      </w:r>
      <w:r w:rsidRPr="00CE4E1F">
        <w:rPr>
          <w:iCs/>
        </w:rPr>
        <w:t xml:space="preserve"> was </w:t>
      </w:r>
      <w:r w:rsidR="009F5517" w:rsidRPr="00CE4E1F">
        <w:rPr>
          <w:iCs/>
        </w:rPr>
        <w:t xml:space="preserve">defined </w:t>
      </w:r>
      <w:r w:rsidRPr="00CE4E1F">
        <w:rPr>
          <w:iCs/>
        </w:rPr>
        <w:t>as previously described</w:t>
      </w:r>
      <w:r w:rsidR="00680303" w:rsidRPr="00CE4E1F">
        <w:rPr>
          <w:iCs/>
        </w:rPr>
        <w:fldChar w:fldCharType="begin" w:fldLock="1"/>
      </w:r>
      <w:r w:rsidR="000F4EF5">
        <w:rPr>
          <w:iCs/>
        </w:rPr>
        <w:instrText>ADDIN CSL_CITATION {"citationItems":[{"id":"ITEM-1","itemData":{"DOI":"10.1007/s00401-020-02188-w","ISSN":"14320533","PMID":"32642869","author":[{"dropping-particle":"","family":"Sievers","given":"Philipp","non-dropping-particle":"","parse-names":false,"suffix":""},{"dropping-particle":"","family":"Hielscher","given":"Thomas","non-dropping-particle":"","parse-names":false,"suffix":""},{"dropping-particle":"","family":"Schrimpf","given":"Daniel","non-dropping-particle":"","parse-names":false,"suffix":""},{"dropping-particle":"","family":"Stichel","given":"Damian","non-dropping-particle":"","parse-names":false,"suffix":""},{"dropping-particle":"","family":"Reuss","given":"David E.","non-dropping-particle":"","parse-names":false,"suffix":""},{"dropping-particle":"","family":"Berghoff","given":"Anna S.","non-dropping-particle":"","parse-names":false,"suffix":""},{"dropping-particle":"","family":"Neidert","given":"Marian C.","non-dropping-particle":"","parse-names":false,"suffix":""},{"dropping-particle":"","family":"Wirsching","given":"Hans Georg","non-dropping-particle":"","parse-names":false,"suffix":""},{"dropping-particle":"","family":"Mawrin","given":"Christian","non-dropping-particle":"","parse-names":false,"suffix":""},{"dropping-particle":"","family":"Ketter","given":"Ralf","non-dropping-particle":"","parse-names":false,"suffix":""},{"dropping-particle":"","family":"Paulus","given":"Werner","non-dropping-particle":"","parse-names":false,"suffix":""},{"dropping-particle":"","family":"Reifenberger","given":"Guido","non-dropping-particle":"","parse-names":false,"suffix":""},{"dropping-particle":"","family":"Lamszus","given":"Katrin","non-dropping-particle":"","parse-names":false,"suffix":""},{"dropping-particle":"","family":"Westphal","given":"Manfred","non-dropping-particle":"","parse-names":false,"suffix":""},{"dropping-particle":"","family":"Etminan","given":"Nima","non-dropping-particle":"","parse-names":false,"suffix":""},{"dropping-particle":"","family":"Ratliff","given":"Miriam","non-dropping-particle":"","parse-names":false,"suffix":""},{"dropping-particle":"","family":"Herold-Mende","given":"Christel","non-dropping-particle":"","parse-names":false,"suffix":""},{"dropping-particle":"","family":"Pfister","given":"Stefan M.","non-dropping-particle":"","parse-names":false,"suffix":""},{"dropping-particle":"","family":"Jones","given":"David T.W.","non-dropping-particle":"","parse-names":false,"suffix":""},{"dropping-particle":"","family":"Weller","given":"Michael","non-dropping-particle":"","parse-names":false,"suffix":""},{"dropping-particle":"","family":"Harter","given":"Patrick N.","non-dropping-particle":"","parse-names":false,"suffix":""},{"dropping-particle":"","family":"Wick","given":"Wolfgang","non-dropping-particle":"","parse-names":false,"suffix":""},{"dropping-particle":"","family":"Preusser","given":"Matthias","non-dropping-particle":"","parse-names":false,"suffix":""},{"dropping-particle":"","family":"Deimling","given":"Andreas","non-dropping-particle":"von","parse-names":false,"suffix":""},{"dropping-particle":"","family":"Sahm","given":"Felix","non-dropping-particle":"","parse-names":false,"suffix":""}],"container-title":"Acta Neuropathologica","id":"ITEM-1","issue":"3","issued":{"date-parts":[["2020"]]},"page":"409-413","title":"CDKN2A/B homozygous deletion is associated with early recurrence in meningiomas","type":"article","volume":"140"},"uris":["http://www.mendeley.com/documents/?uuid=af95ef97-2f53-4233-a90e-138c01770e0b"]}],"mendeley":{"formattedCitation":"&lt;sup&gt;19&lt;/sup&gt;","plainTextFormattedCitation":"19","previouslyFormattedCitation":"&lt;sup&gt;19&lt;/sup&gt;"},"properties":{"noteIndex":0},"schema":"https://github.com/citation-style-language/schema/raw/master/csl-citation.json"}</w:instrText>
      </w:r>
      <w:r w:rsidR="00680303" w:rsidRPr="00CE4E1F">
        <w:rPr>
          <w:iCs/>
        </w:rPr>
        <w:fldChar w:fldCharType="separate"/>
      </w:r>
      <w:r w:rsidR="000F4EF5" w:rsidRPr="000F4EF5">
        <w:rPr>
          <w:iCs/>
          <w:noProof/>
          <w:vertAlign w:val="superscript"/>
        </w:rPr>
        <w:t>19</w:t>
      </w:r>
      <w:r w:rsidR="00680303" w:rsidRPr="00CE4E1F">
        <w:rPr>
          <w:iCs/>
        </w:rPr>
        <w:fldChar w:fldCharType="end"/>
      </w:r>
      <w:r w:rsidRPr="00CE4E1F">
        <w:rPr>
          <w:iCs/>
        </w:rPr>
        <w:t xml:space="preserve">, </w:t>
      </w:r>
      <w:r w:rsidR="009F5517" w:rsidRPr="00CE4E1F">
        <w:rPr>
          <w:iCs/>
        </w:rPr>
        <w:t xml:space="preserve">using </w:t>
      </w:r>
      <w:r w:rsidRPr="00CE4E1F">
        <w:rPr>
          <w:iCs/>
        </w:rPr>
        <w:t xml:space="preserve">manual inspection of copy number variant profiles </w:t>
      </w:r>
      <w:r w:rsidR="009F5517" w:rsidRPr="00CE4E1F">
        <w:rPr>
          <w:iCs/>
        </w:rPr>
        <w:t xml:space="preserve">and </w:t>
      </w:r>
      <w:r w:rsidRPr="00CE4E1F">
        <w:rPr>
          <w:iCs/>
        </w:rPr>
        <w:t xml:space="preserve">annotation </w:t>
      </w:r>
      <w:r w:rsidR="009F5517" w:rsidRPr="00CE4E1F">
        <w:rPr>
          <w:iCs/>
        </w:rPr>
        <w:t>of</w:t>
      </w:r>
      <w:r w:rsidRPr="00CE4E1F">
        <w:rPr>
          <w:iCs/>
        </w:rPr>
        <w:t xml:space="preserve"> focal deletion or segmental loss. Zygosity of </w:t>
      </w:r>
      <w:r w:rsidR="009F5517" w:rsidRPr="00CE4E1F">
        <w:rPr>
          <w:i/>
        </w:rPr>
        <w:t>CDKN2A/B</w:t>
      </w:r>
      <w:r w:rsidR="009F5517" w:rsidRPr="00CE4E1F">
        <w:rPr>
          <w:iCs/>
        </w:rPr>
        <w:t xml:space="preserve"> </w:t>
      </w:r>
      <w:r w:rsidRPr="00CE4E1F">
        <w:rPr>
          <w:iCs/>
        </w:rPr>
        <w:t>loss</w:t>
      </w:r>
      <w:r w:rsidR="009F5517" w:rsidRPr="00CE4E1F">
        <w:rPr>
          <w:iCs/>
        </w:rPr>
        <w:t>es</w:t>
      </w:r>
      <w:r w:rsidRPr="00CE4E1F">
        <w:rPr>
          <w:iCs/>
        </w:rPr>
        <w:t xml:space="preserve"> </w:t>
      </w:r>
      <w:r w:rsidR="009F5517" w:rsidRPr="00CE4E1F">
        <w:rPr>
          <w:iCs/>
        </w:rPr>
        <w:t xml:space="preserve">were defined </w:t>
      </w:r>
      <w:r w:rsidRPr="00CE4E1F">
        <w:rPr>
          <w:iCs/>
        </w:rPr>
        <w:t xml:space="preserve">based </w:t>
      </w:r>
      <w:r w:rsidR="009F5517" w:rsidRPr="00CE4E1F">
        <w:rPr>
          <w:iCs/>
        </w:rPr>
        <w:t xml:space="preserve">on </w:t>
      </w:r>
      <w:r w:rsidRPr="00CE4E1F">
        <w:rPr>
          <w:iCs/>
        </w:rPr>
        <w:t>the depth of the loss in comparison to other known hemizygous chromosom</w:t>
      </w:r>
      <w:r w:rsidR="009F5517" w:rsidRPr="00CE4E1F">
        <w:rPr>
          <w:iCs/>
        </w:rPr>
        <w:t>e</w:t>
      </w:r>
      <w:r w:rsidRPr="00CE4E1F">
        <w:rPr>
          <w:iCs/>
        </w:rPr>
        <w:t xml:space="preserve"> arm losses, most commonly </w:t>
      </w:r>
      <w:r w:rsidR="009F5517" w:rsidRPr="00CE4E1F">
        <w:rPr>
          <w:iCs/>
        </w:rPr>
        <w:t xml:space="preserve">losses of chromosome </w:t>
      </w:r>
      <w:r w:rsidRPr="00CE4E1F">
        <w:rPr>
          <w:iCs/>
        </w:rPr>
        <w:t xml:space="preserve">22q or </w:t>
      </w:r>
      <w:r w:rsidR="009F5517" w:rsidRPr="00CE4E1F">
        <w:rPr>
          <w:iCs/>
        </w:rPr>
        <w:t xml:space="preserve">chromosome </w:t>
      </w:r>
      <w:r w:rsidRPr="00CE4E1F">
        <w:rPr>
          <w:iCs/>
        </w:rPr>
        <w:t xml:space="preserve">1p. </w:t>
      </w:r>
      <w:r w:rsidR="00CE4167" w:rsidRPr="00CE4E1F">
        <w:rPr>
          <w:i/>
        </w:rPr>
        <w:t>CDKN2A/B</w:t>
      </w:r>
      <w:r w:rsidR="00CE4167" w:rsidRPr="00CE4E1F">
        <w:rPr>
          <w:iCs/>
        </w:rPr>
        <w:t xml:space="preserve"> </w:t>
      </w:r>
      <w:r w:rsidRPr="00CE4E1F">
        <w:rPr>
          <w:iCs/>
        </w:rPr>
        <w:t>loss</w:t>
      </w:r>
      <w:r w:rsidR="00CE4167" w:rsidRPr="00CE4E1F">
        <w:rPr>
          <w:iCs/>
        </w:rPr>
        <w:t>es</w:t>
      </w:r>
      <w:r w:rsidRPr="00CE4E1F">
        <w:rPr>
          <w:iCs/>
        </w:rPr>
        <w:t xml:space="preserve"> and zygosity were agreed </w:t>
      </w:r>
      <w:r w:rsidR="00CE4167" w:rsidRPr="00CE4E1F">
        <w:rPr>
          <w:iCs/>
        </w:rPr>
        <w:t xml:space="preserve">on </w:t>
      </w:r>
      <w:r w:rsidRPr="00CE4E1F">
        <w:rPr>
          <w:iCs/>
        </w:rPr>
        <w:t xml:space="preserve">by the </w:t>
      </w:r>
      <w:r w:rsidR="00CE4167" w:rsidRPr="00CE4E1F">
        <w:rPr>
          <w:iCs/>
        </w:rPr>
        <w:t xml:space="preserve">lead </w:t>
      </w:r>
      <w:r w:rsidRPr="00CE4E1F">
        <w:rPr>
          <w:iCs/>
        </w:rPr>
        <w:t xml:space="preserve">author and </w:t>
      </w:r>
      <w:r w:rsidR="00CE4167" w:rsidRPr="00CE4E1F">
        <w:rPr>
          <w:iCs/>
        </w:rPr>
        <w:t xml:space="preserve">2 </w:t>
      </w:r>
      <w:r w:rsidRPr="00CE4E1F">
        <w:rPr>
          <w:iCs/>
        </w:rPr>
        <w:t>fellowship trained molecular neuro-pathologists (WCC, CH</w:t>
      </w:r>
      <w:r w:rsidR="000A5926">
        <w:rPr>
          <w:iCs/>
        </w:rPr>
        <w:t>G</w:t>
      </w:r>
      <w:r w:rsidRPr="00CE4E1F">
        <w:rPr>
          <w:iCs/>
        </w:rPr>
        <w:t>L, A</w:t>
      </w:r>
      <w:r w:rsidR="004F33B0">
        <w:rPr>
          <w:iCs/>
        </w:rPr>
        <w:t>K</w:t>
      </w:r>
      <w:r w:rsidRPr="00CE4E1F">
        <w:rPr>
          <w:iCs/>
        </w:rPr>
        <w:t>S)</w:t>
      </w:r>
      <w:r w:rsidR="00A123F1">
        <w:rPr>
          <w:iCs/>
        </w:rPr>
        <w:t>.</w:t>
      </w:r>
    </w:p>
    <w:p w14:paraId="033A414D" w14:textId="77777777" w:rsidR="00E667CD" w:rsidRPr="00CE4E1F" w:rsidRDefault="00E667CD" w:rsidP="00742F09">
      <w:pPr>
        <w:spacing w:line="360" w:lineRule="auto"/>
        <w:contextualSpacing/>
        <w:jc w:val="both"/>
        <w:rPr>
          <w:iCs/>
        </w:rPr>
      </w:pPr>
    </w:p>
    <w:p w14:paraId="6213BE60" w14:textId="0EB874BF" w:rsidR="004E3600" w:rsidRPr="00CE4E1F" w:rsidRDefault="00BE7535" w:rsidP="00742F09">
      <w:pPr>
        <w:spacing w:line="360" w:lineRule="auto"/>
        <w:contextualSpacing/>
        <w:jc w:val="both"/>
        <w:rPr>
          <w:bCs/>
          <w:i/>
          <w:iCs/>
        </w:rPr>
      </w:pPr>
      <w:r w:rsidRPr="00CE4E1F">
        <w:rPr>
          <w:bCs/>
          <w:i/>
          <w:iCs/>
        </w:rPr>
        <w:t>TERT</w:t>
      </w:r>
      <w:r w:rsidR="004E3600" w:rsidRPr="00CE4E1F">
        <w:rPr>
          <w:bCs/>
          <w:i/>
          <w:iCs/>
        </w:rPr>
        <w:t xml:space="preserve"> promoter</w:t>
      </w:r>
      <w:r w:rsidRPr="00CE4E1F">
        <w:rPr>
          <w:bCs/>
          <w:i/>
          <w:iCs/>
        </w:rPr>
        <w:t xml:space="preserve"> amplicon seq</w:t>
      </w:r>
      <w:r w:rsidR="004E3600" w:rsidRPr="00CE4E1F">
        <w:rPr>
          <w:bCs/>
          <w:i/>
          <w:iCs/>
        </w:rPr>
        <w:t>uencing and analysis</w:t>
      </w:r>
    </w:p>
    <w:p w14:paraId="55638B8B" w14:textId="18A18BBF" w:rsidR="003C2F6E" w:rsidRPr="00CE4E1F" w:rsidRDefault="003C2F6E" w:rsidP="00742F09">
      <w:pPr>
        <w:spacing w:line="360" w:lineRule="auto"/>
        <w:ind w:firstLine="720"/>
        <w:contextualSpacing/>
        <w:jc w:val="both"/>
        <w:rPr>
          <w:bCs/>
        </w:rPr>
      </w:pPr>
      <w:r w:rsidRPr="00CE4E1F">
        <w:rPr>
          <w:bCs/>
          <w:i/>
        </w:rPr>
        <w:t>TERT</w:t>
      </w:r>
      <w:r w:rsidRPr="00CE4E1F">
        <w:rPr>
          <w:bCs/>
        </w:rPr>
        <w:t xml:space="preserve"> promoter amplicon sequencing was performed </w:t>
      </w:r>
      <w:r w:rsidR="00191FE1" w:rsidRPr="00CE4E1F">
        <w:rPr>
          <w:bCs/>
        </w:rPr>
        <w:t>a</w:t>
      </w:r>
      <w:r w:rsidR="007B6B1D" w:rsidRPr="00CE4E1F">
        <w:rPr>
          <w:bCs/>
        </w:rPr>
        <w:t>t</w:t>
      </w:r>
      <w:r w:rsidR="00191FE1" w:rsidRPr="00CE4E1F">
        <w:rPr>
          <w:bCs/>
        </w:rPr>
        <w:t xml:space="preserve"> </w:t>
      </w:r>
      <w:r w:rsidRPr="00CE4E1F">
        <w:rPr>
          <w:bCs/>
        </w:rPr>
        <w:t xml:space="preserve">CD Genomics (Shirley, NY). The </w:t>
      </w:r>
      <w:r w:rsidRPr="00CE4E1F">
        <w:rPr>
          <w:bCs/>
          <w:i/>
        </w:rPr>
        <w:t>TERT</w:t>
      </w:r>
      <w:r w:rsidRPr="00CE4E1F">
        <w:rPr>
          <w:bCs/>
        </w:rPr>
        <w:t xml:space="preserve"> promoter was amplified using </w:t>
      </w:r>
      <w:r w:rsidR="00191FE1" w:rsidRPr="00CE4E1F">
        <w:rPr>
          <w:bCs/>
        </w:rPr>
        <w:t xml:space="preserve">sequence </w:t>
      </w:r>
      <w:r w:rsidRPr="00CE4E1F">
        <w:rPr>
          <w:bCs/>
        </w:rPr>
        <w:t>specific primers (</w:t>
      </w:r>
      <w:r w:rsidR="00191FE1" w:rsidRPr="00CE4E1F">
        <w:rPr>
          <w:bCs/>
        </w:rPr>
        <w:t xml:space="preserve">forward </w:t>
      </w:r>
      <w:r w:rsidRPr="00CE4E1F">
        <w:rPr>
          <w:bCs/>
        </w:rPr>
        <w:t>CAGCGCTGCCTGAAACTC</w:t>
      </w:r>
      <w:r w:rsidR="007D75C0">
        <w:rPr>
          <w:bCs/>
        </w:rPr>
        <w:t>,</w:t>
      </w:r>
      <w:r w:rsidR="00191FE1" w:rsidRPr="00CE4E1F">
        <w:rPr>
          <w:bCs/>
        </w:rPr>
        <w:t xml:space="preserve"> reverse </w:t>
      </w:r>
      <w:r w:rsidRPr="00CE4E1F">
        <w:rPr>
          <w:bCs/>
        </w:rPr>
        <w:t>GTCCTGCCCCTTCACCTT) targeting a 163 bp region spanning hot spot mutations at positions 1,295,228 and 1,295,250 on chromosome 5</w:t>
      </w:r>
      <w:r w:rsidR="00680303" w:rsidRPr="00CE4E1F">
        <w:rPr>
          <w:bCs/>
        </w:rPr>
        <w:fldChar w:fldCharType="begin" w:fldLock="1"/>
      </w:r>
      <w:r w:rsidR="000F4EF5">
        <w:rPr>
          <w:bCs/>
        </w:rPr>
        <w:instrText>ADDIN CSL_CITATION {"citationItems":[{"id":"ITEM-1","itemData":{"DOI":"10.1007/s00401-013-1195-5","ISSN":"14320533","PMID":"24154961","abstract":"Hot spot mutations in the promoter region of telomerase reverse transcriptase (TERT) have recently been described in several human tumor entities. These mutations result in an upregulation of the telomerase complex activity and thus constitute a relevant mechanism for immortalization of tumor cells. Knowledge of the TERT promoter status in tumors is likely to be of interest for molecular classification and as a potential target for therapy. We, therefore, performed a systematic analysis of TERT promoter mutations in 1,515 tumors of the human nervous system and its coverings including 373 pediatric and 1,142 adult patients. We detected a total of 327 mutations. TERT promoter mutations were exceedingly rare in tumors typically encountered in pediatric patients. In entities typically encountered in adult patients TERT promoter mutations were strongly associated with older age (p &lt; 0.0001). Highest mutation frequencies were detected in gliosarcomas (81 %), oligodendrogliomas (78 %), oligoastrocytomas (58 %), primary glioblastomas (54 %), and solitary fibrous tumors (50 %). Related to other molecular alterations, TERT promoter mutations were strongly associated with 1p/19q loss (p &lt; 0.0001), but inversely associated with loss of ATRX expression (p &lt; 0.0001) and IDH1/IDH2 mutations (p &lt; 0.0001). TERT promoter mutations are typically found in adult patients and occur in a highly tumor typeassociated distribution. © Springer-Verlag Berlin Heidelberg 2013.","author":[{"dropping-particle":"","family":"Koelsche","given":"Christian","non-dropping-particle":"","parse-names":false,"suffix":""},{"dropping-particle":"","family":"Sahm","given":"Felix","non-dropping-particle":"","parse-names":false,"suffix":""},{"dropping-particle":"","family":"Capper","given":"David","non-dropping-particle":"","parse-names":false,"suffix":""},{"dropping-particle":"","family":"Reuss","given":"David","non-dropping-particle":"","parse-names":false,"suffix":""},{"dropping-particle":"","family":"Sturm","given":"Dominik","non-dropping-particle":"","parse-names":false,"suffix":""},{"dropping-particle":"","family":"Jones","given":"David T.W.","non-dropping-particle":"","parse-names":false,"suffix":""},{"dropping-particle":"","family":"Kool","given":"Marcel","non-dropping-particle":"","parse-names":false,"suffix":""},{"dropping-particle":"","family":"Northcott","given":"Paul A.","non-dropping-particle":"","parse-names":false,"suffix":""},{"dropping-particle":"","family":"Wiestler","given":"Benedikt","non-dropping-particle":"","parse-names":false,"suffix":""},{"dropping-particle":"","family":"Bömer","given":"Katja","non-dropping-particle":"","parse-names":false,"suffix":""},{"dropping-particle":"","family":"Meyer","given":"Jochen","non-dropping-particle":"","parse-names":false,"suffix":""},{"dropping-particle":"","family":"Mawrin","given":"Christian","non-dropping-particle":"","parse-names":false,"suffix":""},{"dropping-particle":"","family":"Hartmann","given":"Christian","non-dropping-particle":"","parse-names":false,"suffix":""},{"dropping-particle":"","family":"Mittelbronn","given":"Michel","non-dropping-particle":"","parse-names":false,"suffix":""},{"dropping-particle":"","family":"Platten","given":"Michael","non-dropping-particle":"","parse-names":false,"suffix":""},{"dropping-particle":"","family":"Brokinkel","given":"Benjamin","non-dropping-particle":"","parse-names":false,"suffix":""},{"dropping-particle":"","family":"Seiz","given":"Marcel","non-dropping-particle":"","parse-names":false,"suffix":""},{"dropping-particle":"","family":"Herold-Mende","given":"Christel","non-dropping-particle":"","parse-names":false,"suffix":""},{"dropping-particle":"","family":"Unterberg","given":"Andreas","non-dropping-particle":"","parse-names":false,"suffix":""},{"dropping-particle":"","family":"Schittenhelm","given":"Jens","non-dropping-particle":"","parse-names":false,"suffix":""},{"dropping-particle":"","family":"Weller","given":"Michael","non-dropping-particle":"","parse-names":false,"suffix":""},{"dropping-particle":"","family":"Pfister","given":"Stefan","non-dropping-particle":"","parse-names":false,"suffix":""},{"dropping-particle":"","family":"Wick","given":"Wolfgang","non-dropping-particle":"","parse-names":false,"suffix":""},{"dropping-particle":"","family":"Korshunov","given":"Andrey","non-dropping-particle":"","parse-names":false,"suffix":""},{"dropping-particle":"","family":"Deimling","given":"Andreas","non-dropping-particle":"Von","parse-names":false,"suffix":""}],"container-title":"Acta Neuropathologica","id":"ITEM-1","issue":"6","issued":{"date-parts":[["2013"]]},"page":"907-915","title":"Distribution of TERT promoter mutations in pediatric and adult tumors of the nervous system","type":"article-journal","volume":"126"},"uris":["http://www.mendeley.com/documents/?uuid=1c049e92-7a48-4974-a756-3853bbaad37a"]}],"mendeley":{"formattedCitation":"&lt;sup&gt;20&lt;/sup&gt;","plainTextFormattedCitation":"20","previouslyFormattedCitation":"&lt;sup&gt;20&lt;/sup&gt;"},"properties":{"noteIndex":0},"schema":"https://github.com/citation-style-language/schema/raw/master/csl-citation.json"}</w:instrText>
      </w:r>
      <w:r w:rsidR="00680303" w:rsidRPr="00CE4E1F">
        <w:rPr>
          <w:bCs/>
        </w:rPr>
        <w:fldChar w:fldCharType="separate"/>
      </w:r>
      <w:r w:rsidR="000F4EF5" w:rsidRPr="000F4EF5">
        <w:rPr>
          <w:bCs/>
          <w:noProof/>
          <w:vertAlign w:val="superscript"/>
        </w:rPr>
        <w:t>20</w:t>
      </w:r>
      <w:r w:rsidR="00680303" w:rsidRPr="00CE4E1F">
        <w:rPr>
          <w:bCs/>
        </w:rPr>
        <w:fldChar w:fldCharType="end"/>
      </w:r>
      <w:r w:rsidRPr="00CE4E1F">
        <w:rPr>
          <w:bCs/>
        </w:rPr>
        <w:t xml:space="preserve">. Polymerase chain reactions (PCR) were carried out </w:t>
      </w:r>
      <w:r w:rsidR="00191FE1" w:rsidRPr="00CE4E1F">
        <w:rPr>
          <w:bCs/>
        </w:rPr>
        <w:t xml:space="preserve">using </w:t>
      </w:r>
      <w:r w:rsidRPr="00CE4E1F">
        <w:rPr>
          <w:bCs/>
        </w:rPr>
        <w:t>2x KAPA2G HotStat ReadyMix (</w:t>
      </w:r>
      <w:r w:rsidR="00191FE1" w:rsidRPr="00CE4E1F">
        <w:rPr>
          <w:bCs/>
        </w:rPr>
        <w:t>#</w:t>
      </w:r>
      <w:r w:rsidRPr="00CE4E1F">
        <w:rPr>
          <w:bCs/>
        </w:rPr>
        <w:t>KK5702), 0.2 μM of forward and reverse primers, and 10 ng template DNA. Thermal cycling consisted of initial denaturation at 95°C for 10 min, followed by 27 cycles of denaturation at 98°C for 15 s</w:t>
      </w:r>
      <w:r w:rsidR="00CE4E1F" w:rsidRPr="00CE4E1F">
        <w:rPr>
          <w:bCs/>
        </w:rPr>
        <w:t xml:space="preserve"> plus</w:t>
      </w:r>
      <w:r w:rsidRPr="00CE4E1F">
        <w:rPr>
          <w:bCs/>
        </w:rPr>
        <w:t xml:space="preserve"> annealing at 63°C for 15 s and elongation at 72°C for 20 s, and finally</w:t>
      </w:r>
      <w:r w:rsidR="00CE4E1F">
        <w:rPr>
          <w:bCs/>
        </w:rPr>
        <w:t xml:space="preserve">, terminal elongation at </w:t>
      </w:r>
      <w:r w:rsidRPr="00CE4E1F">
        <w:rPr>
          <w:bCs/>
        </w:rPr>
        <w:t>72</w:t>
      </w:r>
      <w:r w:rsidRPr="007D75C0">
        <w:rPr>
          <w:bCs/>
        </w:rPr>
        <w:t>℃</w:t>
      </w:r>
      <w:r w:rsidRPr="00CE4E1F">
        <w:rPr>
          <w:bCs/>
        </w:rPr>
        <w:t xml:space="preserve"> for 5 min. 1 ul of the PCR product was loaded on 2% agarose gel for detection of size. The PCR products were quantified </w:t>
      </w:r>
      <w:r w:rsidR="00CE4E1F">
        <w:rPr>
          <w:bCs/>
        </w:rPr>
        <w:t>using</w:t>
      </w:r>
      <w:r w:rsidR="00CE4E1F" w:rsidRPr="00CE4E1F">
        <w:rPr>
          <w:bCs/>
        </w:rPr>
        <w:t xml:space="preserve"> </w:t>
      </w:r>
      <w:r w:rsidR="00CE4E1F">
        <w:rPr>
          <w:bCs/>
        </w:rPr>
        <w:t>Q</w:t>
      </w:r>
      <w:r w:rsidRPr="00CE4E1F">
        <w:rPr>
          <w:bCs/>
        </w:rPr>
        <w:t>PCR</w:t>
      </w:r>
      <w:r w:rsidR="00CE4E1F">
        <w:rPr>
          <w:bCs/>
        </w:rPr>
        <w:t xml:space="preserve">, </w:t>
      </w:r>
      <w:r w:rsidRPr="00CE4E1F">
        <w:rPr>
          <w:bCs/>
        </w:rPr>
        <w:t xml:space="preserve">mixed in equidensity ratios, and purified with AMPure XP beads (#A63882). </w:t>
      </w:r>
      <w:r w:rsidR="00CE4E1F">
        <w:rPr>
          <w:bCs/>
        </w:rPr>
        <w:t>S</w:t>
      </w:r>
      <w:r w:rsidRPr="00CE4E1F">
        <w:rPr>
          <w:bCs/>
        </w:rPr>
        <w:t xml:space="preserve">equencing libraries were generated using the TruSeq DNA PCR-Free Sample Preparation Kit (Illumina, USA) following manufacturer </w:t>
      </w:r>
      <w:r w:rsidR="00CE4E1F">
        <w:rPr>
          <w:bCs/>
        </w:rPr>
        <w:t>instruction</w:t>
      </w:r>
      <w:r w:rsidR="00D53007">
        <w:rPr>
          <w:bCs/>
        </w:rPr>
        <w:t>s</w:t>
      </w:r>
      <w:r w:rsidRPr="00CE4E1F">
        <w:rPr>
          <w:bCs/>
        </w:rPr>
        <w:t xml:space="preserve">. The library quality was assessed on the Qubit 2.0 Fluorometer (Thermo Scientific) and Agilent Bioanalyzer 2100 system. </w:t>
      </w:r>
      <w:r w:rsidR="00D53007">
        <w:rPr>
          <w:bCs/>
        </w:rPr>
        <w:t>T</w:t>
      </w:r>
      <w:r w:rsidRPr="00CE4E1F">
        <w:rPr>
          <w:bCs/>
        </w:rPr>
        <w:t xml:space="preserve">he library was sequenced on an Illumina NovaSeq and </w:t>
      </w:r>
      <w:r w:rsidR="00D53007">
        <w:rPr>
          <w:bCs/>
        </w:rPr>
        <w:t xml:space="preserve">a </w:t>
      </w:r>
      <w:r w:rsidRPr="00CE4E1F">
        <w:rPr>
          <w:bCs/>
        </w:rPr>
        <w:t xml:space="preserve">median of 323,025 </w:t>
      </w:r>
      <w:r w:rsidR="00D53007" w:rsidRPr="00CE4E1F">
        <w:rPr>
          <w:bCs/>
        </w:rPr>
        <w:t xml:space="preserve">150 bp paired-end reads </w:t>
      </w:r>
      <w:r w:rsidRPr="00CE4E1F">
        <w:rPr>
          <w:bCs/>
        </w:rPr>
        <w:t>per sample were generated (IQR 296,612-327,717). Reads were aligned to the GRCh38</w:t>
      </w:r>
      <w:r w:rsidR="00D53007" w:rsidRPr="00CE4E1F">
        <w:rPr>
          <w:bCs/>
        </w:rPr>
        <w:t>/hg19</w:t>
      </w:r>
      <w:r w:rsidRPr="00CE4E1F">
        <w:rPr>
          <w:bCs/>
        </w:rPr>
        <w:t xml:space="preserve"> reference genome using hisat2 </w:t>
      </w:r>
      <w:r w:rsidR="00C72D92" w:rsidRPr="00CE4E1F">
        <w:rPr>
          <w:bCs/>
        </w:rPr>
        <w:t xml:space="preserve">(v2.2.1) </w:t>
      </w:r>
      <w:r w:rsidRPr="00CE4E1F">
        <w:rPr>
          <w:bCs/>
        </w:rPr>
        <w:t>with default settings. Variant calling was performed using samtools</w:t>
      </w:r>
      <w:r w:rsidR="00C72D92" w:rsidRPr="00CE4E1F">
        <w:rPr>
          <w:bCs/>
        </w:rPr>
        <w:t xml:space="preserve"> (v1.10)</w:t>
      </w:r>
      <w:r w:rsidR="009641F5">
        <w:rPr>
          <w:bCs/>
        </w:rPr>
        <w:t xml:space="preserve"> with </w:t>
      </w:r>
      <w:r w:rsidRPr="00CE4E1F">
        <w:rPr>
          <w:bCs/>
        </w:rPr>
        <w:t xml:space="preserve">mpileup and call commands in the bcftools program </w:t>
      </w:r>
      <w:r w:rsidR="009641F5">
        <w:rPr>
          <w:bCs/>
        </w:rPr>
        <w:t>using</w:t>
      </w:r>
      <w:r w:rsidR="009641F5" w:rsidRPr="00CE4E1F">
        <w:rPr>
          <w:bCs/>
        </w:rPr>
        <w:t xml:space="preserve"> </w:t>
      </w:r>
      <w:r w:rsidRPr="00CE4E1F">
        <w:rPr>
          <w:bCs/>
        </w:rPr>
        <w:t xml:space="preserve">default settings, </w:t>
      </w:r>
      <w:r w:rsidRPr="00CE4E1F">
        <w:rPr>
          <w:bCs/>
        </w:rPr>
        <w:lastRenderedPageBreak/>
        <w:t xml:space="preserve">and visualized using </w:t>
      </w:r>
      <w:r w:rsidR="00D53007">
        <w:rPr>
          <w:bCs/>
        </w:rPr>
        <w:t xml:space="preserve">the </w:t>
      </w:r>
      <w:r w:rsidRPr="00CE4E1F">
        <w:rPr>
          <w:bCs/>
        </w:rPr>
        <w:t>Integrative Genome Viewer (IGV, Broad Institute, MA)</w:t>
      </w:r>
      <w:r w:rsidR="00467254" w:rsidRPr="00CE4E1F">
        <w:rPr>
          <w:bCs/>
        </w:rPr>
        <w:t xml:space="preserve"> to confirm hotspot mutations</w:t>
      </w:r>
      <w:r w:rsidRPr="00CE4E1F">
        <w:rPr>
          <w:bCs/>
        </w:rPr>
        <w:t>.</w:t>
      </w:r>
    </w:p>
    <w:p w14:paraId="0437AE39" w14:textId="77777777" w:rsidR="0064368C" w:rsidRPr="00CE4E1F" w:rsidRDefault="0064368C" w:rsidP="00742F09">
      <w:pPr>
        <w:spacing w:line="360" w:lineRule="auto"/>
        <w:contextualSpacing/>
        <w:jc w:val="both"/>
        <w:rPr>
          <w:bCs/>
        </w:rPr>
      </w:pPr>
    </w:p>
    <w:p w14:paraId="16CCE4FB" w14:textId="1DDFB208" w:rsidR="00BE7535" w:rsidRPr="00CE4E1F" w:rsidRDefault="00BE7535" w:rsidP="00742F09">
      <w:pPr>
        <w:spacing w:line="360" w:lineRule="auto"/>
        <w:contextualSpacing/>
        <w:jc w:val="both"/>
        <w:rPr>
          <w:bCs/>
          <w:i/>
          <w:iCs/>
        </w:rPr>
      </w:pPr>
      <w:r w:rsidRPr="00CE4E1F">
        <w:rPr>
          <w:bCs/>
          <w:i/>
          <w:iCs/>
        </w:rPr>
        <w:t xml:space="preserve">Targeted </w:t>
      </w:r>
      <w:r w:rsidR="00E103C6" w:rsidRPr="00CE4E1F">
        <w:rPr>
          <w:bCs/>
          <w:i/>
          <w:iCs/>
        </w:rPr>
        <w:t xml:space="preserve">DNA </w:t>
      </w:r>
      <w:r w:rsidRPr="00CE4E1F">
        <w:rPr>
          <w:bCs/>
          <w:i/>
          <w:iCs/>
        </w:rPr>
        <w:t xml:space="preserve">sequencing </w:t>
      </w:r>
      <w:r w:rsidR="004E3600" w:rsidRPr="00CE4E1F">
        <w:rPr>
          <w:bCs/>
          <w:i/>
          <w:iCs/>
        </w:rPr>
        <w:t>and analysis</w:t>
      </w:r>
    </w:p>
    <w:p w14:paraId="45B2B565" w14:textId="568B939D" w:rsidR="00BF2A95" w:rsidRPr="00CE4E1F" w:rsidRDefault="00BF2A95" w:rsidP="00742F09">
      <w:pPr>
        <w:spacing w:line="360" w:lineRule="auto"/>
        <w:ind w:firstLine="720"/>
        <w:contextualSpacing/>
        <w:jc w:val="both"/>
        <w:rPr>
          <w:bCs/>
        </w:rPr>
      </w:pPr>
      <w:r w:rsidRPr="00CE4E1F">
        <w:rPr>
          <w:bCs/>
        </w:rPr>
        <w:t xml:space="preserve">Genes for targeted DNA sequencing </w:t>
      </w:r>
      <w:r w:rsidR="00D53007">
        <w:rPr>
          <w:bCs/>
        </w:rPr>
        <w:t xml:space="preserve">in the UCSF discovery cohort </w:t>
      </w:r>
      <w:r w:rsidRPr="00CE4E1F">
        <w:rPr>
          <w:bCs/>
        </w:rPr>
        <w:t>were selected based on recurrent somatic short variants in meningiomas</w:t>
      </w:r>
      <w:r w:rsidRPr="00CE4E1F">
        <w:rPr>
          <w:bCs/>
        </w:rPr>
        <w:fldChar w:fldCharType="begin" w:fldLock="1"/>
      </w:r>
      <w:r w:rsidR="000F4EF5">
        <w:rPr>
          <w:bCs/>
        </w:rPr>
        <w:instrText>ADDIN CSL_CITATION {"citationItems":[{"id":"ITEM-1","itemData":{"DOI":"10.3171/2019.8.JNS191266","ISSN":"19330693","PMID":"31653806","abstract":"OBJECTIVE Recent large-cohort sequencing studies have investigated the genomic landscape of meningiomas, identifying somatic coding alterations in NF2, SMARCB1, SMARCE1, TRAF7, KLF4, POLR2A, BAP1, and members of the PI3K and Hedgehog signaling pathways. Initial associations between clinical features and genomic subgroups have been described, including location, grade, and histology. However, further investigation using an expanded collection of samples is needed to confirm previous findings, as well as elucidate relationships not evident in smaller discovery cohorts. METHODS Targeted sequencing of established meningioma driver genes was performed on a multiinstitution cohort of 3016 meningiomas for classification into mutually exclusive subgroups. Relevant clinical information was collected for all available cases and correlated with genomic subgroup. Nominal variables were analyzed using Fisher’s exact tests, while ordinal and continuous variables were assessed using Kruskal-Wallis and 1-way ANOVA tests, respectively. Machine-learning approaches were used to predict genomic subgroup based on noninvasive clinical features. RESULTS Genomic subgroups were strongly associated with tumor locations, including correlation of HH tumors with midline location, and non-NF2 tumors in anterior skull base regions. NF2 meningiomas were significantly enriched in male patients, while KLF4 and POLR2A mutations were associated with female sex. Among histologies, the results confirmed previously identified relationships, and observed enrichment of microcystic features among “mutation unknown” samples. Additionally, KLF4-mutant meningiomas were associated with larger peritumoral brain edema, while SMARCB1 cases exhibited elevated Ki-67 index. Machine-learning methods revealed that observable, noninvasive patient features were largely predictive of each tumor’s underlying driver mutation. CONCLUSIONS Using a rigorous and comprehensive approach, this study expands previously described correlations between genomic drivers and clinical features, enhancing our understanding of meningioma pathogenesis, and laying further groundwork for the use of targeted therapies. Importantly, the authors found that noninvasive patient variables exhibited a moderate predictive value of underlying genomic subgroup, which could improve with additional training data. With continued development, this framework may enable selection of appropriate precision medications without the need for invasive …","author":[{"dropping-particle":"","family":"Youngblood","given":"Mark W.","non-dropping-particle":"","parse-names":false,"suffix":""},{"dropping-particle":"","family":"Duran","given":"Daniel","non-dropping-particle":"","parse-names":false,"suffix":""},{"dropping-particle":"","family":"Montejo","given":"Julio D.","non-dropping-particle":"","parse-names":false,"suffix":""},{"dropping-particle":"","family":"Li","given":"Chang","non-dropping-particle":"","parse-names":false,"suffix":""},{"dropping-particle":"","family":"Omay","given":"Sacit Bulent","non-dropping-particle":"","parse-names":false,"suffix":""},{"dropping-particle":"","family":"Özduman","given":"Koray","non-dropping-particle":"","parse-names":false,"suffix":""},{"dropping-particle":"","family":"Sheth","given":"Amar H.","non-dropping-particle":"","parse-names":false,"suffix":""},{"dropping-particle":"","family":"Zhao","given":"Amy Y.","non-dropping-particle":"","parse-names":false,"suffix":""},{"dropping-particle":"","family":"Tyrtova","given":"Evgeniya","non-dropping-particle":"","parse-names":false,"suffix":""},{"dropping-particle":"","family":"Miyagishima","given":"Danielle F.","non-dropping-particle":"","parse-names":false,"suffix":""},{"dropping-particle":"","family":"Fomchenko","given":"Elena I.","non-dropping-particle":"","parse-names":false,"suffix":""},{"dropping-particle":"","family":"Hong","given":"Christopher S.","non-dropping-particle":"","parse-names":false,"suffix":""},{"dropping-particle":"","family":"Clark","given":"Victoria E.","non-dropping-particle":"","parse-names":false,"suffix":""},{"dropping-particle":"","family":"Riche","given":"Maximilien","non-dropping-particle":"","parse-names":false,"suffix":""},{"dropping-particle":"","family":"Peyre","given":"Matthieu","non-dropping-particle":"","parse-names":false,"suffix":""},{"dropping-particle":"","family":"Boetto","given":"Julien","non-dropping-particle":"","parse-names":false,"suffix":""},{"dropping-particle":"","family":"Sohrabi","given":"Sadaf","non-dropping-particle":"","parse-names":false,"suffix":""},{"dropping-particle":"","family":"Koljaka","given":"Sarah","non-dropping-particle":"","parse-names":false,"suffix":""},{"dropping-particle":"","family":"Baranoski","given":"Jacob F.","non-dropping-particle":"","parse-names":false,"suffix":""},{"dropping-particle":"","family":"Knight","given":"James","non-dropping-particle":"","parse-names":false,"suffix":""},{"dropping-particle":"","family":"Zhu","given":"Hongda","non-dropping-particle":"","parse-names":false,"suffix":""},{"dropping-particle":"","family":"Pamir","given":"M. Necmettin","non-dropping-particle":"","parse-names":false,"suffix":""},{"dropping-particle":"","family":"Avşar","given":"Timuçin","non-dropping-particle":"","parse-names":false,"suffix":""},{"dropping-particle":"","family":"Kilic","given":"Türker","non-dropping-particle":"","parse-names":false,"suffix":""},{"dropping-particle":"","family":"Schramm","given":"Johannes","non-dropping-particle":"","parse-names":false,"suffix":""},{"dropping-particle":"","family":"Timmer","given":"Marco","non-dropping-particle":"","parse-names":false,"suffix":""},{"dropping-particle":"","family":"Goldbrunner","given":"Roland","non-dropping-particle":"","parse-names":false,"suffix":""},{"dropping-particle":"","family":"Gong","given":"Ye","non-dropping-particle":"","parse-names":false,"suffix":""},{"dropping-particle":"","family":"Bayri","given":"Yaşar","non-dropping-particle":"","parse-names":false,"suffix":""},{"dropping-particle":"","family":"Amankulor","given":"Nduka","non-dropping-particle":"","parse-names":false,"suffix":""},{"dropping-particle":"","family":"Hamilton","given":"Ronald L.","non-dropping-particle":"","parse-names":false,"suffix":""},{"dropping-particle":"","family":"Bilguvar","given":"Kaya","non-dropping-particle":"","parse-names":false,"suffix":""},{"dropping-particle":"","family":"Tikhonova","given":"Irina","non-dropping-particle":"","parse-names":false,"suffix":""},{"dropping-particle":"","family":"Tomak","given":"Patrick R.","non-dropping-particle":"","parse-names":false,"suffix":""},{"dropping-particle":"","family":"Huttner","given":"Anita","non-dropping-particle":"","parse-names":false,"suffix":""},{"dropping-particle":"","family":"Simon","given":"Matthias","non-dropping-particle":"","parse-names":false,"suffix":""},{"dropping-particle":"","family":"Krischek","given":"Boris","non-dropping-particle":"","parse-names":false,"suffix":""},{"dropping-particle":"","family":"Kalamarides","given":"Michel","non-dropping-particle":"","parse-names":false,"suffix":""},{"dropping-particle":"","family":"Erson-Omay","given":"E. Zeynep","non-dropping-particle":"","parse-names":false,"suffix":""},{"dropping-particle":"","family":"Moliterno","given":"Jennifer","non-dropping-particle":"","parse-names":false,"suffix":""},{"dropping-particle":"","family":"Günel","given":"Murat","non-dropping-particle":"","parse-names":false,"suffix":""}],"container-title":"Journal of Neurosurgery","id":"ITEM-1","issue":"5","issued":{"date-parts":[["2020"]]},"page":"1345-1354","title":"Correlations between genomic subgroup and clinical features in a cohort of more than 3000 meningiomas","type":"article-journal","volume":"133"},"uris":["http://www.mendeley.com/documents/?uuid=ea50d619-eeeb-412f-9017-00f43a0f3168"]},{"id":"ITEM-2","itemData":{"DOI":"10.1093/neuonc/noaa226","ISSN":"15235866","PMID":"33068421","abstract":"Background: We and others have identified mutually exclusive molecular subgroups of meningiomas; however, the implications of this classification for clinical prognostication remain unclear. Integrated genomic and epigenomic analyses implicate unique oncogenic processes associated with each subgroup, suggesting the potential for divergent clinical courses. The aim of this study was to understand the associated clinical outcomes of each subgroup, as this could optimize treatment for patients. Methods: We analyzed outcome data for 469 meningiomas of known molecular subgroup, including extent of resection, postoperative radiation, surveillance imaging, and time to recurrence, when applicable. Statistical relationships between outcome variables and subgroup were assessed. Features previously associated with recurrence were further investigated after stratification by subgroup. We used Kaplan-Meier analyses to compare progression-free survival, and identified factors significantly associated with recurrence using Cox proportional hazards modeling. Results: Meningioma molecular subgroups exhibited divergent clinical courses at 2 years of follow-up, with several aggressive subgroups (NF2, PI3K, HH, tumor necrosis factor receptor-associated factor 7 [TRAF7]) recurring at an average rate of 22 times higher than others (KLF4, POLR2A, SMARCB1). PI3K-activated tumors recurred earlier than other subgroups but had intermediate long-term outcome. Among low-grade tumors, HH and TRAF7 meningiomas exhibited elevated recurrence compared with other subgroups. Recurrence of NF2 tumors was associated with male sex, high grade, and elevated Ki-67. Multivariate analysis identified molecular subgroup as an independent predictor of recurrence, along with grade and previous recurrence. Conclusion: We describe distinct clinical outcomes and recurrence rates associated with meningioma molecular subgroups. Our findings emphasize the importance of genomic characterization to guide postoperative management decisions for meningiomas.","author":[{"dropping-particle":"","family":"Youngblood","given":"Mark W.","non-dropping-particle":"","parse-names":false,"suffix":""},{"dropping-particle":"","family":"Miyagishima","given":"Danielle F.","non-dropping-particle":"","parse-names":false,"suffix":""},{"dropping-particle":"","family":"Jin","given":"Lan","non-dropping-particle":"","parse-names":false,"suffix":""},{"dropping-particle":"","family":"Gupte","given":"Trisha","non-dropping-particle":"","parse-names":false,"suffix":""},{"dropping-particle":"","family":"Li","given":"Chang","non-dropping-particle":"","parse-names":false,"suffix":""},{"dropping-particle":"","family":"Duran","given":"Daniel","non-dropping-particle":"","parse-names":false,"suffix":""},{"dropping-particle":"","family":"Montejo","given":"Julio D.","non-dropping-particle":"","parse-names":false,"suffix":""},{"dropping-particle":"","family":"Zhao","given":"Amy","non-dropping-particle":"","parse-names":false,"suffix":""},{"dropping-particle":"","family":"Sheth","given":"Amar","non-dropping-particle":"","parse-names":false,"suffix":""},{"dropping-particle":"","family":"Tyrtova","given":"Evgeniya","non-dropping-particle":"","parse-names":false,"suffix":""},{"dropping-particle":"","family":"Özduman","given":"Koray","non-dropping-particle":"","parse-names":false,"suffix":""},{"dropping-particle":"","family":"Iacoangeli","given":"Francesco","non-dropping-particle":"","parse-names":false,"suffix":""},{"dropping-particle":"","family":"Peyre","given":"Matthieu","non-dropping-particle":"","parse-names":false,"suffix":""},{"dropping-particle":"","family":"Boetto","given":"Julien","non-dropping-particle":"","parse-names":false,"suffix":""},{"dropping-particle":"","family":"Pease","given":"Matthew","non-dropping-particle":"","parse-names":false,"suffix":""},{"dropping-particle":"","family":"Avşar","given":"Timuçin","non-dropping-particle":"","parse-names":false,"suffix":""},{"dropping-particle":"","family":"Huttner","given":"Anita","non-dropping-particle":"","parse-names":false,"suffix":""},{"dropping-particle":"","family":"Bilguvar","given":"Kaya","non-dropping-particle":"","parse-names":false,"suffix":""},{"dropping-particle":"","family":"Kilic","given":"Türker","non-dropping-particle":"","parse-names":false,"suffix":""},{"dropping-particle":"","family":"Pamir","given":"M. Necmettin","non-dropping-particle":"","parse-names":false,"suffix":""},{"dropping-particle":"","family":"Amankulor","given":"Nduka","non-dropping-particle":"","parse-names":false,"suffix":""},{"dropping-particle":"","family":"Kalamarides","given":"Michel","non-dropping-particle":"","parse-names":false,"suffix":""},{"dropping-particle":"","family":"Erson-Omay","given":"E. Zeynep","non-dropping-particle":"","parse-names":false,"suffix":""},{"dropping-particle":"","family":"Günel","given":"Murat","non-dropping-particle":"","parse-names":false,"suffix":""},{"dropping-particle":"","family":"Moliterno","given":"Jennifer","non-dropping-particle":"","parse-names":false,"suffix":""}],"container-title":"Neuro-Oncology","id":"ITEM-2","issue":"5","issued":{"date-parts":[["2021"]]},"page":"783-794","title":"Associations of meningioma molecular subgroup and tumor recurrence","type":"article-journal","volume":"23"},"uris":["http://www.mendeley.com/documents/?uuid=76253963-fe88-4bec-b241-e069d66b963c"]}],"mendeley":{"formattedCitation":"&lt;sup&gt;21,22&lt;/sup&gt;","plainTextFormattedCitation":"21,22","previouslyFormattedCitation":"&lt;sup&gt;21,22&lt;/sup&gt;"},"properties":{"noteIndex":0},"schema":"https://github.com/citation-style-language/schema/raw/master/csl-citation.json"}</w:instrText>
      </w:r>
      <w:r w:rsidRPr="00CE4E1F">
        <w:rPr>
          <w:bCs/>
        </w:rPr>
        <w:fldChar w:fldCharType="separate"/>
      </w:r>
      <w:r w:rsidR="000F4EF5" w:rsidRPr="000F4EF5">
        <w:rPr>
          <w:bCs/>
          <w:noProof/>
          <w:vertAlign w:val="superscript"/>
        </w:rPr>
        <w:t>21,22</w:t>
      </w:r>
      <w:r w:rsidRPr="00CE4E1F">
        <w:rPr>
          <w:bCs/>
        </w:rPr>
        <w:fldChar w:fldCharType="end"/>
      </w:r>
      <w:r w:rsidRPr="00CE4E1F">
        <w:rPr>
          <w:bCs/>
        </w:rPr>
        <w:t xml:space="preserve"> (</w:t>
      </w:r>
      <w:r w:rsidRPr="00CE4E1F">
        <w:rPr>
          <w:bCs/>
          <w:i/>
        </w:rPr>
        <w:t xml:space="preserve">NF2, TRAF7, AKT1, BAP1, PIK3CA, </w:t>
      </w:r>
      <w:r w:rsidRPr="00CE4E1F">
        <w:rPr>
          <w:bCs/>
        </w:rPr>
        <w:t xml:space="preserve">the </w:t>
      </w:r>
      <w:r w:rsidRPr="00CE4E1F">
        <w:rPr>
          <w:bCs/>
          <w:i/>
        </w:rPr>
        <w:t xml:space="preserve">TERT </w:t>
      </w:r>
      <w:r w:rsidRPr="00CE4E1F">
        <w:rPr>
          <w:bCs/>
        </w:rPr>
        <w:t xml:space="preserve">promoter, </w:t>
      </w:r>
      <w:r w:rsidRPr="00CE4E1F">
        <w:rPr>
          <w:bCs/>
          <w:i/>
        </w:rPr>
        <w:t xml:space="preserve">SMARCB1, SMARCE1, SMO, SUFU, KLF4, </w:t>
      </w:r>
      <w:r w:rsidRPr="00CE4E1F">
        <w:rPr>
          <w:bCs/>
          <w:iCs/>
        </w:rPr>
        <w:t>or</w:t>
      </w:r>
      <w:r w:rsidRPr="00CE4E1F">
        <w:rPr>
          <w:bCs/>
          <w:i/>
        </w:rPr>
        <w:t xml:space="preserve"> POLR2A</w:t>
      </w:r>
      <w:r w:rsidRPr="00CE4E1F">
        <w:rPr>
          <w:bCs/>
        </w:rPr>
        <w:t xml:space="preserve">). </w:t>
      </w:r>
      <w:r w:rsidR="004D2410" w:rsidRPr="00CE4E1F">
        <w:rPr>
          <w:bCs/>
        </w:rPr>
        <w:t xml:space="preserve">Targeted DNA sequencing was performed by the City of Hope Integrative Genomics and Bioinformatics Core (Duarte, CA). </w:t>
      </w:r>
      <w:r w:rsidRPr="00CE4E1F">
        <w:rPr>
          <w:bCs/>
        </w:rPr>
        <w:t xml:space="preserve">Targeted DNA sequencing reads </w:t>
      </w:r>
      <w:r w:rsidR="002B14BF" w:rsidRPr="00CE4E1F">
        <w:rPr>
          <w:bCs/>
        </w:rPr>
        <w:t>(</w:t>
      </w:r>
      <w:r w:rsidR="002B14BF" w:rsidRPr="00CE4E1F">
        <w:t xml:space="preserve">median sequencing depth 551.5, IQR 354-856) </w:t>
      </w:r>
      <w:r w:rsidRPr="00CE4E1F">
        <w:rPr>
          <w:bCs/>
        </w:rPr>
        <w:t>were aligned to the GRCh3</w:t>
      </w:r>
      <w:r w:rsidR="00D53007">
        <w:rPr>
          <w:bCs/>
        </w:rPr>
        <w:t>8</w:t>
      </w:r>
      <w:r w:rsidRPr="00CE4E1F">
        <w:rPr>
          <w:bCs/>
        </w:rPr>
        <w:t>/hg19</w:t>
      </w:r>
      <w:r w:rsidR="00D53007">
        <w:rPr>
          <w:bCs/>
        </w:rPr>
        <w:t xml:space="preserve"> reference genome</w:t>
      </w:r>
      <w:r w:rsidRPr="00CE4E1F">
        <w:rPr>
          <w:bCs/>
        </w:rPr>
        <w:t>, somatic short variants were annotated and cross-validated using CLC Genomics Workbench and NextGENE, and processed using previously published criteria</w:t>
      </w:r>
      <w:r w:rsidRPr="00CE4E1F">
        <w:rPr>
          <w:bCs/>
        </w:rPr>
        <w:fldChar w:fldCharType="begin" w:fldLock="1"/>
      </w:r>
      <w:r w:rsidR="000F4EF5">
        <w:rPr>
          <w:bCs/>
        </w:rPr>
        <w:instrText>ADDIN CSL_CITATION {"citationItems":[{"id":"ITEM-1","itemData":{"DOI":"10.1016/j.jmoldx.2016.10.002","ISSN":"19437811","PMID":"27993330","abstract":"Widespread clinical laboratory implementation of next-generation sequencing–based cancer testing has highlighted the importance and potential benefits of standardizing the interpretation and reporting of molecular results among laboratories. A multidisciplinary working group tasked to assess the current status of next-generation sequencing–based cancer testing and establish standardized consensus classification, annotation, interpretation, and reporting conventions for somatic sequence variants was convened by the Association for Molecular Pathology with liaison representation from the American College of Medical Genetics and Genomics, American Society of Clinical Oncology, and College of American Pathologists. On the basis of the results of professional surveys, literature review, and the Working Group's subject matter expert consensus, a four-tiered system to categorize somatic sequence variations based on their clinical significances is proposed: tier I, variants with strong clinical significance; tier II, variants with potential clinical significance; tier III, variants of unknown clinical significance; and tier IV, variants deemed benign or likely benign. Cancer genomics is a rapidly evolving field; therefore, the clinical significance of any variant in therapy, diagnosis, or prognosis should be reevaluated on an ongoing basis. Reporting of genomic variants should follow standard nomenclature, with testing method and limitations clearly described. Clinical recommendations should be concise and correlate with histological and clinical findings.","author":[{"dropping-particle":"","family":"Li","given":"Marilyn M.","non-dropping-particle":"","parse-names":false,"suffix":""},{"dropping-particle":"","family":"Datto","given":"Michael","non-dropping-particle":"","parse-names":false,"suffix":""},{"dropping-particle":"","family":"Duncavage","given":"Eric J.","non-dropping-particle":"","parse-names":false,"suffix":""},{"dropping-particle":"","family":"Kulkarni","given":"Shashikant","non-dropping-particle":"","parse-names":false,"suffix":""},{"dropping-particle":"","family":"Lindeman","given":"Neal I.","non-dropping-particle":"","parse-names":false,"suffix":""},{"dropping-particle":"","family":"Roy","given":"Somak","non-dropping-particle":"","parse-names":false,"suffix":""},{"dropping-particle":"","family":"Tsimberidou","given":"Apostolia M.","non-dropping-particle":"","parse-names":false,"suffix":""},{"dropping-particle":"","family":"Vnencak-Jones","given":"Cindy L.","non-dropping-particle":"","parse-names":false,"suffix":""},{"dropping-particle":"","family":"Wolff","given":"Daynna J.","non-dropping-particle":"","parse-names":false,"suffix":""},{"dropping-particle":"","family":"Younes","given":"Anas","non-dropping-particle":"","parse-names":false,"suffix":""},{"dropping-particle":"","family":"Nikiforova","given":"Marina N.","non-dropping-particle":"","parse-names":false,"suffix":""}],"container-title":"Journal of Molecular Diagnostics","id":"ITEM-1","issue":"1","issued":{"date-parts":[["2017"]]},"page":"4-23","title":"Standards and Guidelines for the Interpretation and Reporting of Sequence Variants in Cancer: A Joint Consensus Recommendation of the Association for Molecular Pathology, American Society of Clinical Oncology, and College of American Pathologists","type":"article","volume":"19"},"uris":["http://www.mendeley.com/documents/?uuid=eb49b003-cd78-4b91-8597-97a941e21b4a"]}],"mendeley":{"formattedCitation":"&lt;sup&gt;23&lt;/sup&gt;","plainTextFormattedCitation":"23","previouslyFormattedCitation":"&lt;sup&gt;23&lt;/sup&gt;"},"properties":{"noteIndex":0},"schema":"https://github.com/citation-style-language/schema/raw/master/csl-citation.json"}</w:instrText>
      </w:r>
      <w:r w:rsidRPr="00CE4E1F">
        <w:rPr>
          <w:bCs/>
        </w:rPr>
        <w:fldChar w:fldCharType="separate"/>
      </w:r>
      <w:r w:rsidR="000F4EF5" w:rsidRPr="000F4EF5">
        <w:rPr>
          <w:bCs/>
          <w:noProof/>
          <w:vertAlign w:val="superscript"/>
        </w:rPr>
        <w:t>23</w:t>
      </w:r>
      <w:r w:rsidRPr="00CE4E1F">
        <w:rPr>
          <w:bCs/>
        </w:rPr>
        <w:fldChar w:fldCharType="end"/>
      </w:r>
      <w:r w:rsidRPr="00CE4E1F">
        <w:rPr>
          <w:bCs/>
        </w:rPr>
        <w:t xml:space="preserve">.  Synonymous variants, variants located &gt;2 base pairs outside protein-coding regions, polymorphisms present in &gt;1% of population databases such as ExAC and gnomAD, and variants with &lt;30X coverage were filtered. The remaining variants were evaluated for clinical significance using tumor-specific databases such as COSMIC and cBioportal, sequence conservation, and </w:t>
      </w:r>
      <w:r w:rsidRPr="00CE4E1F">
        <w:rPr>
          <w:bCs/>
          <w:i/>
        </w:rPr>
        <w:t>in silico</w:t>
      </w:r>
      <w:r w:rsidRPr="00CE4E1F">
        <w:rPr>
          <w:bCs/>
        </w:rPr>
        <w:t xml:space="preserve"> prediction algorithms, such as SIFT, Polyphen-2, and FATHMM. </w:t>
      </w:r>
      <w:r w:rsidRPr="00CE4E1F">
        <w:t>Pathogenic short somatic variants with variant allele frequency (VAF) of at least 5% were considered to be possibly clinically significant and reported.</w:t>
      </w:r>
    </w:p>
    <w:p w14:paraId="29BDA73D" w14:textId="77777777" w:rsidR="00BF2A95" w:rsidRPr="00CE4E1F" w:rsidRDefault="00BF2A95" w:rsidP="00742F09">
      <w:pPr>
        <w:spacing w:line="360" w:lineRule="auto"/>
        <w:contextualSpacing/>
        <w:jc w:val="both"/>
        <w:rPr>
          <w:bCs/>
          <w:iCs/>
        </w:rPr>
      </w:pPr>
    </w:p>
    <w:p w14:paraId="55EB0C64" w14:textId="39065565" w:rsidR="00BE7535" w:rsidRPr="00CE4E1F" w:rsidRDefault="00BE7535" w:rsidP="00742F09">
      <w:pPr>
        <w:spacing w:line="360" w:lineRule="auto"/>
        <w:contextualSpacing/>
        <w:jc w:val="both"/>
        <w:rPr>
          <w:bCs/>
          <w:i/>
          <w:iCs/>
        </w:rPr>
      </w:pPr>
      <w:r w:rsidRPr="00CE4E1F">
        <w:rPr>
          <w:bCs/>
          <w:i/>
          <w:iCs/>
        </w:rPr>
        <w:t xml:space="preserve">Reproduction of </w:t>
      </w:r>
      <w:r w:rsidR="004E3600" w:rsidRPr="00CE4E1F">
        <w:rPr>
          <w:bCs/>
          <w:i/>
          <w:iCs/>
        </w:rPr>
        <w:t>molecular classification systems in validation cohort meningiomas</w:t>
      </w:r>
    </w:p>
    <w:p w14:paraId="4306C6C1" w14:textId="5639BB42" w:rsidR="00276D67" w:rsidRPr="00CE4E1F" w:rsidRDefault="00D53007" w:rsidP="00742F09">
      <w:pPr>
        <w:spacing w:line="360" w:lineRule="auto"/>
        <w:ind w:firstLine="720"/>
        <w:contextualSpacing/>
        <w:jc w:val="both"/>
        <w:rPr>
          <w:bCs/>
          <w:iCs/>
        </w:rPr>
      </w:pPr>
      <w:r w:rsidRPr="00CE4E1F">
        <w:rPr>
          <w:iCs/>
        </w:rPr>
        <w:t>Assignment of meningiomas to DNA methylation groups or DNA methylation subgroups was performed using previously trained support vector models</w:t>
      </w:r>
      <w:r>
        <w:rPr>
          <w:iCs/>
        </w:rPr>
        <w:t xml:space="preserve"> by the lead author who developed these classification systems (AC)</w:t>
      </w:r>
      <w:r w:rsidRPr="00CE4E1F">
        <w:rPr>
          <w:iCs/>
        </w:rPr>
        <w:fldChar w:fldCharType="begin" w:fldLock="1"/>
      </w:r>
      <w:r w:rsidR="000F4EF5">
        <w:rPr>
          <w:iCs/>
        </w:rPr>
        <w:instrText>ADDIN CSL_CITATION {"citationItems":[{"id":"ITEM-1","itemData":{"DOI":"10.1093/neuonc/noac224","ISSN":"1523-5866","PMID":"36227281","abstract":"BACKGROUND Meningiomas, the most common primary intracranial tumors, can be separated into 3 DNA methylation groups with distinct biological drivers, clinical outcomes, and therapeutic vulnerabilities. Alternative meningioma grouping schemes using copy number variants, gene expression profiles, somatic short variants, or integrated molecular models have been proposed. These data suggest meningioma DNA methylation groups may harbor subgroups unifying contrasting theories of meningioma biology. METHODS 565 meningioma DNA methylation profiles from patients with comprehensive clinical follow-up at independent discovery (n=200) or validation (n=365) institutions were re-analyzed and classified into Merlin-intact, Immune-enriched, or Hypermitotic DNA methylation groups. RNA sequencing from the discovery (n=200) or validation (n=302) cohort were analyzed in the context of DNA methylation groups to identify subgroups. Biological features and clinical outcomes were analyzed across meningioma grouping schemes. RESULTS RNA sequencing revealed differential enrichment of FOXM1 target genes across 2 subgroups of Hypermitotic meningiomas. Differential expression and ontology analyses showed the subgroup of Hypermitotic meningiomas without FOXM1 target gene enrichment was distinguished by gene expression programs driving macromolecular metabolism. Analysis of genetic, epigenetic, gene expression, or cellular features revealed Hypermitotic meningioma subgroups were concordant with Proliferative or Hypermetabolic meningiomas, which were previously reported alongside Merlin-intact and Immune-enriched tumors using an integrated molecular model. The addition of DNA methylation subgroups to clinical models refined prediction of postoperative outcomes compared to the addition of DNA methylation groups. CONCLUSIONS Meningiomas can be separated into 3 DNA methylation groups and Hypermitotic meningiomas can be subdivided into Proliferative and Hypermetabolic subgroups, each with distinct biological and clinical features.","author":[{"dropping-particle":"","family":"Choudhury","given":"Abrar","non-dropping-particle":"","parse-names":false,"suffix":""},{"dropping-particle":"","family":"Chen","given":"William C","non-dropping-particle":"","parse-names":false,"suffix":""},{"dropping-particle":"","family":"Lucas","given":"Calixto-Hope G","non-dropping-particle":"","parse-names":false,"suffix":""},{"dropping-particle":"","family":"Bayley","given":"James C","non-dropping-particle":"","parse-names":false,"suffix":""},{"dropping-particle":"","family":"Harmanci","given":"Akdes S","non-dropping-particle":"","parse-names":false,"suffix":""},{"dropping-particle":"","family":"Maas","given":"Sybren L N","non-dropping-particle":"","parse-names":false,"suffix":""},{"dropping-particle":"","family":"Santagata","given":"Sandro","non-dropping-particle":"","parse-names":false,"suffix":""},{"dropping-particle":"","family":"Klisch","given":"Tiemo","non-dropping-particle":"","parse-names":false,"suffix":""},{"dropping-particle":"","family":"Perry","given":"Arie","non-dropping-particle":"","parse-names":false,"suffix":""},{"dropping-particle":"","family":"Bi","given":"Wenya Linda","non-dropping-particle":"","parse-names":false,"suffix":""},{"dropping-particle":"","family":"Sahm","given":"Felix","non-dropping-particle":"","parse-names":false,"suffix":""},{"dropping-particle":"","family":"Patel","given":"Akash","non-dropping-particle":"","parse-names":false,"suffix":""},{"dropping-particle":"","family":"Magill","given":"Stephen T","non-dropping-particle":"","parse-names":false,"suffix":""},{"dropping-particle":"","family":"Raleigh","given":"David R","non-dropping-particle":"","parse-names":false,"suffix":""}],"container-title":"Neuro-oncology","id":"ITEM-1","issued":{"date-parts":[["2022","10","13"]]},"title":"Hypermitotic meningiomas harbor DNA methylation subgroups with distinct biological and clinical features.","type":"article-journal"},"uris":["http://www.mendeley.com/documents/?uuid=12c70f09-e513-4b13-a979-50364f43e66d"]},{"id":"ITEM-2","itemData":{"DOI":"10.1038/s41588-022-01061-8","ISSN":"15461718","PMID":"35534562","abstract":"Meningiomas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Genetics","id":"ITEM-2","issue":"5","issued":{"date-parts":[["2022","5","9"]]},"page":"649-659","title":"Meningioma DNA methylation groups identify biological drivers and therapeutic vulnerabilities","type":"article-journal","volume":"54"},"uris":["http://www.mendeley.com/documents/?uuid=703cdae5-1236-49c4-bdb8-590c06b07bcf"]}],"mendeley":{"formattedCitation":"&lt;sup&gt;1,7&lt;/sup&gt;","plainTextFormattedCitation":"1,7","previouslyFormattedCitation":"&lt;sup&gt;1,7&lt;/sup&gt;"},"properties":{"noteIndex":0},"schema":"https://github.com/citation-style-language/schema/raw/master/csl-citation.json"}</w:instrText>
      </w:r>
      <w:r w:rsidRPr="00CE4E1F">
        <w:rPr>
          <w:iCs/>
        </w:rPr>
        <w:fldChar w:fldCharType="separate"/>
      </w:r>
      <w:r w:rsidR="000F4EF5" w:rsidRPr="000F4EF5">
        <w:rPr>
          <w:iCs/>
          <w:noProof/>
          <w:vertAlign w:val="superscript"/>
        </w:rPr>
        <w:t>1,7</w:t>
      </w:r>
      <w:r w:rsidRPr="00CE4E1F">
        <w:rPr>
          <w:iCs/>
        </w:rPr>
        <w:fldChar w:fldCharType="end"/>
      </w:r>
      <w:r w:rsidRPr="00CE4E1F">
        <w:rPr>
          <w:bCs/>
        </w:rPr>
        <w:t>.</w:t>
      </w:r>
      <w:r w:rsidRPr="00CE4E1F">
        <w:rPr>
          <w:iCs/>
        </w:rPr>
        <w:t xml:space="preserve"> DNA methylation families</w:t>
      </w:r>
      <w:r w:rsidRPr="00CE4E1F">
        <w:rPr>
          <w:iCs/>
        </w:rPr>
        <w:fldChar w:fldCharType="begin" w:fldLock="1"/>
      </w:r>
      <w:r w:rsidR="000F4EF5">
        <w:rPr>
          <w:iCs/>
        </w:rPr>
        <w:instrText>ADDIN CSL_CITATION {"citationItems":[{"id":"ITEM-1","itemData":{"DOI":"10.1016/S1470-2045(17)30155-9","ISBN":"1470-2045","ISSN":"14745488","PMID":"28314689","abstract":"Background The WHO classification of brain tumours describes 15 subtypes of meningioma. Nine of these subtypes are allotted to WHO grade I, and three each to grade II and grade III. Grading is based solely on histology, with an absence of molecular markers. Although the existing classification and grading approach is of prognostic value, it harbours shortcomings such as ill-defined parameters for subtypes and grading criteria prone to arbitrary judgment. In this study, we aimed for a comprehensive characterisation of the entire molecular genetic landscape of meningioma to identify biologically and clinically relevant subgroups. Methods In this multicentre, retrospective analysis, we investigated genome-wide DNA methylation patterns of meningiomas from ten European academic neuro-oncology centres to identify distinct methylation classes of meningiomas. The methylation classes were further characterised by DNA copy number analysis, mutational profiling, and RNA sequencing. Methylation classes were analysed for progression-free survival outcomes by the Kaplan-Meier method. The DNA methylation-based and WHO classification schema were compared using the Brier prediction score, analysed in an independent cohort with WHO grading, progression-free survival, and disease-specific survival data available, collected at the Medical University Vienna (Vienna, Austria), assessing methylation patterns with an alternative methylation chip. Findings We retrospectively collected 497 meningiomas along with 309 samples of other extra-axial skull tumours that might histologically mimic meningioma variants. Unsupervised clustering of DNA methylation data clearly segregated all meningiomas from other skull tumours. We generated genome-wide DNA methylation profiles from all 497 meningioma samples. DNA methylation profiling distinguished six distinct clinically relevant methylation classes associated with typical mutational, cytogenetic, and gene expression patterns. Compared with WHO grading, classification by individual and combined methylation classes more accurately identifies patients at high risk of disease progression in tumours with WHO grade I histology, and patients at lower risk of recurrence among WHO grade II tumours (p=0·0096) from the Brier prediction test). We validated this finding in our independent cohort of 140 patients with meningioma. Interpretation DNA methylation-based meningioma classification captures clinically more homogenous groups and has a higher p…","author":[{"dropping-particle":"","family":"Sahm","given":"Felix","non-dropping-particle":"","parse-names":false,"suffix":""},{"dropping-particle":"","family":"Schrimpf","given":"Daniel","non-dropping-particle":"","parse-names":false,"suffix":""},{"dropping-particle":"","family":"Stichel","given":"Damian","non-dropping-particle":"","parse-names":false,"suffix":""},{"dropping-particle":"","family":"Jones","given":"David T.W.","non-dropping-particle":"","parse-names":false,"suffix":""},{"dropping-particle":"","family":"Hielscher","given":"Thomas","non-dropping-particle":"","parse-names":false,"suffix":""},{"dropping-particle":"","family":"Schefzyk","given":"Sebastian","non-dropping-particle":"","parse-names":false,"suffix":""},{"dropping-particle":"","family":"Okonechnikov","given":"Konstantin","non-dropping-particle":"","parse-names":false,"suffix":""},{"dropping-particle":"","family":"Koelsche","given":"Christian","non-dropping-particle":"","parse-names":false,"suffix":""},{"dropping-particle":"","family":"Reuss","given":"David E.","non-dropping-particle":"","parse-names":false,"suffix":""},{"dropping-particle":"","family":"Capper","given":"David","non-dropping-particle":"","parse-names":false,"suffix":""},{"dropping-particle":"","family":"Sturm","given":"Dominik","non-dropping-particle":"","parse-names":false,"suffix":""},{"dropping-particle":"","family":"Wirsching","given":"Hans Georg","non-dropping-particle":"","parse-names":false,"suffix":""},{"dropping-particle":"","family":"Berghoff","given":"Anna Sophie","non-dropping-particle":"","parse-names":false,"suffix":""},{"dropping-particle":"","family":"Baumgarten","given":"Peter","non-dropping-particle":"","parse-names":false,"suffix":""},{"dropping-particle":"","family":"Kratz","given":"Annekathrin","non-dropping-particle":"","parse-names":false,"suffix":""},{"dropping-particle":"","family":"Huang","given":"Kristin","non-dropping-particle":"","parse-names":false,"suffix":""},{"dropping-particle":"","family":"Wefers","given":"Annika K.","non-dropping-particle":"","parse-names":false,"suffix":""},{"dropping-particle":"","family":"Hovestadt","given":"Volker","non-dropping-particle":"","parse-names":false,"suffix":""},{"dropping-particle":"","family":"Sill","given":"Martin","non-dropping-particle":"","parse-names":false,"suffix":""},{"dropping-particle":"","family":"Ellis","given":"Hayley P.","non-dropping-particle":"","parse-names":false,"suffix":""},{"dropping-particle":"","family":"Kurian","given":"Kathreena M.","non-dropping-particle":"","parse-names":false,"suffix":""},{"dropping-particle":"","family":"Okuducu","given":"Ali Fuat","non-dropping-particle":"","parse-names":false,"suffix":""},{"dropping-particle":"","family":"Jungk","given":"Christine","non-dropping-particle":"","parse-names":false,"suffix":""},{"dropping-particle":"","family":"Drueschler","given":"Katharina","non-dropping-particle":"","parse-names":false,"suffix":""},{"dropping-particle":"","family":"Schick","given":"Matthias","non-dropping-particle":"","parse-names":false,"suffix":""},{"dropping-particle":"","family":"Bewerunge-Hudler","given":"Melanie","non-dropping-particle":"","parse-names":false,"suffix":""},{"dropping-particle":"","family":"Mawrin","given":"Christian","non-dropping-particle":"","parse-names":false,"suffix":""},{"dropping-particle":"","family":"Seiz-Rosenhagen","given":"Marcel","non-dropping-particle":"","parse-names":false,"suffix":""},{"dropping-particle":"","family":"Ketter","given":"Ralf","non-dropping-particle":"","parse-names":false,"suffix":""},{"dropping-particle":"","family":"Simon","given":"Matthias","non-dropping-particle":"","parse-names":false,"suffix":""},{"dropping-particle":"","family":"Westphal","given":"Manfred","non-dropping-particle":"","parse-names":false,"suffix":""},{"dropping-particle":"","family":"Lamszus","given":"Katrin","non-dropping-particle":"","parse-names":false,"suffix":""},{"dropping-particle":"","family":"Becker","given":"Albert","non-dropping-particle":"","parse-names":false,"suffix":""},{"dropping-particle":"","family":"Koch","given":"Arend","non-dropping-particle":"","parse-names":false,"suffix":""},{"dropping-particle":"","family":"Schittenhelm","given":"Jens","non-dropping-particle":"","parse-names":false,"suffix":""},{"dropping-particle":"","family":"Rushing","given":"Elisabeth J.","non-dropping-particle":"","parse-names":false,"suffix":""},{"dropping-particle":"","family":"Collins","given":"V. Peter","non-dropping-particle":"","parse-names":false,"suffix":""},{"dropping-particle":"","family":"Brehmer","given":"Stefanie","non-dropping-particle":"","parse-names":false,"suffix":""},{"dropping-particle":"","family":"Chavez","given":"Lukas","non-dropping-particle":"","parse-names":false,"suffix":""},{"dropping-particle":"","family":"Platten","given":"Michael","non-dropping-particle":"","parse-names":false,"suffix":""},{"dropping-particle":"","family":"Hänggi","given":"Daniel","non-dropping-particle":"","parse-names":false,"suffix":""},{"dropping-particle":"","family":"Unterberg","given":"Andreas","non-dropping-particle":"","parse-names":false,"suffix":""},{"dropping-particle":"","family":"Paulus","given":"Werner","non-dropping-particle":"","parse-names":false,"suffix":""},{"dropping-particle":"","family":"Wick","given":"Wolfgang","non-dropping-particle":"","parse-names":false,"suffix":""},{"dropping-particle":"","family":"Pfister","given":"Stefan M.","non-dropping-particle":"","parse-names":false,"suffix":""},{"dropping-particle":"","family":"Mittelbronn","given":"Michel","non-dropping-particle":"","parse-names":false,"suffix":""},{"dropping-particle":"","family":"Preusser","given":"Matthias","non-dropping-particle":"","parse-names":false,"suffix":""},{"dropping-particle":"","family":"Herold-Mende","given":"Christel","non-dropping-particle":"","parse-names":false,"suffix":""},{"dropping-particle":"","family":"Weller","given":"Michael","non-dropping-particle":"","parse-names":false,"suffix":""},{"dropping-particle":"","family":"Deimling","given":"Andreas","non-dropping-particle":"von","parse-names":false,"suffix":""}],"container-title":"The Lancet Oncology","id":"ITEM-1","issue":"5","issued":{"date-parts":[["2017"]]},"page":"682-694","title":"DNA methylation-based classification and grading system for meningioma: a multicentre, retrospective analysis","type":"article-journal","volume":"18"},"uris":["http://www.mendeley.com/documents/?uuid=b1eebdea-c9de-4a56-96fb-5329a3405c3d"]}],"mendeley":{"formattedCitation":"&lt;sup&gt;16&lt;/sup&gt;","plainTextFormattedCitation":"16","previouslyFormattedCitation":"&lt;sup&gt;16&lt;/sup&gt;"},"properties":{"noteIndex":0},"schema":"https://github.com/citation-style-language/schema/raw/master/csl-citation.json"}</w:instrText>
      </w:r>
      <w:r w:rsidRPr="00CE4E1F">
        <w:rPr>
          <w:iCs/>
        </w:rPr>
        <w:fldChar w:fldCharType="separate"/>
      </w:r>
      <w:r w:rsidR="000F4EF5" w:rsidRPr="000F4EF5">
        <w:rPr>
          <w:iCs/>
          <w:noProof/>
          <w:vertAlign w:val="superscript"/>
        </w:rPr>
        <w:t>16</w:t>
      </w:r>
      <w:r w:rsidRPr="00CE4E1F">
        <w:rPr>
          <w:iCs/>
        </w:rPr>
        <w:fldChar w:fldCharType="end"/>
      </w:r>
      <w:r w:rsidRPr="00CE4E1F">
        <w:rPr>
          <w:iCs/>
        </w:rPr>
        <w:t xml:space="preserve"> and integrated score</w:t>
      </w:r>
      <w:r w:rsidRPr="00CE4E1F">
        <w:rPr>
          <w:iCs/>
        </w:rPr>
        <w:fldChar w:fldCharType="begin" w:fldLock="1"/>
      </w:r>
      <w:r w:rsidR="000F4EF5">
        <w:rPr>
          <w:iCs/>
        </w:rPr>
        <w:instrText>ADDIN CSL_CITATION {"citationItems":[{"id":"ITEM-1","itemData":{"DOI":"10.1200/JCO.21.00784","ISSN":"15277755","PMID":"34618539","abstract":"PURPOSE Meningiomas are the most frequent primary intracranial tumors. Patient outcome varies widely from benign to highly aggressive, ultimately fatal courses. Reliable identification of risk of progression for individual patients is of pivotal importance. However, only biomarkers for highly aggressive tumors are established (CDKN2A/B and TERT), whereas no molecularly based stratification exists for the broad spectrum of patients with low- and intermediate-risk meningioma. METHODS DNA methylation data and copy-number information were generated for 3,031 meningiomas (2,868 patients), and mutation data for 858 samples. DNA methylation subgroups, copy-number variations (CNVs), mutations, and WHO grading were analyzed. Prediction power for outcome was assessed in a retrospective cohort of 514 patients, validated on a retrospective cohort of 184, and on a prospective cohort of 287 multicenter cases. RESULTS Both CNV- and methylation family–based subgrouping independently resulted in increased prediction accuracy of risk of recurrence compared with the WHO classification (c-indexes WHO 2016, CNV, and methylation family 0.699, 0.706, and 0.721, respectively). Merging all risk stratification approaches into an integrated molecular-morphologic score resulted in further substantial increase in accuracy (c-index 0.744). This integrated score consistently provided superior accuracy in all three cohorts, significantly outperforming WHO grading (c-index difference P 5 .005). Besides the overall stratification advantage, the integrated score separates more precisely for risk of progression at the diagnostically challenging interface of WHO grade 1 and grade 2 tumors (hazard ratio 4.34 [2.48-7.57] and 3.34 [1.28-8.72] retrospective and prospective validation cohorts, respectively). CONCLUSION Merging these layers of histologic and molecular data into an integrated, three-tiered score significantly improves the precision in meningioma stratification. Implementation into diagnostic routine informs clinical decision making for patients with meningioma on the basis of robust outcome prediction.","author":[{"dropping-particle":"","family":"Maas","given":"Sybren L.N.","non-dropping-particle":"","parse-names":false,"suffix":""},{"dropping-particle":"","family":"Stichel","given":"Damian","non-dropping-particle":"","parse-names":false,"suffix":""},{"dropping-particle":"","family":"Hielscher","given":"Thomas","non-dropping-particle":"","parse-names":false,"suffix":""},{"dropping-particle":"","family":"Sievers","given":"Philipp","non-dropping-particle":"","parse-names":false,"suffix":""},{"dropping-particle":"","family":"Berghoff","given":"Anna S.","non-dropping-particle":"","parse-names":false,"suffix":""},{"dropping-particle":"","family":"Schrimpf","given":"Daniel","non-dropping-particle":"","parse-names":false,"suffix":""},{"dropping-particle":"","family":"Sill","given":"Martin","non-dropping-particle":"","parse-names":false,"suffix":""},{"dropping-particle":"","family":"Euskirchen","given":"Philipp","non-dropping-particle":"","parse-names":false,"suffix":""},{"dropping-particle":"","family":"Blume","given":"Christina","non-dropping-particle":"","parse-names":false,"suffix":""},{"dropping-particle":"","family":"Patel","given":"Areeba","non-dropping-particle":"","parse-names":false,"suffix":""},{"dropping-particle":"","family":"Dogan","given":"Helin","non-dropping-particle":"","parse-names":false,"suffix":""},{"dropping-particle":"","family":"Reuss","given":"David","non-dropping-particle":"","parse-names":false,"suffix":""},{"dropping-particle":"","family":"Dohmen","given":"Hildegard","non-dropping-particle":"","parse-names":false,"suffix":""},{"dropping-particle":"","family":"Stein","given":"Marco","non-dropping-particle":"","parse-names":false,"suffix":""},{"dropping-particle":"","family":"Reinhardt","given":"Annekathrin","non-dropping-particle":"","parse-names":false,"suffix":""},{"dropping-particle":"","family":"Suwala","given":"Abigail K.","non-dropping-particle":"","parse-names":false,"suffix":""},{"dropping-particle":"","family":"Wefers","given":"Annika K.","non-dropping-particle":"","parse-names":false,"suffix":""},{"dropping-particle":"","family":"Baumgarten","given":"Peter","non-dropping-particle":"","parse-names":false,"suffix":""},{"dropping-particle":"","family":"Ricklefs","given":"Franz","non-dropping-particle":"","parse-names":false,"suffix":""},{"dropping-particle":"","family":"Rushing","given":"Elisabeth J.","non-dropping-particle":"","parse-names":false,"suffix":""},{"dropping-particle":"","family":"Bewerunge-Hudler","given":"Melanie","non-dropping-particle":"","parse-names":false,"suffix":""},{"dropping-particle":"","family":"Ketter","given":"Ralf","non-dropping-particle":"","parse-names":false,"suffix":""},{"dropping-particle":"","family":"Schittenhelm","given":"Jens","non-dropping-particle":"","parse-names":false,"suffix":""},{"dropping-particle":"","family":"Jaunmuktane","given":"Zane","non-dropping-particle":"","parse-names":false,"suffix":""},{"dropping-particle":"","family":"Leu","given":"Severina","non-dropping-particle":"","parse-names":false,"suffix":""},{"dropping-particle":"","family":"Greenway","given":"Fay E.A.","non-dropping-particle":"","parse-names":false,"suffix":""},{"dropping-particle":"","family":"Bridges","given":"Leslie R.","non-dropping-particle":"","parse-names":false,"suffix":""},{"dropping-particle":"","family":"Jones","given":"Timothy","non-dropping-particle":"","parse-names":false,"suffix":""},{"dropping-particle":"","family":"Grady","given":"Conor","non-dropping-particle":"","parse-names":false,"suffix":""},{"dropping-particle":"","family":"Serrano","given":"Jonathan","non-dropping-particle":"","parse-names":false,"suffix":""},{"dropping-particle":"","family":"Golfinos","given":"John","non-dropping-particle":"","parse-names":false,"suffix":""},{"dropping-particle":"","family":"Sen","given":"Chandra","non-dropping-particle":"","parse-names":false,"suffix":""},{"dropping-particle":"","family":"Mawrin","given":"Christian","non-dropping-particle":"","parse-names":false,"suffix":""},{"dropping-particle":"","family":"Jungk","given":"Christine","non-dropping-particle":"","parse-names":false,"suffix":""},{"dropping-particle":"","family":"Hänggi","given":"Daniel","non-dropping-particle":"","parse-names":false,"suffix":""},{"dropping-particle":"","family":"Westphal","given":"Manfred","non-dropping-particle":"","parse-names":false,"suffix":""},{"dropping-particle":"","family":"Lamszus","given":"Katrin","non-dropping-particle":"","parse-names":false,"suffix":""},{"dropping-particle":"","family":"Etminan","given":"Nima","non-dropping-particle":"","parse-names":false,"suffix":""},{"dropping-particle":"","family":"Jungwirth","given":"Gerhard","non-dropping-particle":"","parse-names":false,"suffix":""},{"dropping-particle":"","family":"Herold-Mende","given":"Christel","non-dropping-particle":"","parse-names":false,"suffix":""},{"dropping-particle":"","family":"Unterberg","given":"Andreas","non-dropping-particle":"","parse-names":false,"suffix":""},{"dropping-particle":"","family":"Harter","given":"Patrick N.","non-dropping-particle":"","parse-names":false,"suffix":""},{"dropping-particle":"","family":"Wirsching","given":"Hans Georg","non-dropping-particle":"","parse-names":false,"suffix":""},{"dropping-particle":"","family":"Neidert","given":"Marian C.","non-dropping-particle":"","parse-names":false,"suffix":""},{"dropping-particle":"","family":"Ratliff","given":"Miriam","non-dropping-particle":"","parse-names":false,"suffix":""},{"dropping-particle":"","family":"Platten","given":"Michael","non-dropping-particle":"","parse-names":false,"suffix":""},{"dropping-particle":"","family":"Snuderl","given":"Matija","non-dropping-particle":"","parse-names":false,"suffix":""},{"dropping-particle":"","family":"Aldape","given":"Kenneth D.","non-dropping-particle":"","parse-names":false,"suffix":""},{"dropping-particle":"","family":"Brandner","given":"Sebastian","non-dropping-particle":"","parse-names":false,"suffix":""},{"dropping-particle":"","family":"Hench","given":"Jürgen","non-dropping-particle":"","parse-names":false,"suffix":""},{"dropping-particle":"","family":"Frank","given":"Stephan","non-dropping-particle":"","parse-names":false,"suffix":""},{"dropping-particle":"","family":"Pfister","given":"Stefan M.","non-dropping-particle":"","parse-names":false,"suffix":""},{"dropping-particle":"","family":"Jones","given":"David T.W.","non-dropping-particle":"","parse-names":false,"suffix":""},{"dropping-particle":"","family":"Reifenberger","given":"Guido","non-dropping-particle":"","parse-names":false,"suffix":""},{"dropping-particle":"","family":"Acker","given":"Till","non-dropping-particle":"","parse-names":false,"suffix":""},{"dropping-particle":"","family":"Wick","given":"Wolfgang","non-dropping-particle":"","parse-names":false,"suffix":""},{"dropping-particle":"","family":"Weller","given":"Michael","non-dropping-particle":"","parse-names":false,"suffix":""},{"dropping-particle":"","family":"Preusser","given":"Matthias","non-dropping-particle":"","parse-names":false,"suffix":""},{"dropping-particle":"","family":"Deimling","given":"Andreas","non-dropping-particle":"von","parse-names":false,"suffix":""},{"dropping-particle":"","family":"Sahm","given":"Felix","non-dropping-particle":"","parse-names":false,"suffix":""}],"container-title":"Journal of Clinical Oncology","id":"ITEM-1","issue":"34","issued":{"date-parts":[["2021"]]},"page":"3839-3852","title":"Integrated Molecular-Morphologic Meningioma Classification: A Multicenter Retrospective Analysis, Retrospectively and Prospectively Validated","type":"article-journal","volume":"39"},"uris":["http://www.mendeley.com/documents/?uuid=e2dece48-a886-43e5-8b02-ba8c8c168310"]}],"mendeley":{"formattedCitation":"&lt;sup&gt;17&lt;/sup&gt;","plainTextFormattedCitation":"17","previouslyFormattedCitation":"&lt;sup&gt;17&lt;/sup&gt;"},"properties":{"noteIndex":0},"schema":"https://github.com/citation-style-language/schema/raw/master/csl-citation.json"}</w:instrText>
      </w:r>
      <w:r w:rsidRPr="00CE4E1F">
        <w:rPr>
          <w:iCs/>
        </w:rPr>
        <w:fldChar w:fldCharType="separate"/>
      </w:r>
      <w:r w:rsidR="000F4EF5" w:rsidRPr="000F4EF5">
        <w:rPr>
          <w:iCs/>
          <w:noProof/>
          <w:vertAlign w:val="superscript"/>
        </w:rPr>
        <w:t>17</w:t>
      </w:r>
      <w:r w:rsidRPr="00CE4E1F">
        <w:rPr>
          <w:iCs/>
        </w:rPr>
        <w:fldChar w:fldCharType="end"/>
      </w:r>
      <w:r w:rsidRPr="00CE4E1F">
        <w:rPr>
          <w:iCs/>
        </w:rPr>
        <w:t xml:space="preserve"> were assigned independently by authors who developed these classification systems (SLNM, FS)</w:t>
      </w:r>
      <w:r w:rsidR="00AE44BC">
        <w:rPr>
          <w:bCs/>
        </w:rPr>
        <w:t>.</w:t>
      </w:r>
      <w:r>
        <w:rPr>
          <w:bCs/>
        </w:rPr>
        <w:t xml:space="preserve"> </w:t>
      </w:r>
      <w:r w:rsidRPr="00CE4E1F">
        <w:rPr>
          <w:bCs/>
        </w:rPr>
        <w:t>Gene expression types</w:t>
      </w:r>
      <w:r w:rsidR="00AE44BC">
        <w:rPr>
          <w:bCs/>
        </w:rPr>
        <w:t xml:space="preserve"> </w:t>
      </w:r>
      <w:r w:rsidR="00AE44BC" w:rsidRPr="00CE4E1F">
        <w:rPr>
          <w:bCs/>
        </w:rPr>
        <w:t>were assigned independently by authors who developed this classification system (JCB, ASH, TK, AJP)</w:t>
      </w:r>
      <w:r w:rsidRPr="00CE4E1F">
        <w:rPr>
          <w:bCs/>
        </w:rPr>
        <w:fldChar w:fldCharType="begin" w:fldLock="1"/>
      </w:r>
      <w:r w:rsidR="000F4EF5">
        <w:rPr>
          <w:bCs/>
        </w:rPr>
        <w:instrText>ADDIN CSL_CITATION {"citationItems":[{"id":"ITEM-1","itemData":{"DOI":"10.1073/pnas.1912858116","ISSN":"10916490","PMID":"31591222","abstract":"Meningiomas account for one-third of all primary brain tumors. Although typically benign, about 20% of meningiomas are aggressive, and despite the rigor of the current histopathological classification system there remains considerable uncertainty in predicting tumor behavior. Here, we analyzed 160 tumors from all 3 World Health Organization (WHO) grades (I through III) using clinical, gene expression, and sequencing data. Unsupervised clustering analysis identified 3 molecular types (A, B, and C) that reliably predicted recurrence. These groups did not directly correlate with the WHO grading system, which classifies more than half of the tumors in the most aggressive molecular type as benign. Transcriptional and biochemical analyses revealed that aggressive meningiomas involve loss of the repressor function of the DREAM complex, which results in cell-cycle activation; only tumors in this category tend to recur after full resection. These findings should improve our ability to predict recurrence and develop targeted treatments for these clinically challenging tumors.","author":[{"dropping-particle":"","family":"Patel","given":"Akash J.","non-dropping-particle":"","parse-names":false,"suffix":""},{"dropping-particle":"","family":"Wan","given":"Ying Wooi","non-dropping-particle":"","parse-names":false,"suffix":""},{"dropping-particle":"","family":"Al-Ouran","given":"Rami","non-dropping-particle":"","parse-names":false,"suffix":""},{"dropping-particle":"","family":"Revelli","given":"Jean Pierre","non-dropping-particle":"","parse-names":false,"suffix":""},{"dropping-particle":"","family":"Cardenas","given":"Maria F.","non-dropping-particle":"","parse-names":false,"suffix":""},{"dropping-particle":"","family":"Oneissi","given":"Mazen","non-dropping-particle":"","parse-names":false,"suffix":""},{"dropping-particle":"","family":"Xi","given":"Liu","non-dropping-particle":"","parse-names":false,"suffix":""},{"dropping-particle":"","family":"Jalali","given":"Ali","non-dropping-particle":"","parse-names":false,"suffix":""},{"dropping-particle":"","family":"Magnotti","given":"John F.","non-dropping-particle":"","parse-names":false,"suffix":""},{"dropping-particle":"","family":"Muzny","given":"Donna M.","non-dropping-particle":"","parse-names":false,"suffix":""},{"dropping-particle":"","family":"Doddapaneni","given":"Harsha Vardhan","non-dropping-particle":"","parse-names":false,"suffix":""},{"dropping-particle":"","family":"Sebastian","given":"Sherly","non-dropping-particle":"","parse-names":false,"suffix":""},{"dropping-particle":"","family":"Heck","given":"Kent A.","non-dropping-particle":"","parse-names":false,"suffix":""},{"dropping-particle":"","family":"Clay Goodman","given":"J.","non-dropping-particle":"","parse-names":false,"suffix":""},{"dropping-particle":"","family":"Gopinath","given":"Shankar P.","non-dropping-particle":"","parse-names":false,"suffix":""},{"dropping-particle":"","family":"Liu","given":"Zhandong","non-dropping-particle":"","parse-names":false,"suffix":""},{"dropping-particle":"","family":"Rao","given":"Ganesh","non-dropping-particle":"","parse-names":false,"suffix":""},{"dropping-particle":"","family":"Plon","given":"Sharon E.","non-dropping-particle":"","parse-names":false,"suffix":""},{"dropping-particle":"","family":"Yoshor","given":"Daniel","non-dropping-particle":"","parse-names":false,"suffix":""},{"dropping-particle":"","family":"Wheeler","given":"David A.","non-dropping-particle":"","parse-names":false,"suffix":""},{"dropping-particle":"","family":"Zoghbi","given":"Huda Y.","non-dropping-particle":"","parse-names":false,"suffix":""},{"dropping-particle":"","family":"Klisch","given":"Tiemo J.","non-dropping-particle":"","parse-names":false,"suffix":""}],"container-title":"Proceedings of the National Academy of Sciences of the United States of America","id":"ITEM-1","issue":"43","issued":{"date-parts":[["2019"]]},"page":"21715-21726","title":"Molecular profiling predicts meningioma recurrence and reveals loss of DREAM complex repression in aggressive tumors","type":"article-journal","volume":"116"},"uris":["http://www.mendeley.com/documents/?uuid=1b4206bc-8c3c-450b-8aa6-392bbc4800d8"]}],"mendeley":{"formattedCitation":"&lt;sup&gt;15&lt;/sup&gt;","plainTextFormattedCitation":"15","previouslyFormattedCitation":"&lt;sup&gt;15&lt;/sup&gt;"},"properties":{"noteIndex":0},"schema":"https://github.com/citation-style-language/schema/raw/master/csl-citation.json"}</w:instrText>
      </w:r>
      <w:r w:rsidRPr="00CE4E1F">
        <w:rPr>
          <w:bCs/>
        </w:rPr>
        <w:fldChar w:fldCharType="separate"/>
      </w:r>
      <w:r w:rsidR="000F4EF5" w:rsidRPr="000F4EF5">
        <w:rPr>
          <w:bCs/>
          <w:noProof/>
          <w:vertAlign w:val="superscript"/>
        </w:rPr>
        <w:t>15</w:t>
      </w:r>
      <w:r w:rsidRPr="00CE4E1F">
        <w:rPr>
          <w:bCs/>
        </w:rPr>
        <w:fldChar w:fldCharType="end"/>
      </w:r>
      <w:r w:rsidR="00AE44BC">
        <w:rPr>
          <w:bCs/>
        </w:rPr>
        <w:t>.</w:t>
      </w:r>
      <w:r>
        <w:rPr>
          <w:bCs/>
        </w:rPr>
        <w:t xml:space="preserve"> </w:t>
      </w:r>
      <w:r w:rsidR="00276D67" w:rsidRPr="00CE4E1F">
        <w:rPr>
          <w:bCs/>
          <w:iCs/>
        </w:rPr>
        <w:t>Integrated grade</w:t>
      </w:r>
      <w:r w:rsidR="00680303" w:rsidRPr="00CE4E1F">
        <w:rPr>
          <w:bCs/>
          <w:iCs/>
        </w:rPr>
        <w:fldChar w:fldCharType="begin" w:fldLock="1"/>
      </w:r>
      <w:r w:rsidR="000F4EF5">
        <w:rPr>
          <w:bCs/>
          <w:iCs/>
        </w:rPr>
        <w:instrText>ADDIN CSL_CITATION {"citationItems":[{"id":"ITEM-1","itemData":{"DOI":"10.1093/neuonc/noab213","ISSN":"15235866","PMID":"34508644","abstract":"Background: Meningiomas are the most common primary intracranial tumor in adults. Clinical care is currently guided by the World Health Organization (WHO) grade assigned to meningiomas, a 3-tiered grading system based on histopathology features, as well as extent of surgical resection. Clinical behavior, however, often fails to conform to the WHO grade. Additional prognostic information is needed to optimize patient management. Methods: We evaluated whether chromosomal copy-number data improved prediction of time-to-recurrence for patients with meningioma who were treated with surgery, relative to the WHO schema. The models were developed using Cox proportional hazards, random survival forest, and gradient boosting in a discovery cohort of 527 meningioma patients and validated in 2 independent cohorts of 172 meningioma patients characterized by orthogonal genomic platforms. Results: We developed a 3-tiered grading scheme (Integrated Grades 1-3), which incorporated mitotic count and loss of chromosome 1p, 3p, 4, 6, 10, 14q, 18, 19, or CDKN2A. 32% of meningiomas reclassified to either a lower-risk or higher-risk Integrated Grade compared to their assigned WHO grade. The Integrated Grade more accurately identified meningioma patients at risk for recurrence, relative to the WHO grade, as determined by time-dependent area under the curve, average precision, and the Brier score. Conclusion: We propose a molecularly integrated grading scheme for meningiomas that significantly improves upon the current WHO grading system in prediction of progression-free survival. This framework can be broadly adopted by clinicians with relative ease using widely available genomic technologies and presents an advance in the care of meningioma patients.","author":[{"dropping-particle":"","family":"Driver","given":"Joseph","non-dropping-particle":"","parse-names":false,"suffix":""},{"dropping-particle":"","family":"Hoffman","given":"Samantha E.","non-dropping-particle":"","parse-names":false,"suffix":""},{"dropping-particle":"","family":"Tavakol","given":"Sherwin","non-dropping-particle":"","parse-names":false,"suffix":""},{"dropping-particle":"","family":"Woodward","given":"Eleanor","non-dropping-particle":"","parse-names":false,"suffix":""},{"dropping-particle":"","family":"Maury","given":"Eduardo A.","non-dropping-particle":"","parse-names":false,"suffix":""},{"dropping-particle":"","family":"Bhave","given":"Varun","non-dropping-particle":"","parse-names":false,"suffix":""},{"dropping-particle":"","family":"Greenwald","given":"Noah F.","non-dropping-particle":"","parse-names":false,"suffix":""},{"dropping-particle":"","family":"Nassiri","given":"Farshad","non-dropping-particle":"","parse-names":false,"suffix":""},{"dropping-particle":"","family":"Aldape","given":"Kenneth","non-dropping-particle":"","parse-names":false,"suffix":""},{"dropping-particle":"","family":"Zadeh","given":"Gelareh","non-dropping-particle":"","parse-names":false,"suffix":""},{"dropping-particle":"","family":"Choudhury","given":"Abrar","non-dropping-particle":"","parse-names":false,"suffix":""},{"dropping-particle":"","family":"Vasudevan","given":"Harish N.","non-dropping-particle":"","parse-names":false,"suffix":""},{"dropping-particle":"","family":"Magill","given":"Stephen T.","non-dropping-particle":"","parse-names":false,"suffix":""},{"dropping-particle":"","family":"Raleigh","given":"David R.","non-dropping-particle":"","parse-names":false,"suffix":""},{"dropping-particle":"","family":"Abedalthagafi","given":"Malak","non-dropping-particle":"","parse-names":false,"suffix":""},{"dropping-particle":"","family":"Aizer","given":"Ayal A.","non-dropping-particle":"","parse-names":false,"suffix":""},{"dropping-particle":"","family":"Alexander","given":"Brian M.","non-dropping-particle":"","parse-names":false,"suffix":""},{"dropping-particle":"","family":"Ligon","given":"Keith L.","non-dropping-particle":"","parse-names":false,"suffix":""},{"dropping-particle":"","family":"Reardon","given":"David A.","non-dropping-particle":"","parse-names":false,"suffix":""},{"dropping-particle":"","family":"Wen","given":"Patrick Y.","non-dropping-particle":"","parse-names":false,"suffix":""},{"dropping-particle":"","family":"Al-Mefty","given":"Ossama","non-dropping-particle":"","parse-names":false,"suffix":""},{"dropping-particle":"","family":"Ligon","given":"Azra H.","non-dropping-particle":"","parse-names":false,"suffix":""},{"dropping-particle":"","family":"Dubuc","given":"Adrian M.","non-dropping-particle":"","parse-names":false,"suffix":""},{"dropping-particle":"","family":"Beroukhim","given":"Rameen","non-dropping-particle":"","parse-names":false,"suffix":""},{"dropping-particle":"","family":"Claus","given":"Elizabeth B.","non-dropping-particle":"","parse-names":false,"suffix":""},{"dropping-particle":"","family":"Dunn","given":"Ian F.","non-dropping-particle":"","parse-names":false,"suffix":""},{"dropping-particle":"","family":"Santagata","given":"Sandro","non-dropping-particle":"","parse-names":false,"suffix":""},{"dropping-particle":"","family":"Linda Bi","given":"Wenya","non-dropping-particle":"","parse-names":false,"suffix":""}],"container-title":"Neuro-Oncology","id":"ITEM-1","issue":"5","issued":{"date-parts":[["2022"]]},"page":"796-808","title":"A molecularly integrated grade for meningioma","type":"article-journal","volume":"24"},"uris":["http://www.mendeley.com/documents/?uuid=f72755aa-a178-497c-a922-146804374b2e"]}],"mendeley":{"formattedCitation":"&lt;sup&gt;18&lt;/sup&gt;","plainTextFormattedCitation":"18","previouslyFormattedCitation":"&lt;sup&gt;18&lt;/sup&gt;"},"properties":{"noteIndex":0},"schema":"https://github.com/citation-style-language/schema/raw/master/csl-citation.json"}</w:instrText>
      </w:r>
      <w:r w:rsidR="00680303" w:rsidRPr="00CE4E1F">
        <w:rPr>
          <w:bCs/>
          <w:iCs/>
        </w:rPr>
        <w:fldChar w:fldCharType="separate"/>
      </w:r>
      <w:r w:rsidR="000F4EF5" w:rsidRPr="000F4EF5">
        <w:rPr>
          <w:bCs/>
          <w:iCs/>
          <w:noProof/>
          <w:vertAlign w:val="superscript"/>
        </w:rPr>
        <w:t>18</w:t>
      </w:r>
      <w:r w:rsidR="00680303" w:rsidRPr="00CE4E1F">
        <w:rPr>
          <w:bCs/>
          <w:iCs/>
        </w:rPr>
        <w:fldChar w:fldCharType="end"/>
      </w:r>
      <w:r>
        <w:rPr>
          <w:bCs/>
          <w:iCs/>
        </w:rPr>
        <w:t xml:space="preserve"> was assigned</w:t>
      </w:r>
      <w:r w:rsidR="00276D67" w:rsidRPr="00CE4E1F">
        <w:rPr>
          <w:bCs/>
          <w:iCs/>
        </w:rPr>
        <w:t xml:space="preserve"> using CNV calls derived from DNA methylation</w:t>
      </w:r>
      <w:r>
        <w:rPr>
          <w:bCs/>
          <w:iCs/>
        </w:rPr>
        <w:t xml:space="preserve"> profiles and</w:t>
      </w:r>
      <w:r w:rsidR="00276D67" w:rsidRPr="00CE4E1F">
        <w:rPr>
          <w:bCs/>
          <w:iCs/>
        </w:rPr>
        <w:t xml:space="preserve"> mitoses per 10 high-power-fields. DNA methylation </w:t>
      </w:r>
      <w:r>
        <w:rPr>
          <w:bCs/>
          <w:iCs/>
        </w:rPr>
        <w:t xml:space="preserve">probe </w:t>
      </w:r>
      <w:r w:rsidR="00276D67" w:rsidRPr="00CE4E1F">
        <w:rPr>
          <w:bCs/>
          <w:iCs/>
        </w:rPr>
        <w:t xml:space="preserve">risk </w:t>
      </w:r>
      <w:r>
        <w:rPr>
          <w:bCs/>
          <w:iCs/>
        </w:rPr>
        <w:t>scores</w:t>
      </w:r>
      <w:r w:rsidR="00680303" w:rsidRPr="00CE4E1F">
        <w:rPr>
          <w:bCs/>
          <w:iCs/>
        </w:rPr>
        <w:fldChar w:fldCharType="begin" w:fldLock="1"/>
      </w:r>
      <w:r w:rsidR="000F4EF5">
        <w:rPr>
          <w:bCs/>
          <w:iCs/>
        </w:rPr>
        <w:instrText>ADDIN CSL_CITATION {"citationItems":[{"id":"ITEM-1","itemData":{"DOI":"10.1007/s00401-017-1678-x","ISSN":"14320533","PMID":"28130639","abstract":"Meningioma is the most common primary brain tumor and carries a substantial risk of local recurrence. Methylation profiles of meningioma and their clinical implications are not well understood. We hypothesized that aggressive meningiomas have unique DNA methylation patterns that could be used to better stratify patient management. Samples (n = 140) were profiled using the Illumina HumanMethylation450BeadChip. Unsupervised modeling on a training set (n = 89) identified 2 molecular methylation subgroups of meningioma (MM) with significantly different recurrence-free survival (RFS) times between the groups: a prognostically unfavorable subgroup (MM-UNFAV) and a prognostically favorable subgroup (MM-FAV). This finding was validated in the remaining 51 samples and led to a baseline meningioma methylation classifier (bMMC) defined by 283 CpG loci (283-bMMC). To further optimize a recurrence predictor, probes subsumed within the baseline classifier were subject to additional modeling using a similar training/validation approach, leading to a 64-CpG loci meningioma methylation predictor (64-MMP). After adjustment for relevant clinical variables [WHO grade, mitotic index, Simpson grade, sex, location, and copy number aberrations (CNAs)] multivariable analyses for RFS showed that the baseline methylation classifier was not significant (p = 0.0793). The methylation predictor, however, was significantly associated with tumor recurrence (p &lt; 0.0001). CNAs were extracted from the 450k intensity profiles. Tumor samples in the MM-UNFAV subgroup showed an overall higher proportion of CNAs compared to the MM-FAV subgroup tumors and the CNAs were complex in nature. CNAs in the MM-UNFAV subgroup included recurrent losses of 1p, 6q, 14q and 18q, and gain of 1q, all of which were previously identified as indicators of poor outcome. In conclusion, our analyses demonstrate robust DNA methylation signatures in meningioma that correlate with CNAs and stratify patients by recurrence risk.","author":[{"dropping-particle":"","family":"Olar","given":"Adriana","non-dropping-particle":"","parse-names":false,"suffix":""},{"dropping-particle":"","family":"Wani","given":"Khalida M.","non-dropping-particle":"","parse-names":false,"suffix":""},{"dropping-particle":"","family":"Wilson","given":"Charmaine D.","non-dropping-particle":"","parse-names":false,"suffix":""},{"dropping-particle":"","family":"Zadeh","given":"Gelareh","non-dropping-particle":"","parse-names":false,"suffix":""},{"dropping-particle":"","family":"DeMonte","given":"Franco","non-dropping-particle":"","parse-names":false,"suffix":""},{"dropping-particle":"","family":"Jones","given":"David T.W.","non-dropping-particle":"","parse-names":false,"suffix":""},{"dropping-particle":"","family":"Pfister","given":"Stefan M.","non-dropping-particle":"","parse-names":false,"suffix":""},{"dropping-particle":"","family":"Sulman","given":"Erik P.","non-dropping-particle":"","parse-names":false,"suffix":""},{"dropping-particle":"","family":"Aldape","given":"Kenneth D.","non-dropping-particle":"","parse-names":false,"suffix":""}],"container-title":"Acta Neuropathologica","id":"ITEM-1","issue":"3","issued":{"date-parts":[["2017"]]},"page":"431-444","title":"Global epigenetic profiling identifies methylation subgroups associated with recurrence-free survival in meningioma","type":"article-journal","volume":"133"},"uris":["http://www.mendeley.com/documents/?uuid=b111c76e-f8e4-42d8-9fd2-23b50e32f97d"]}],"mendeley":{"formattedCitation":"&lt;sup&gt;24&lt;/sup&gt;","plainTextFormattedCitation":"24","previouslyFormattedCitation":"&lt;sup&gt;24&lt;/sup&gt;"},"properties":{"noteIndex":0},"schema":"https://github.com/citation-style-language/schema/raw/master/csl-citation.json"}</w:instrText>
      </w:r>
      <w:r w:rsidR="00680303" w:rsidRPr="00CE4E1F">
        <w:rPr>
          <w:bCs/>
          <w:iCs/>
        </w:rPr>
        <w:fldChar w:fldCharType="separate"/>
      </w:r>
      <w:r w:rsidR="000F4EF5" w:rsidRPr="000F4EF5">
        <w:rPr>
          <w:bCs/>
          <w:iCs/>
          <w:noProof/>
          <w:vertAlign w:val="superscript"/>
        </w:rPr>
        <w:t>24</w:t>
      </w:r>
      <w:r w:rsidR="00680303" w:rsidRPr="00CE4E1F">
        <w:rPr>
          <w:bCs/>
          <w:iCs/>
        </w:rPr>
        <w:fldChar w:fldCharType="end"/>
      </w:r>
      <w:r w:rsidR="00276D67" w:rsidRPr="00CE4E1F">
        <w:rPr>
          <w:bCs/>
          <w:iCs/>
        </w:rPr>
        <w:t xml:space="preserve"> were estimated by training a Lasso regularized Cox regression model with </w:t>
      </w:r>
      <w:r>
        <w:rPr>
          <w:bCs/>
          <w:iCs/>
        </w:rPr>
        <w:t>local freedom from recurrence</w:t>
      </w:r>
      <w:r w:rsidRPr="00CE4E1F">
        <w:rPr>
          <w:bCs/>
          <w:iCs/>
        </w:rPr>
        <w:t xml:space="preserve"> </w:t>
      </w:r>
      <w:r w:rsidR="00276D67" w:rsidRPr="00CE4E1F">
        <w:rPr>
          <w:bCs/>
          <w:iCs/>
        </w:rPr>
        <w:t xml:space="preserve">as the endpoint </w:t>
      </w:r>
      <w:r w:rsidR="00BE31CD">
        <w:rPr>
          <w:bCs/>
          <w:iCs/>
        </w:rPr>
        <w:t>in</w:t>
      </w:r>
      <w:r w:rsidR="00BE31CD" w:rsidRPr="00CE4E1F">
        <w:rPr>
          <w:bCs/>
          <w:iCs/>
        </w:rPr>
        <w:t xml:space="preserve"> the discovery cohort (N=173)</w:t>
      </w:r>
      <w:r w:rsidR="00BE31CD">
        <w:rPr>
          <w:bCs/>
          <w:iCs/>
        </w:rPr>
        <w:t xml:space="preserve"> using</w:t>
      </w:r>
      <w:r w:rsidR="00276D67" w:rsidRPr="00CE4E1F">
        <w:rPr>
          <w:bCs/>
          <w:iCs/>
        </w:rPr>
        <w:t xml:space="preserve"> </w:t>
      </w:r>
      <w:r w:rsidR="00BA0675" w:rsidRPr="00810A73">
        <w:rPr>
          <w:iCs/>
        </w:rPr>
        <w:t>β</w:t>
      </w:r>
      <w:r w:rsidR="00276D67" w:rsidRPr="00CE4E1F">
        <w:rPr>
          <w:bCs/>
          <w:iCs/>
        </w:rPr>
        <w:t xml:space="preserve">-values of 283 unfavorable </w:t>
      </w:r>
      <w:r>
        <w:rPr>
          <w:bCs/>
          <w:iCs/>
        </w:rPr>
        <w:t>previously</w:t>
      </w:r>
      <w:r w:rsidR="00760B74" w:rsidRPr="00CE4E1F">
        <w:rPr>
          <w:bCs/>
          <w:iCs/>
        </w:rPr>
        <w:t xml:space="preserve"> </w:t>
      </w:r>
      <w:r w:rsidR="00BE31CD">
        <w:rPr>
          <w:bCs/>
          <w:iCs/>
        </w:rPr>
        <w:t xml:space="preserve">reported </w:t>
      </w:r>
      <w:r w:rsidR="00BE31CD" w:rsidRPr="00CE4E1F">
        <w:rPr>
          <w:bCs/>
          <w:iCs/>
        </w:rPr>
        <w:t>CpG loci</w:t>
      </w:r>
      <w:r w:rsidR="001B5D51">
        <w:rPr>
          <w:bCs/>
          <w:iCs/>
        </w:rPr>
        <w:t>. The</w:t>
      </w:r>
      <w:r w:rsidR="00276D67" w:rsidRPr="00CE4E1F">
        <w:rPr>
          <w:bCs/>
          <w:iCs/>
        </w:rPr>
        <w:t xml:space="preserve"> resulting continuous risk score</w:t>
      </w:r>
      <w:r w:rsidR="00BE31CD">
        <w:rPr>
          <w:bCs/>
          <w:iCs/>
        </w:rPr>
        <w:t xml:space="preserve"> </w:t>
      </w:r>
      <w:r w:rsidR="001B5D51">
        <w:t xml:space="preserve">was converted into </w:t>
      </w:r>
      <w:r w:rsidR="001B5D51" w:rsidRPr="00CE4E1F">
        <w:rPr>
          <w:bCs/>
          <w:iCs/>
        </w:rPr>
        <w:t xml:space="preserve">low, intermediate, and </w:t>
      </w:r>
      <w:r w:rsidR="00FD5353">
        <w:rPr>
          <w:bCs/>
          <w:iCs/>
        </w:rPr>
        <w:t>high risk</w:t>
      </w:r>
      <w:r w:rsidR="001B5D51" w:rsidRPr="00CE4E1F">
        <w:rPr>
          <w:bCs/>
          <w:iCs/>
        </w:rPr>
        <w:t xml:space="preserve"> groups</w:t>
      </w:r>
      <w:r w:rsidR="001B5D51" w:rsidRPr="00CE4E1F">
        <w:t xml:space="preserve"> </w:t>
      </w:r>
      <w:r w:rsidR="001B5D51">
        <w:t>using</w:t>
      </w:r>
      <w:r w:rsidR="00BE31CD" w:rsidRPr="00CE4E1F">
        <w:rPr>
          <w:bCs/>
          <w:iCs/>
        </w:rPr>
        <w:t xml:space="preserve"> </w:t>
      </w:r>
      <w:r w:rsidR="00276D67" w:rsidRPr="00CE4E1F">
        <w:rPr>
          <w:bCs/>
          <w:iCs/>
        </w:rPr>
        <w:t xml:space="preserve">the same </w:t>
      </w:r>
      <w:r w:rsidR="001B5D51">
        <w:rPr>
          <w:bCs/>
          <w:iCs/>
        </w:rPr>
        <w:t xml:space="preserve">nested </w:t>
      </w:r>
      <w:r w:rsidR="00276D67" w:rsidRPr="00CE4E1F">
        <w:rPr>
          <w:bCs/>
          <w:iCs/>
        </w:rPr>
        <w:t xml:space="preserve">procedure </w:t>
      </w:r>
      <w:r w:rsidR="001B5D51">
        <w:rPr>
          <w:bCs/>
          <w:iCs/>
        </w:rPr>
        <w:t>described</w:t>
      </w:r>
      <w:r w:rsidR="001B5D51" w:rsidRPr="00CE4E1F">
        <w:rPr>
          <w:bCs/>
          <w:iCs/>
        </w:rPr>
        <w:t xml:space="preserve"> </w:t>
      </w:r>
      <w:r w:rsidR="00AE44BC">
        <w:rPr>
          <w:bCs/>
          <w:iCs/>
        </w:rPr>
        <w:t xml:space="preserve">above </w:t>
      </w:r>
      <w:r w:rsidR="00276D67" w:rsidRPr="00CE4E1F">
        <w:rPr>
          <w:bCs/>
          <w:iCs/>
        </w:rPr>
        <w:t xml:space="preserve">for the gene </w:t>
      </w:r>
      <w:r w:rsidR="00276D67" w:rsidRPr="00CE4E1F">
        <w:rPr>
          <w:bCs/>
          <w:iCs/>
        </w:rPr>
        <w:lastRenderedPageBreak/>
        <w:t>expression risk score.</w:t>
      </w:r>
      <w:r w:rsidR="00AE44BC">
        <w:rPr>
          <w:bCs/>
          <w:iCs/>
        </w:rPr>
        <w:t xml:space="preserve"> All molecular classification system assignments were performed </w:t>
      </w:r>
      <w:r w:rsidR="00E24BFD">
        <w:rPr>
          <w:bCs/>
          <w:iCs/>
        </w:rPr>
        <w:t xml:space="preserve">by authors who were blinded to </w:t>
      </w:r>
      <w:r w:rsidR="00E24BFD" w:rsidRPr="00CE4E1F">
        <w:rPr>
          <w:bCs/>
        </w:rPr>
        <w:t>clinical outcomes and other molecular characteristics</w:t>
      </w:r>
      <w:r w:rsidR="00B64F14">
        <w:rPr>
          <w:bCs/>
        </w:rPr>
        <w:t>.</w:t>
      </w:r>
    </w:p>
    <w:p w14:paraId="035E2EF6" w14:textId="77777777" w:rsidR="00276D67" w:rsidRPr="00CE4E1F" w:rsidRDefault="00276D67" w:rsidP="00742F09">
      <w:pPr>
        <w:spacing w:line="360" w:lineRule="auto"/>
        <w:contextualSpacing/>
        <w:jc w:val="both"/>
        <w:rPr>
          <w:bCs/>
          <w:iCs/>
        </w:rPr>
      </w:pPr>
    </w:p>
    <w:p w14:paraId="0F4B71DE" w14:textId="57C693A9" w:rsidR="00CF27A6" w:rsidRPr="00CE4E1F" w:rsidRDefault="004E3600" w:rsidP="00742F09">
      <w:pPr>
        <w:spacing w:line="360" w:lineRule="auto"/>
        <w:contextualSpacing/>
        <w:jc w:val="both"/>
        <w:rPr>
          <w:bCs/>
          <w:i/>
          <w:iCs/>
        </w:rPr>
      </w:pPr>
      <w:r w:rsidRPr="00CE4E1F">
        <w:rPr>
          <w:bCs/>
          <w:i/>
          <w:iCs/>
        </w:rPr>
        <w:t>Statistics</w:t>
      </w:r>
    </w:p>
    <w:p w14:paraId="3B62519E" w14:textId="7B04E7D0" w:rsidR="009258CC" w:rsidRDefault="004512D4" w:rsidP="00742F09">
      <w:pPr>
        <w:spacing w:line="360" w:lineRule="auto"/>
        <w:ind w:firstLine="720"/>
        <w:contextualSpacing/>
        <w:jc w:val="both"/>
        <w:rPr>
          <w:bCs/>
        </w:rPr>
      </w:pPr>
      <w:r w:rsidRPr="00CE4E1F">
        <w:rPr>
          <w:bCs/>
        </w:rPr>
        <w:t xml:space="preserve">Statistical analyses were conducted in </w:t>
      </w:r>
      <w:r w:rsidR="000F35F4" w:rsidRPr="00CE4E1F">
        <w:rPr>
          <w:bCs/>
        </w:rPr>
        <w:t>R</w:t>
      </w:r>
      <w:r w:rsidR="000B3780">
        <w:rPr>
          <w:bCs/>
        </w:rPr>
        <w:t xml:space="preserve"> (v3.6.2)</w:t>
      </w:r>
      <w:r w:rsidRPr="00CE4E1F">
        <w:rPr>
          <w:bCs/>
          <w:i/>
        </w:rPr>
        <w:t xml:space="preserve"> </w:t>
      </w:r>
      <w:r w:rsidRPr="00CE4E1F">
        <w:rPr>
          <w:bCs/>
        </w:rPr>
        <w:t>or Graphpad Prism</w:t>
      </w:r>
      <w:r w:rsidR="00E0518A" w:rsidRPr="00CE4E1F">
        <w:rPr>
          <w:bCs/>
        </w:rPr>
        <w:t xml:space="preserve"> (v9.3.1)</w:t>
      </w:r>
      <w:r w:rsidRPr="00CE4E1F">
        <w:rPr>
          <w:bCs/>
        </w:rPr>
        <w:t xml:space="preserve">. </w:t>
      </w:r>
      <w:r w:rsidR="009258CC" w:rsidRPr="00CE4E1F">
        <w:rPr>
          <w:bCs/>
        </w:rPr>
        <w:t xml:space="preserve">The performance of the targeted gene expression risk score </w:t>
      </w:r>
      <w:r w:rsidR="001B5D51">
        <w:rPr>
          <w:bCs/>
        </w:rPr>
        <w:t>was</w:t>
      </w:r>
      <w:r w:rsidR="009258CC" w:rsidRPr="00CE4E1F">
        <w:rPr>
          <w:bCs/>
        </w:rPr>
        <w:t xml:space="preserve"> assessed using c-index, log-rank test, univariate and multivariate Cox regression</w:t>
      </w:r>
      <w:r w:rsidR="00753A11" w:rsidRPr="00CE4E1F">
        <w:rPr>
          <w:bCs/>
        </w:rPr>
        <w:t xml:space="preserve"> via the </w:t>
      </w:r>
      <w:r w:rsidR="00753A11" w:rsidRPr="007D75C0">
        <w:rPr>
          <w:bCs/>
          <w:i/>
        </w:rPr>
        <w:t>survival</w:t>
      </w:r>
      <w:r w:rsidR="00753A11" w:rsidRPr="00CE4E1F">
        <w:rPr>
          <w:bCs/>
        </w:rPr>
        <w:t xml:space="preserve"> package</w:t>
      </w:r>
      <w:r w:rsidR="00487DE0">
        <w:rPr>
          <w:bCs/>
        </w:rPr>
        <w:t xml:space="preserve"> </w:t>
      </w:r>
      <w:r w:rsidR="004362D7" w:rsidRPr="00CE4E1F">
        <w:rPr>
          <w:bCs/>
        </w:rPr>
        <w:t>in R</w:t>
      </w:r>
      <w:r w:rsidR="004362D7">
        <w:rPr>
          <w:bCs/>
        </w:rPr>
        <w:t xml:space="preserve"> </w:t>
      </w:r>
      <w:r w:rsidR="00487DE0">
        <w:rPr>
          <w:bCs/>
        </w:rPr>
        <w:t>(v3.2-13)</w:t>
      </w:r>
      <w:r w:rsidR="009258CC" w:rsidRPr="00CE4E1F">
        <w:rPr>
          <w:bCs/>
        </w:rPr>
        <w:t>, time-dependent area under the receiver operant curve (AUC)</w:t>
      </w:r>
      <w:r w:rsidR="00753A11" w:rsidRPr="00CE4E1F">
        <w:rPr>
          <w:bCs/>
        </w:rPr>
        <w:t xml:space="preserve"> </w:t>
      </w:r>
      <w:r w:rsidR="001B5D51">
        <w:rPr>
          <w:bCs/>
        </w:rPr>
        <w:t>using</w:t>
      </w:r>
      <w:r w:rsidR="001B5D51" w:rsidRPr="00CE4E1F">
        <w:rPr>
          <w:bCs/>
        </w:rPr>
        <w:t xml:space="preserve"> </w:t>
      </w:r>
      <w:r w:rsidR="00753A11" w:rsidRPr="00CE4E1F">
        <w:rPr>
          <w:bCs/>
        </w:rPr>
        <w:t xml:space="preserve">the </w:t>
      </w:r>
      <w:r w:rsidR="00753A11" w:rsidRPr="007D75C0">
        <w:rPr>
          <w:bCs/>
          <w:i/>
        </w:rPr>
        <w:t>survivalROC</w:t>
      </w:r>
      <w:r w:rsidR="00753A11" w:rsidRPr="00CE4E1F">
        <w:rPr>
          <w:bCs/>
        </w:rPr>
        <w:t xml:space="preserve"> package</w:t>
      </w:r>
      <w:r w:rsidR="00487DE0">
        <w:rPr>
          <w:bCs/>
        </w:rPr>
        <w:t xml:space="preserve"> (v1.0.3)</w:t>
      </w:r>
      <w:r w:rsidR="000F35F4" w:rsidRPr="00CE4E1F">
        <w:rPr>
          <w:bCs/>
        </w:rPr>
        <w:t xml:space="preserve"> </w:t>
      </w:r>
      <w:r w:rsidR="001B5D51">
        <w:rPr>
          <w:bCs/>
        </w:rPr>
        <w:t xml:space="preserve">and </w:t>
      </w:r>
      <w:r w:rsidR="000F35F4" w:rsidRPr="00CE4E1F">
        <w:rPr>
          <w:bCs/>
        </w:rPr>
        <w:t>the Kaplan</w:t>
      </w:r>
      <w:r w:rsidR="00CC2A77">
        <w:rPr>
          <w:bCs/>
        </w:rPr>
        <w:t xml:space="preserve"> </w:t>
      </w:r>
      <w:r w:rsidR="000F35F4" w:rsidRPr="00CE4E1F">
        <w:rPr>
          <w:bCs/>
        </w:rPr>
        <w:t>Meier method</w:t>
      </w:r>
      <w:r w:rsidR="009258CC" w:rsidRPr="00CE4E1F">
        <w:rPr>
          <w:bCs/>
        </w:rPr>
        <w:t>, and Brier error score</w:t>
      </w:r>
      <w:r w:rsidR="00753A11" w:rsidRPr="00CE4E1F">
        <w:rPr>
          <w:bCs/>
        </w:rPr>
        <w:t xml:space="preserve"> </w:t>
      </w:r>
      <w:r w:rsidR="001B5D51">
        <w:rPr>
          <w:bCs/>
        </w:rPr>
        <w:t>using</w:t>
      </w:r>
      <w:r w:rsidR="001B5D51" w:rsidRPr="00CE4E1F">
        <w:rPr>
          <w:bCs/>
        </w:rPr>
        <w:t xml:space="preserve"> </w:t>
      </w:r>
      <w:r w:rsidR="00753A11" w:rsidRPr="00CE4E1F">
        <w:rPr>
          <w:bCs/>
        </w:rPr>
        <w:t xml:space="preserve">the </w:t>
      </w:r>
      <w:r w:rsidR="00753A11" w:rsidRPr="007D75C0">
        <w:rPr>
          <w:bCs/>
          <w:i/>
        </w:rPr>
        <w:t>pec</w:t>
      </w:r>
      <w:r w:rsidR="00753A11" w:rsidRPr="00CE4E1F">
        <w:rPr>
          <w:bCs/>
        </w:rPr>
        <w:t xml:space="preserve"> package</w:t>
      </w:r>
      <w:r w:rsidR="00487DE0">
        <w:rPr>
          <w:bCs/>
        </w:rPr>
        <w:t xml:space="preserve"> (2021.10.11)</w:t>
      </w:r>
      <w:r w:rsidR="009258CC" w:rsidRPr="00CE4E1F">
        <w:rPr>
          <w:bCs/>
        </w:rPr>
        <w:fldChar w:fldCharType="begin" w:fldLock="1"/>
      </w:r>
      <w:r w:rsidR="000F4EF5">
        <w:rPr>
          <w:bCs/>
        </w:rPr>
        <w:instrText>ADDIN CSL_CITATION {"citationItems":[{"id":"ITEM-1","itemData":{"ISBN":"0471252182","abstract":"survival analysis: descriptive statistics, two-sample tests, parametric accelerated failure models, Cox model. Delayed entry (truncation) allowed for all models; interval censoring for parametric models. Case-cohort designs.","author":[{"dropping-particle":"","family":"Therneau","given":"Terry","non-dropping-particle":"","parse-names":false,"suffix":""}],"container-title":"Survival","id":"ITEM-1","issued":{"date-parts":[["2012"]]},"note":"R package version 3.2-3","page":"1-3","title":"A Package for Survival Analysis in S. R package version","type":"article"},"uris":["http://www.mendeley.com/documents/?uuid=526b8d05-c16a-45b1-b662-ae00afd71d62"]},{"id":"ITEM-2","itemData":{"DOI":"10.1198/tech.2002.s656","ISBN":"978-1-4757-3294-8","ISSN":"0040-1706","abstract":"This is a book for statistical practitioners, particularly those who design and analyze studies for survival and event history data. Its goal is to extend the toolkit beyond the basic triad provided by most statistical packages: the Kaplan-Meier estimator, log-rank test, and Cox regression model.","author":[{"dropping-particle":"","family":"Lin","given":"Haiqun","non-dropping-particle":"","parse-names":false,"suffix":""},{"dropping-particle":"","family":"Zelterman","given":"Daniel","non-dropping-particle":"","parse-names":false,"suffix":""}],"container-title":"Technometrics","id":"ITEM-2","issue":"1","issued":{"date-parts":[["2002"]]},"page":"85-86","title":"Modeling Survival Data: Extending the Cox Model","type":"chapter","volume":"44"},"uris":["http://www.mendeley.com/documents/?uuid=418dce03-b90b-4b9d-a412-477603fa4ed7"]},{"id":"ITEM-3","itemData":{"DOI":"10.18637/jss.v039.i05","ISSN":"15487660","abstract":"We introduce a pathwise algorithm for the Cox proportional hazards model, regularized by convex combinations of ℓ1 and ℓ2 penalties (elastic net). Our algorithm fits via cyclical coordinate descent, and employs warm starts to find a solution along a regularization path. We demonstrate the efficacy of our algorithm on real and simulated data sets, and find considerable speedup between our algorithm and competing methods.","author":[{"dropping-particle":"","family":"Simon","given":"Noah","non-dropping-particle":"","parse-names":false,"suffix":""},{"dropping-particle":"","family":"Friedman","given":"Jerome","non-dropping-particle":"","parse-names":false,"suffix":""},{"dropping-particle":"","family":"Hastie","given":"Trevor","non-dropping-particle":"","parse-names":false,"suffix":""},{"dropping-particle":"","family":"Tibshirani","given":"Rob","non-dropping-particle":"","parse-names":false,"suffix":""}],"container-title":"Journal of Statistical Software","id":"ITEM-3","issue":"5","issued":{"date-parts":[["2011"]]},"page":"1-13","title":"Regularization paths for Cox's proportional hazards model via coordinate descent","type":"article-journal","volume":"39"},"uris":["http://www.mendeley.com/documents/?uuid=e021e6b7-58de-4ab8-a6ad-836a80fac63d"]},{"id":"ITEM-4","itemData":{"DOI":"10.18637/jss.v050.i11","ISSN":"1548-7660","PMID":"25317082","abstract":"Prediction error curves are increasingly used to assess and compare predictions in survival analysis. This article surveys the R package pec which provides a set of functions for efficient computation of prediction error curves. The software implements inverse probability of censoring weights to deal with right censored data and several variants of cross-validation to deal with the apparent error problem. In principle, all kinds of prediction models can be assessed, and the package readily supports most traditional regression modeling strategies, like Cox regression or additive hazard regression, as well as state of the art machine learning methods such as random forests, a nonparametric method which provides promising alternatives to traditional strategies in low and high-dimensional settings. We show how the functionality of pec can be extended to yet unsupported prediction models. As an example, we implement support for random forest prediction models based on the R-packages randomSurvivalForest and party. Using data of the Copenhagen Stroke Study we use pec to compare random forests to a Cox regression model derived from stepwise variable selection. Reproducible results on the user level are given for publicly available data from the German breast cancer study group.","author":[{"dropping-particle":"","family":"Mogensen","given":"Ulla B.","non-dropping-particle":"","parse-names":false,"suffix":""},{"dropping-particle":"","family":"Ishwaran","given":"Hemant","non-dropping-particle":"","parse-names":false,"suffix":""},{"dropping-particle":"","family":"Gerds","given":"Thomas A.","non-dropping-particle":"","parse-names":false,"suffix":""}],"container-title":"Journal of Statistical Software","id":"ITEM-4","issue":"11","issued":{"date-parts":[["2012"]]},"page":"1-23","title":"Evaluating Random Forests for Survival Analysis Using Prediction Error Curves","type":"article-journal","volume":"50"},"uris":["http://www.mendeley.com/documents/?uuid=d66f0941-fd16-48f6-8398-ee136fedb2ca"]},{"id":"ITEM-5","itemData":{"DOI":"10.18637/jss.v042.i08","ISSN":"15487660","abstract":"MatchIt implements the suggestions of Ho, Imai, King, and Stuart (2007) for improving parametric statistical models by preprocessing data with nonparametric matching methods. MatchIt implements a wide range of sophisticated matching methods, making it possible to greatly reduce the dependence of causal inferences on hard-to-justify, but commonly made, statistical modeling assumptions. The software also easily fits into existing research practices since, after preprocessing data with MatchIt, researchers can use whatever parametric model they would have used without MatchIt, but produce inferences with substantially more robustness and less sensitivity to modeling assumptions. MatchIt is an R program, and also works seamlessly with Zelig.","author":[{"dropping-particle":"","family":"Ho","given":"Daniel E.","non-dropping-particle":"","parse-names":false,"suffix":""},{"dropping-particle":"","family":"Imai","given":"Kosuke","non-dropping-particle":"","parse-names":false,"suffix":""},{"dropping-particle":"","family":"King","given":"Gary","non-dropping-particle":"","parse-names":false,"suffix":""},{"dropping-particle":"","family":"Stuart","given":"Elizabeth A.","non-dropping-particle":"","parse-names":false,"suffix":""}],"container-title":"Journal of Statistical Software","id":"ITEM-5","issue":"8","issued":{"date-parts":[["2011"]]},"page":"1-28","title":"MatchIt: Nonparametric preprocessing for parametric causal inference","type":"article-journal","volume":"42"},"uris":["http://www.mendeley.com/documents/?uuid=12fa8847-d8ee-4774-b11d-cfb43e2bf3f0"]},{"id":"ITEM-6","itemData":{"author":[{"dropping-particle":"","family":"Saha-Chaudhuri","given":"Paramita","non-dropping-particle":"","parse-names":false,"suffix":""}],"id":"ITEM-6","issued":{"date-parts":[["2013"]]},"note":"R package version 1.0.3","page":"2-6","title":"Time-dependent ROC curve estimation from censored survival data","type":"article","volume":"1"},"uris":["http://www.mendeley.com/documents/?uuid=c842eff3-b151-432e-8e13-dc361d515264"]},{"id":"ITEM-7","itemData":{"abstract":"Regression modeling, testing, estimation, validation, graphics, prediction, and typesetting by storing enhanced model design attributes in the fit. 'rms' is a collection of functions that assist with and streamline modeling. It also contains functions for binary and ordinal logistic regression models, ordinal models for continuous Y with a variety of distribution families, and the Buckley-James multiple regression model for right-censored responses, and implements penalized maximum likelihood estimation for logistic and ordinary linear models. 'rms' works with almost any regression model, but it was especially written to work with binary or ordinal regression models, Cox regression, accelerated failure time models, ordinary linear models,the Buckley-James model, generalized least squares for serially or spatially correlated observations, generalized linear models, and quantile regression.","author":[{"dropping-particle":"","family":"Harrell Jr","given":"Frank E","non-dropping-particle":"","parse-names":false,"suffix":""}],"id":"ITEM-7","issued":{"date-parts":[["2018"]]},"note":"R package version 6.0-1","page":"1-246","title":"rms: Regression Modeling Strategies","type":"article"},"uris":["http://www.mendeley.com/documents/?uuid=f8b30dca-c485-4e19-89b3-f13b92f5dfa5"]},{"id":"ITEM-8","itemData":{"DOI":"10.18637/jss.v033.i01","ISSN":"15487660","PMID":"20808728","abstract":"We develop fast algorithms for estimation of generalized linear models with convex penalties. The models include linear regression, two-class logistic regression, and multinomial regression problems while the penalties include l1 (the lasso), l2 (ridge regression) and mixtures of the two (the elastic net). The algorithms use cyclical coordinate descent, computed along a regularization path. The methods can handle large problems and can also deal efficiently with sparse features. In comparative timings we find that the new algorithms are considerably faster than competing methods.","author":[{"dropping-particle":"","family":"Friedman","given":"Jerome","non-dropping-particle":"","parse-names":false,"suffix":""},{"dropping-particle":"","family":"Hastie","given":"Trevor","non-dropping-particle":"","parse-names":false,"suffix":""},{"dropping-particle":"","family":"Tibshirani","given":"Rob","non-dropping-particle":"","parse-names":false,"suffix":""}],"container-title":"Journal of Statistical Software","id":"ITEM-8","issue":"1","issued":{"date-parts":[["2010"]]},"page":"1-22","title":"Regularization paths for generalized linear models via coordinate descent","type":"article-journal","volume":"33"},"uris":["http://www.mendeley.com/documents/?uuid=e961ee23-9c38-487f-8bb9-21aaad4354bb"]}],"mendeley":{"formattedCitation":"&lt;sup&gt;25–32&lt;/sup&gt;","plainTextFormattedCitation":"25–32","previouslyFormattedCitation":"&lt;sup&gt;25–32&lt;/sup&gt;"},"properties":{"noteIndex":0},"schema":"https://github.com/citation-style-language/schema/raw/master/csl-citation.json"}</w:instrText>
      </w:r>
      <w:r w:rsidR="009258CC" w:rsidRPr="00CE4E1F">
        <w:rPr>
          <w:bCs/>
        </w:rPr>
        <w:fldChar w:fldCharType="separate"/>
      </w:r>
      <w:r w:rsidR="000F4EF5" w:rsidRPr="000F4EF5">
        <w:rPr>
          <w:bCs/>
          <w:noProof/>
          <w:vertAlign w:val="superscript"/>
        </w:rPr>
        <w:t>25–32</w:t>
      </w:r>
      <w:r w:rsidR="009258CC" w:rsidRPr="00CE4E1F">
        <w:rPr>
          <w:bCs/>
        </w:rPr>
        <w:fldChar w:fldCharType="end"/>
      </w:r>
      <w:r w:rsidR="009258CC" w:rsidRPr="00CE4E1F">
        <w:rPr>
          <w:bCs/>
        </w:rPr>
        <w:t xml:space="preserve">. </w:t>
      </w:r>
      <w:r w:rsidR="00487DE0">
        <w:rPr>
          <w:bCs/>
        </w:rPr>
        <w:t>Likelihood-ratio tests</w:t>
      </w:r>
      <w:r w:rsidR="00C12BC2">
        <w:rPr>
          <w:bCs/>
        </w:rPr>
        <w:t xml:space="preserve"> for model comparison</w:t>
      </w:r>
      <w:r w:rsidR="00C12BC2">
        <w:rPr>
          <w:bCs/>
        </w:rPr>
        <w:fldChar w:fldCharType="begin" w:fldLock="1"/>
      </w:r>
      <w:r w:rsidR="000F4EF5">
        <w:rPr>
          <w:bCs/>
        </w:rPr>
        <w:instrText>ADDIN CSL_CITATION {"citationItems":[{"id":"ITEM-1","itemData":{"DOI":"10.2307/1912557","ISSN":"00129682","abstract":"Describes a likelihood ratio test that allows the use of nested or non-nested models. This is particularly useful when comparing Zero Inflated Poisson to regular Poisson models (either negative binomial or not). A V statistic &gt;1.96 is strong evidence for Poisson... A V statistic &lt;-1.96 is strong evidence for ZIP... Anything between those two","author":[{"dropping-particle":"","family":"Vuong","given":"Quang H.","non-dropping-particle":"","parse-names":false,"suffix":""}],"container-title":"Econometrica","id":"ITEM-1","issue":"2","issued":{"date-parts":[["1989"]]},"page":"307","title":"Likelihood Ratio Tests for Model Selection and Non-Nested Hypotheses","type":"article-journal","volume":"57"},"uris":["http://www.mendeley.com/documents/?uuid=98658bc6-71c2-469c-b622-f9e981278444"]}],"mendeley":{"formattedCitation":"&lt;sup&gt;33&lt;/sup&gt;","plainTextFormattedCitation":"33","previouslyFormattedCitation":"&lt;sup&gt;33&lt;/sup&gt;"},"properties":{"noteIndex":0},"schema":"https://github.com/citation-style-language/schema/raw/master/csl-citation.json"}</w:instrText>
      </w:r>
      <w:r w:rsidR="00C12BC2">
        <w:rPr>
          <w:bCs/>
        </w:rPr>
        <w:fldChar w:fldCharType="separate"/>
      </w:r>
      <w:r w:rsidR="000F4EF5" w:rsidRPr="000F4EF5">
        <w:rPr>
          <w:bCs/>
          <w:noProof/>
          <w:vertAlign w:val="superscript"/>
        </w:rPr>
        <w:t>33</w:t>
      </w:r>
      <w:r w:rsidR="00C12BC2">
        <w:rPr>
          <w:bCs/>
        </w:rPr>
        <w:fldChar w:fldCharType="end"/>
      </w:r>
      <w:r w:rsidR="00487DE0">
        <w:rPr>
          <w:bCs/>
        </w:rPr>
        <w:t xml:space="preserve"> were conducted using the </w:t>
      </w:r>
      <w:r w:rsidR="00487DE0" w:rsidRPr="00487DE0">
        <w:rPr>
          <w:bCs/>
          <w:i/>
        </w:rPr>
        <w:t>lrtest</w:t>
      </w:r>
      <w:r w:rsidR="00487DE0">
        <w:rPr>
          <w:bCs/>
        </w:rPr>
        <w:t xml:space="preserve"> function in the </w:t>
      </w:r>
      <w:r w:rsidR="00487DE0" w:rsidRPr="00E96977">
        <w:rPr>
          <w:bCs/>
          <w:i/>
        </w:rPr>
        <w:t>lmtest</w:t>
      </w:r>
      <w:r w:rsidR="00487DE0">
        <w:rPr>
          <w:bCs/>
        </w:rPr>
        <w:t xml:space="preserve"> package </w:t>
      </w:r>
      <w:r w:rsidR="00FC4B92">
        <w:rPr>
          <w:bCs/>
        </w:rPr>
        <w:t xml:space="preserve">in R </w:t>
      </w:r>
      <w:r w:rsidR="00487DE0">
        <w:rPr>
          <w:bCs/>
        </w:rPr>
        <w:t xml:space="preserve">(v0.9-39). </w:t>
      </w:r>
      <w:r w:rsidRPr="00487DE0">
        <w:rPr>
          <w:bCs/>
        </w:rPr>
        <w:t>Continuous</w:t>
      </w:r>
      <w:r w:rsidRPr="00CE4E1F">
        <w:rPr>
          <w:bCs/>
        </w:rPr>
        <w:t xml:space="preserve"> variables were compared using ANOVA</w:t>
      </w:r>
      <w:r w:rsidR="001B5D51">
        <w:rPr>
          <w:bCs/>
        </w:rPr>
        <w:t xml:space="preserve"> or </w:t>
      </w:r>
      <w:r w:rsidRPr="00CE4E1F">
        <w:rPr>
          <w:bCs/>
        </w:rPr>
        <w:t>Studen</w:t>
      </w:r>
      <w:r w:rsidR="0048334E" w:rsidRPr="00CE4E1F">
        <w:rPr>
          <w:bCs/>
        </w:rPr>
        <w:t>t</w:t>
      </w:r>
      <w:r w:rsidRPr="00CE4E1F">
        <w:rPr>
          <w:bCs/>
        </w:rPr>
        <w:t xml:space="preserve">’s t test, as appropriate. Pearson correlation </w:t>
      </w:r>
      <w:r w:rsidR="000F35F4" w:rsidRPr="00CE4E1F">
        <w:rPr>
          <w:bCs/>
        </w:rPr>
        <w:t xml:space="preserve">(R) </w:t>
      </w:r>
      <w:r w:rsidRPr="00CE4E1F">
        <w:rPr>
          <w:bCs/>
        </w:rPr>
        <w:t>was used to estimate correlations between continuous variable</w:t>
      </w:r>
      <w:r w:rsidR="009749D4" w:rsidRPr="00CE4E1F">
        <w:rPr>
          <w:bCs/>
        </w:rPr>
        <w:t>s</w:t>
      </w:r>
      <w:r w:rsidRPr="00CE4E1F">
        <w:rPr>
          <w:bCs/>
        </w:rPr>
        <w:t xml:space="preserve"> whe</w:t>
      </w:r>
      <w:r w:rsidR="009749D4" w:rsidRPr="00CE4E1F">
        <w:rPr>
          <w:bCs/>
        </w:rPr>
        <w:t>n</w:t>
      </w:r>
      <w:r w:rsidRPr="00CE4E1F">
        <w:rPr>
          <w:bCs/>
        </w:rPr>
        <w:t xml:space="preserve"> appropriate, </w:t>
      </w:r>
      <w:r w:rsidR="009749D4" w:rsidRPr="00CE4E1F">
        <w:rPr>
          <w:bCs/>
        </w:rPr>
        <w:t>with</w:t>
      </w:r>
      <w:r w:rsidRPr="00CE4E1F">
        <w:rPr>
          <w:bCs/>
        </w:rPr>
        <w:t xml:space="preserve"> statistical significan</w:t>
      </w:r>
      <w:r w:rsidR="009749D4" w:rsidRPr="00CE4E1F">
        <w:rPr>
          <w:bCs/>
        </w:rPr>
        <w:t>ce</w:t>
      </w:r>
      <w:r w:rsidRPr="00CE4E1F">
        <w:rPr>
          <w:bCs/>
        </w:rPr>
        <w:t xml:space="preserve"> assessed </w:t>
      </w:r>
      <w:r w:rsidR="001B5D51">
        <w:rPr>
          <w:bCs/>
        </w:rPr>
        <w:t>using</w:t>
      </w:r>
      <w:r w:rsidR="001B5D51" w:rsidRPr="00CE4E1F">
        <w:rPr>
          <w:bCs/>
        </w:rPr>
        <w:t xml:space="preserve"> </w:t>
      </w:r>
      <w:r w:rsidRPr="00CE4E1F">
        <w:rPr>
          <w:bCs/>
        </w:rPr>
        <w:t xml:space="preserve">the F-test. </w:t>
      </w:r>
      <w:r w:rsidR="009258CC" w:rsidRPr="00CE4E1F">
        <w:rPr>
          <w:bCs/>
        </w:rPr>
        <w:t xml:space="preserve">A minimum of 5 events per variable were maintained for all multivariate analyses. A bootstrap procedure with resampling </w:t>
      </w:r>
      <w:r w:rsidR="00753A11" w:rsidRPr="00CE4E1F">
        <w:rPr>
          <w:bCs/>
        </w:rPr>
        <w:t xml:space="preserve">with replacement </w:t>
      </w:r>
      <w:r w:rsidR="009258CC" w:rsidRPr="00CE4E1F">
        <w:rPr>
          <w:bCs/>
        </w:rPr>
        <w:t>(1000</w:t>
      </w:r>
      <w:r w:rsidR="00753A11" w:rsidRPr="00CE4E1F">
        <w:rPr>
          <w:bCs/>
        </w:rPr>
        <w:t xml:space="preserve"> iterations</w:t>
      </w:r>
      <w:r w:rsidR="009258CC" w:rsidRPr="00CE4E1F">
        <w:rPr>
          <w:bCs/>
        </w:rPr>
        <w:t xml:space="preserve">) was used to estimate delta-AUC. Confidence intervals (95% CI) and </w:t>
      </w:r>
      <w:r w:rsidR="001B5D51">
        <w:rPr>
          <w:bCs/>
        </w:rPr>
        <w:t>P</w:t>
      </w:r>
      <w:r w:rsidR="009258CC" w:rsidRPr="00CE4E1F">
        <w:rPr>
          <w:bCs/>
        </w:rPr>
        <w:t>-values were determined using non-parametric rank estimates</w:t>
      </w:r>
      <w:r w:rsidR="009258CC" w:rsidRPr="00CE4E1F">
        <w:rPr>
          <w:bCs/>
        </w:rPr>
        <w:fldChar w:fldCharType="begin" w:fldLock="1"/>
      </w:r>
      <w:r w:rsidR="000F4EF5">
        <w:rPr>
          <w:bCs/>
        </w:rPr>
        <w:instrText>ADDIN CSL_CITATION {"citationItems":[{"id":"ITEM-1","itemData":{"DOI":"10.1214/aos/1176344552","ISSN":"0090-5364","abstract":"We discuss the following problem: given a random sample X=(X1,X2,</w:instrText>
      </w:r>
      <w:r w:rsidR="000F4EF5">
        <w:rPr>
          <w:rFonts w:ascii="Cambria Math" w:hAnsi="Cambria Math" w:cs="Cambria Math"/>
          <w:bCs/>
        </w:rPr>
        <w:instrText>⋯</w:instrText>
      </w:r>
      <w:r w:rsidR="000F4EF5">
        <w:rPr>
          <w:bCs/>
        </w:rPr>
        <w:instrText>,Xn)X=(X1,X2,</w:instrText>
      </w:r>
      <w:r w:rsidR="000F4EF5">
        <w:rPr>
          <w:rFonts w:ascii="Cambria Math" w:hAnsi="Cambria Math" w:cs="Cambria Math"/>
          <w:bCs/>
        </w:rPr>
        <w:instrText>⋯</w:instrText>
      </w:r>
      <w:r w:rsidR="000F4EF5">
        <w:rPr>
          <w:bCs/>
        </w:rPr>
        <w:instrText>,Xn)\\mathbf{X} = (X_1, X_2, \\cdots, X_n) from an unknown probability distribution FFF, estimate the sampling distribution of some prespecified random variable R(X,F)R(X,F)R(\\mathbf{X}, F), on the basis of the observed data xx\\mathbf{x}. (Standard jackknife theory gives an approximate mean and variance in the case R(X,F)=θ(F^)−θ(F),θR(X,F)=θ(F^)−θ(F),θR(\\mathbf{X}, F) = \\theta(\\hat{F}) - \\theta(F), \\theta some parameter of interest.) A general method, called the \"bootstrap,\" is introduced, and shown to work satisfactorily on a variety of estimation problems. The jackknife is shown to be a linear approximation method for the bootstrap. The exposition proceeds by a series of examples: variance of the sample median, error rates in a linear discriminant analysis, ratio estimation, estimating regression parameters, etc.","author":[{"dropping-particle":"","family":"Efron","given":"B.","non-dropping-particle":"","parse-names":false,"suffix":""}],"container-title":"The Annals of Statistics","id":"ITEM-1","issue":"1","issued":{"date-parts":[["2007"]]},"title":"Bootstrap Methods: Another Look at the Jackknife","type":"article-journal","volume":"7"},"uris":["http://www.mendeley.com/documents/?uuid=ff993d7c-7268-465f-a72e-36e103bdf2e0"]},{"id":"ITEM-2","itemData":{"DOI":"10.1214/15-EJS1035","ISSN":"19357524","abstract":"In binary classification problems, the area under the ROC curve (AUC) is commonly used to evaluate the performance of a prediction model. Often, it is combined with cross-validation in order to assess how the results will generalize to an independent data set. In order to evaluate the quality of an estimate for cross-validated AUC, we obtain an estimate of its variance. For massive data sets, the process of generating a single performance estimate can be computationally expensive. Additionally, when using a complex prediction method, the process of cross-validating a predictive model on even a relatively small data set can still require a large amount of computation time. Thus, in many practical settings, the bootstrap is a computationally intractable approach to variance estimation. As an alternative to the bootstrap, we demonstrate a computationally efficient influence curve based approach to obtaining a variance estimate for cross-validated AUC.","author":[{"dropping-particle":"","family":"Ledell","given":"Erin","non-dropping-particle":"","parse-names":false,"suffix":""},{"dropping-particle":"","family":"Petersen","given":"Maya","non-dropping-particle":"","parse-names":false,"suffix":""},{"dropping-particle":"","family":"Laan","given":"Mark","non-dropping-particle":"Van Der","parse-names":false,"suffix":""}],"container-title":"Electronic Journal of Statistics","id":"ITEM-2","issue":"1","issued":{"date-parts":[["2015"]]},"page":"1583-1607","title":"Computationally efficient confidence intervals for cross-validated area under the ROC curve estimates","type":"article-journal","volume":"9"},"uris":["http://www.mendeley.com/documents/?uuid=cca21e9f-c4c7-4a7e-aaa2-c04b5e9ba5d7"]}],"mendeley":{"formattedCitation":"&lt;sup&gt;34,35&lt;/sup&gt;","plainTextFormattedCitation":"34,35","previouslyFormattedCitation":"&lt;sup&gt;34,35&lt;/sup&gt;"},"properties":{"noteIndex":0},"schema":"https://github.com/citation-style-language/schema/raw/master/csl-citation.json"}</w:instrText>
      </w:r>
      <w:r w:rsidR="009258CC" w:rsidRPr="00CE4E1F">
        <w:rPr>
          <w:bCs/>
        </w:rPr>
        <w:fldChar w:fldCharType="separate"/>
      </w:r>
      <w:r w:rsidR="000F4EF5" w:rsidRPr="000F4EF5">
        <w:rPr>
          <w:bCs/>
          <w:noProof/>
          <w:vertAlign w:val="superscript"/>
        </w:rPr>
        <w:t>34,35</w:t>
      </w:r>
      <w:r w:rsidR="009258CC" w:rsidRPr="00CE4E1F">
        <w:rPr>
          <w:bCs/>
        </w:rPr>
        <w:fldChar w:fldCharType="end"/>
      </w:r>
      <w:r w:rsidR="009258CC" w:rsidRPr="00CE4E1F">
        <w:rPr>
          <w:bCs/>
        </w:rPr>
        <w:t xml:space="preserve">. </w:t>
      </w:r>
      <w:r w:rsidR="00D05104">
        <w:rPr>
          <w:bCs/>
        </w:rPr>
        <w:t xml:space="preserve">Nomograms were generated using Cox regression models using the </w:t>
      </w:r>
      <w:r w:rsidR="00D05104" w:rsidRPr="007D75C0">
        <w:rPr>
          <w:bCs/>
          <w:i/>
        </w:rPr>
        <w:t>nomogram</w:t>
      </w:r>
      <w:r w:rsidR="00D05104">
        <w:rPr>
          <w:bCs/>
        </w:rPr>
        <w:t xml:space="preserve"> function in the </w:t>
      </w:r>
      <w:r w:rsidR="00D05104" w:rsidRPr="007D75C0">
        <w:rPr>
          <w:bCs/>
          <w:i/>
        </w:rPr>
        <w:t>rms</w:t>
      </w:r>
      <w:r w:rsidR="00D05104">
        <w:rPr>
          <w:bCs/>
        </w:rPr>
        <w:t xml:space="preserve"> package</w:t>
      </w:r>
      <w:r w:rsidR="00487DE0">
        <w:rPr>
          <w:bCs/>
        </w:rPr>
        <w:t xml:space="preserve"> </w:t>
      </w:r>
      <w:r w:rsidR="00FC4B92">
        <w:rPr>
          <w:bCs/>
        </w:rPr>
        <w:t xml:space="preserve">in R </w:t>
      </w:r>
      <w:r w:rsidR="00487DE0">
        <w:rPr>
          <w:bCs/>
        </w:rPr>
        <w:t>(v6.2-0)</w:t>
      </w:r>
      <w:r w:rsidR="00D05104">
        <w:rPr>
          <w:bCs/>
        </w:rPr>
        <w:t xml:space="preserve">. </w:t>
      </w:r>
      <w:r w:rsidR="00D26DAC">
        <w:rPr>
          <w:bCs/>
        </w:rPr>
        <w:t xml:space="preserve">Imputation of clinical variables was not used </w:t>
      </w:r>
      <w:r w:rsidR="00FC4B92">
        <w:rPr>
          <w:bCs/>
        </w:rPr>
        <w:t xml:space="preserve">for </w:t>
      </w:r>
      <w:r w:rsidR="00D26DAC">
        <w:rPr>
          <w:bCs/>
        </w:rPr>
        <w:t>any analys</w:t>
      </w:r>
      <w:r w:rsidR="00FC4B92">
        <w:rPr>
          <w:bCs/>
        </w:rPr>
        <w:t>e</w:t>
      </w:r>
      <w:r w:rsidR="00D26DAC">
        <w:rPr>
          <w:bCs/>
        </w:rPr>
        <w:t xml:space="preserve">s. </w:t>
      </w:r>
      <w:r w:rsidR="00E0518A" w:rsidRPr="00CE4E1F">
        <w:rPr>
          <w:bCs/>
        </w:rPr>
        <w:t xml:space="preserve">Propensity matching was performed using the </w:t>
      </w:r>
      <w:r w:rsidR="00E0518A" w:rsidRPr="007D75C0">
        <w:rPr>
          <w:bCs/>
          <w:i/>
        </w:rPr>
        <w:t>MatchIt</w:t>
      </w:r>
      <w:r w:rsidR="00E0518A" w:rsidRPr="00CE4E1F">
        <w:rPr>
          <w:bCs/>
        </w:rPr>
        <w:t xml:space="preserve"> package </w:t>
      </w:r>
      <w:r w:rsidR="00487DE0">
        <w:rPr>
          <w:bCs/>
        </w:rPr>
        <w:t xml:space="preserve">(v4.3.3) </w:t>
      </w:r>
      <w:r w:rsidR="00E0518A" w:rsidRPr="00CE4E1F">
        <w:rPr>
          <w:bCs/>
        </w:rPr>
        <w:t xml:space="preserve">in R, with default settings, using nearest neighbor matching with caliper set to 0.2 and ratio of 3:1. </w:t>
      </w:r>
      <w:r w:rsidR="00AB433B">
        <w:rPr>
          <w:bCs/>
        </w:rPr>
        <w:t xml:space="preserve">Propensity matching was necessary due to selection bias among patients receiving </w:t>
      </w:r>
      <w:r w:rsidR="00D1020B">
        <w:rPr>
          <w:bCs/>
        </w:rPr>
        <w:t xml:space="preserve">postoperative </w:t>
      </w:r>
      <w:r w:rsidR="00AB433B">
        <w:rPr>
          <w:bCs/>
        </w:rPr>
        <w:t xml:space="preserve">radiotherapy in </w:t>
      </w:r>
      <w:r w:rsidR="00D1020B">
        <w:rPr>
          <w:bCs/>
        </w:rPr>
        <w:t xml:space="preserve">the multicenter </w:t>
      </w:r>
      <w:r w:rsidR="00AB433B">
        <w:rPr>
          <w:bCs/>
        </w:rPr>
        <w:t xml:space="preserve">retrospective </w:t>
      </w:r>
      <w:r w:rsidR="00D1020B">
        <w:rPr>
          <w:bCs/>
        </w:rPr>
        <w:t xml:space="preserve">clinical validation </w:t>
      </w:r>
      <w:r w:rsidR="00AB433B">
        <w:rPr>
          <w:bCs/>
        </w:rPr>
        <w:t xml:space="preserve">cohort (median </w:t>
      </w:r>
      <w:r w:rsidR="00D1020B">
        <w:rPr>
          <w:bCs/>
        </w:rPr>
        <w:t xml:space="preserve">gene expression </w:t>
      </w:r>
      <w:r w:rsidR="00AB433B">
        <w:rPr>
          <w:bCs/>
        </w:rPr>
        <w:t xml:space="preserve">risk score 0.55 with </w:t>
      </w:r>
      <w:r w:rsidR="00D1020B">
        <w:rPr>
          <w:bCs/>
        </w:rPr>
        <w:t xml:space="preserve">postoperative </w:t>
      </w:r>
      <w:r w:rsidR="00AB433B">
        <w:rPr>
          <w:bCs/>
        </w:rPr>
        <w:t xml:space="preserve">radiotherapy </w:t>
      </w:r>
      <w:r w:rsidR="00D1020B">
        <w:rPr>
          <w:bCs/>
        </w:rPr>
        <w:t xml:space="preserve">versus </w:t>
      </w:r>
      <w:r w:rsidR="00AB433B">
        <w:rPr>
          <w:bCs/>
        </w:rPr>
        <w:t xml:space="preserve">0.43 </w:t>
      </w:r>
      <w:r w:rsidR="00D1020B">
        <w:rPr>
          <w:bCs/>
        </w:rPr>
        <w:t>with postoperative surveillance</w:t>
      </w:r>
      <w:r w:rsidR="00AB433B">
        <w:rPr>
          <w:bCs/>
        </w:rPr>
        <w:t xml:space="preserve">, P&lt;0.0001). </w:t>
      </w:r>
      <w:r w:rsidR="009258CC" w:rsidRPr="00CE4E1F">
        <w:rPr>
          <w:bCs/>
        </w:rPr>
        <w:t xml:space="preserve">All statistical tests were two-tailed, </w:t>
      </w:r>
      <w:r w:rsidR="001B5D51">
        <w:rPr>
          <w:bCs/>
        </w:rPr>
        <w:t>P</w:t>
      </w:r>
      <w:r w:rsidR="009258CC" w:rsidRPr="00CE4E1F">
        <w:rPr>
          <w:bCs/>
        </w:rPr>
        <w:t xml:space="preserve">-values less than 0.05 were considered significant, and standard errors of the </w:t>
      </w:r>
      <w:r w:rsidR="00753A11" w:rsidRPr="00CE4E1F">
        <w:rPr>
          <w:bCs/>
        </w:rPr>
        <w:t>relevant statistic</w:t>
      </w:r>
      <w:r w:rsidR="009258CC" w:rsidRPr="00CE4E1F">
        <w:rPr>
          <w:bCs/>
        </w:rPr>
        <w:t xml:space="preserve"> are displayed unless otherwise specified.</w:t>
      </w:r>
      <w:r w:rsidR="0001190B" w:rsidRPr="00CE4E1F">
        <w:rPr>
          <w:bCs/>
        </w:rPr>
        <w:t xml:space="preserve"> </w:t>
      </w:r>
    </w:p>
    <w:p w14:paraId="369CD27B" w14:textId="77777777" w:rsidR="001B5D51" w:rsidRPr="00CE4E1F" w:rsidRDefault="001B5D51" w:rsidP="00742F09">
      <w:pPr>
        <w:spacing w:line="360" w:lineRule="auto"/>
        <w:ind w:firstLine="720"/>
        <w:contextualSpacing/>
        <w:jc w:val="both"/>
        <w:rPr>
          <w:bCs/>
        </w:rPr>
      </w:pPr>
    </w:p>
    <w:p w14:paraId="50D7AD61" w14:textId="59FBE2A7" w:rsidR="009F5517" w:rsidRPr="00CE4E1F" w:rsidRDefault="009F5517" w:rsidP="00742F09">
      <w:pPr>
        <w:spacing w:line="360" w:lineRule="auto"/>
        <w:contextualSpacing/>
        <w:jc w:val="both"/>
        <w:rPr>
          <w:bCs/>
          <w:i/>
          <w:iCs/>
        </w:rPr>
      </w:pPr>
      <w:r w:rsidRPr="00CE4E1F">
        <w:rPr>
          <w:bCs/>
          <w:i/>
          <w:iCs/>
        </w:rPr>
        <w:t xml:space="preserve">Data </w:t>
      </w:r>
      <w:r w:rsidR="00487DE0">
        <w:rPr>
          <w:bCs/>
          <w:i/>
          <w:iCs/>
        </w:rPr>
        <w:t xml:space="preserve">and </w:t>
      </w:r>
      <w:r w:rsidR="00915EDE">
        <w:rPr>
          <w:bCs/>
          <w:i/>
          <w:iCs/>
        </w:rPr>
        <w:t>c</w:t>
      </w:r>
      <w:r w:rsidR="00487DE0">
        <w:rPr>
          <w:bCs/>
          <w:i/>
          <w:iCs/>
        </w:rPr>
        <w:t xml:space="preserve">ode </w:t>
      </w:r>
      <w:r w:rsidRPr="00CE4E1F">
        <w:rPr>
          <w:bCs/>
          <w:i/>
          <w:iCs/>
        </w:rPr>
        <w:t>availability</w:t>
      </w:r>
    </w:p>
    <w:p w14:paraId="0F2457DC" w14:textId="48C9823B" w:rsidR="009F5517" w:rsidRPr="001A0DD9" w:rsidRDefault="009F5517" w:rsidP="00742F09">
      <w:pPr>
        <w:spacing w:line="360" w:lineRule="auto"/>
        <w:contextualSpacing/>
        <w:jc w:val="both"/>
        <w:rPr>
          <w:bCs/>
        </w:rPr>
      </w:pPr>
      <w:r w:rsidRPr="00CE4E1F">
        <w:rPr>
          <w:bCs/>
        </w:rPr>
        <w:tab/>
      </w:r>
      <w:r w:rsidR="00487DE0">
        <w:rPr>
          <w:bCs/>
        </w:rPr>
        <w:t xml:space="preserve">Raw data from </w:t>
      </w:r>
      <w:r w:rsidR="00E96977">
        <w:rPr>
          <w:bCs/>
        </w:rPr>
        <w:t xml:space="preserve">Nanostring </w:t>
      </w:r>
      <w:r w:rsidR="00487DE0">
        <w:rPr>
          <w:bCs/>
        </w:rPr>
        <w:t xml:space="preserve">targeted gene expression panels are deposited </w:t>
      </w:r>
      <w:r w:rsidR="00E96977">
        <w:rPr>
          <w:bCs/>
        </w:rPr>
        <w:t>i</w:t>
      </w:r>
      <w:r w:rsidR="00487DE0">
        <w:rPr>
          <w:bCs/>
        </w:rPr>
        <w:t>n</w:t>
      </w:r>
      <w:r w:rsidR="00E96977">
        <w:rPr>
          <w:bCs/>
        </w:rPr>
        <w:t xml:space="preserve"> the</w:t>
      </w:r>
      <w:r w:rsidR="00487DE0">
        <w:rPr>
          <w:bCs/>
        </w:rPr>
        <w:t xml:space="preserve"> </w:t>
      </w:r>
      <w:r w:rsidR="00E96977">
        <w:rPr>
          <w:bCs/>
        </w:rPr>
        <w:t xml:space="preserve">NCBI Gene Expression </w:t>
      </w:r>
      <w:r w:rsidR="00E96977" w:rsidRPr="00E96977">
        <w:rPr>
          <w:bCs/>
        </w:rPr>
        <w:t xml:space="preserve">Omnibus </w:t>
      </w:r>
      <w:r w:rsidR="00487DE0" w:rsidRPr="00E96977">
        <w:rPr>
          <w:bCs/>
        </w:rPr>
        <w:t>(</w:t>
      </w:r>
      <w:r w:rsidR="00E96977" w:rsidRPr="009C1654">
        <w:t>https://www.ncbi.nlm.nih.gov/geo/</w:t>
      </w:r>
      <w:r w:rsidR="00487DE0" w:rsidRPr="00E96977">
        <w:rPr>
          <w:bCs/>
        </w:rPr>
        <w:t>)</w:t>
      </w:r>
      <w:r w:rsidR="00E96977">
        <w:rPr>
          <w:bCs/>
        </w:rPr>
        <w:t xml:space="preserve"> under accession numbe</w:t>
      </w:r>
      <w:r w:rsidR="00080869">
        <w:rPr>
          <w:bCs/>
        </w:rPr>
        <w:t xml:space="preserve">r </w:t>
      </w:r>
      <w:r w:rsidR="00080869" w:rsidRPr="00080869">
        <w:rPr>
          <w:bCs/>
        </w:rPr>
        <w:t>GSE222054</w:t>
      </w:r>
      <w:r w:rsidR="00080869">
        <w:rPr>
          <w:bCs/>
        </w:rPr>
        <w:t xml:space="preserve">. </w:t>
      </w:r>
      <w:r w:rsidR="00C82F33">
        <w:rPr>
          <w:bCs/>
        </w:rPr>
        <w:t xml:space="preserve">Raw DNA methylation </w:t>
      </w:r>
      <w:r w:rsidR="00487DE0">
        <w:rPr>
          <w:bCs/>
        </w:rPr>
        <w:t xml:space="preserve">data from </w:t>
      </w:r>
      <w:r w:rsidR="00E96977">
        <w:rPr>
          <w:bCs/>
        </w:rPr>
        <w:t xml:space="preserve">the </w:t>
      </w:r>
      <w:r w:rsidR="00487DE0">
        <w:rPr>
          <w:bCs/>
        </w:rPr>
        <w:t>UCSF</w:t>
      </w:r>
      <w:r w:rsidR="00E96977">
        <w:rPr>
          <w:bCs/>
        </w:rPr>
        <w:t xml:space="preserve"> </w:t>
      </w:r>
      <w:r w:rsidR="00C82F33">
        <w:rPr>
          <w:bCs/>
        </w:rPr>
        <w:t>WHO grade 2 or grade 3 validation</w:t>
      </w:r>
      <w:r w:rsidR="00E96977">
        <w:rPr>
          <w:bCs/>
        </w:rPr>
        <w:t xml:space="preserve"> </w:t>
      </w:r>
      <w:r w:rsidR="00C82F33">
        <w:rPr>
          <w:bCs/>
        </w:rPr>
        <w:t xml:space="preserve">cohort and the RTOG 0539 validation cohort are available under accession number </w:t>
      </w:r>
      <w:r w:rsidR="00080869" w:rsidRPr="00080869">
        <w:rPr>
          <w:bCs/>
        </w:rPr>
        <w:t>GSE221029</w:t>
      </w:r>
      <w:r w:rsidR="00487DE0">
        <w:rPr>
          <w:bCs/>
        </w:rPr>
        <w:t xml:space="preserve">. Raw amplicon </w:t>
      </w:r>
      <w:r w:rsidR="00487DE0">
        <w:rPr>
          <w:bCs/>
        </w:rPr>
        <w:lastRenderedPageBreak/>
        <w:t xml:space="preserve">and targeted exome sequencing data </w:t>
      </w:r>
      <w:r w:rsidR="00B639DD">
        <w:rPr>
          <w:bCs/>
        </w:rPr>
        <w:t xml:space="preserve">from discovery and validation cohort </w:t>
      </w:r>
      <w:r w:rsidR="001A0DD9">
        <w:rPr>
          <w:bCs/>
        </w:rPr>
        <w:t xml:space="preserve">meningiomas </w:t>
      </w:r>
      <w:r w:rsidR="00487DE0">
        <w:rPr>
          <w:bCs/>
        </w:rPr>
        <w:t xml:space="preserve">are deposited </w:t>
      </w:r>
      <w:r w:rsidR="00B639DD">
        <w:rPr>
          <w:bCs/>
        </w:rPr>
        <w:t xml:space="preserve">in the NCBI </w:t>
      </w:r>
      <w:r w:rsidR="00487DE0">
        <w:rPr>
          <w:bCs/>
        </w:rPr>
        <w:t>S</w:t>
      </w:r>
      <w:r w:rsidR="00B639DD">
        <w:rPr>
          <w:bCs/>
        </w:rPr>
        <w:t>equencing Reads Archive (</w:t>
      </w:r>
      <w:r w:rsidR="00B639DD" w:rsidRPr="00B639DD">
        <w:rPr>
          <w:bCs/>
        </w:rPr>
        <w:t>https://www.ncbi.nlm.nih.gov/sra</w:t>
      </w:r>
      <w:r w:rsidR="00B639DD">
        <w:rPr>
          <w:bCs/>
        </w:rPr>
        <w:t xml:space="preserve">) under </w:t>
      </w:r>
      <w:r w:rsidR="00080869">
        <w:rPr>
          <w:bCs/>
        </w:rPr>
        <w:t>project</w:t>
      </w:r>
      <w:r w:rsidR="00B639DD">
        <w:rPr>
          <w:bCs/>
        </w:rPr>
        <w:t xml:space="preserve"> number</w:t>
      </w:r>
      <w:r w:rsidR="00080869">
        <w:rPr>
          <w:bCs/>
        </w:rPr>
        <w:t xml:space="preserve">s </w:t>
      </w:r>
      <w:r w:rsidR="00080869" w:rsidRPr="00080869">
        <w:rPr>
          <w:bCs/>
        </w:rPr>
        <w:t>PRJNA916225</w:t>
      </w:r>
      <w:r w:rsidR="00080869">
        <w:rPr>
          <w:bCs/>
        </w:rPr>
        <w:t xml:space="preserve"> and</w:t>
      </w:r>
      <w:r w:rsidR="00B639DD">
        <w:rPr>
          <w:bCs/>
        </w:rPr>
        <w:t xml:space="preserve"> </w:t>
      </w:r>
      <w:r w:rsidR="00080869" w:rsidRPr="00080869">
        <w:rPr>
          <w:bCs/>
        </w:rPr>
        <w:t>PRJNA916253</w:t>
      </w:r>
      <w:r w:rsidR="00487DE0">
        <w:rPr>
          <w:bCs/>
        </w:rPr>
        <w:t xml:space="preserve">. Matrices containing TPM data from </w:t>
      </w:r>
      <w:r w:rsidR="001A0DD9">
        <w:rPr>
          <w:bCs/>
        </w:rPr>
        <w:t xml:space="preserve">RNA sequencing </w:t>
      </w:r>
      <w:r w:rsidR="00487DE0">
        <w:rPr>
          <w:bCs/>
        </w:rPr>
        <w:t xml:space="preserve">cohorts used </w:t>
      </w:r>
      <w:r w:rsidR="001A0DD9">
        <w:rPr>
          <w:bCs/>
        </w:rPr>
        <w:t xml:space="preserve">for </w:t>
      </w:r>
      <w:r w:rsidR="00487DE0">
        <w:rPr>
          <w:bCs/>
        </w:rPr>
        <w:t xml:space="preserve">analytical validation are </w:t>
      </w:r>
      <w:r w:rsidR="00487DE0" w:rsidRPr="001A0DD9">
        <w:rPr>
          <w:bCs/>
        </w:rPr>
        <w:t>deposited along with code on github (</w:t>
      </w:r>
      <w:r w:rsidR="008756B4" w:rsidRPr="008756B4">
        <w:rPr>
          <w:bCs/>
        </w:rPr>
        <w:t>https://github.com/william-c-chen/Meningioma_GE_Biomarker</w:t>
      </w:r>
      <w:r w:rsidR="00487DE0" w:rsidRPr="001A0DD9">
        <w:rPr>
          <w:bCs/>
        </w:rPr>
        <w:t>)</w:t>
      </w:r>
      <w:r w:rsidR="00080869">
        <w:rPr>
          <w:bCs/>
        </w:rPr>
        <w:t xml:space="preserve">. </w:t>
      </w:r>
      <w:r w:rsidR="001A0DD9">
        <w:rPr>
          <w:bCs/>
        </w:rPr>
        <w:t xml:space="preserve">Accession numbers and publications </w:t>
      </w:r>
      <w:r w:rsidR="00AA2CC7">
        <w:rPr>
          <w:bCs/>
        </w:rPr>
        <w:t>containing previously reported</w:t>
      </w:r>
      <w:r w:rsidR="001A0DD9">
        <w:rPr>
          <w:bCs/>
        </w:rPr>
        <w:t xml:space="preserve"> data </w:t>
      </w:r>
      <w:r w:rsidR="00AA2CC7">
        <w:rPr>
          <w:bCs/>
        </w:rPr>
        <w:t>are available in Table S4.</w:t>
      </w:r>
      <w:r w:rsidR="001A0DD9">
        <w:rPr>
          <w:bCs/>
        </w:rPr>
        <w:t xml:space="preserve"> </w:t>
      </w:r>
      <w:r w:rsidR="001A0DD9" w:rsidRPr="009C1654">
        <w:rPr>
          <w:color w:val="000000" w:themeColor="text1"/>
        </w:rPr>
        <w:t>The publicly available GRCh38 (hg38</w:t>
      </w:r>
      <w:r w:rsidR="001A0DD9">
        <w:rPr>
          <w:color w:val="000000" w:themeColor="text1"/>
        </w:rPr>
        <w:t xml:space="preserve">), </w:t>
      </w:r>
      <w:r w:rsidR="001A0DD9" w:rsidRPr="009C1654">
        <w:rPr>
          <w:color w:val="000000" w:themeColor="text1"/>
        </w:rPr>
        <w:t>CRCh37.p13 (hg19</w:t>
      </w:r>
      <w:r w:rsidR="001A0DD9">
        <w:rPr>
          <w:color w:val="000000" w:themeColor="text1"/>
        </w:rPr>
        <w:t xml:space="preserve">), </w:t>
      </w:r>
      <w:r w:rsidR="001A0DD9" w:rsidRPr="009C1654">
        <w:rPr>
          <w:color w:val="000000" w:themeColor="text1"/>
        </w:rPr>
        <w:t>and Kallisto index v10 datasets were used in this study.</w:t>
      </w:r>
    </w:p>
    <w:p w14:paraId="3E78B632" w14:textId="3B196225" w:rsidR="001615EF" w:rsidRPr="00CE4E1F" w:rsidRDefault="00017C3F" w:rsidP="00742F09">
      <w:pPr>
        <w:spacing w:line="360" w:lineRule="auto"/>
        <w:contextualSpacing/>
        <w:jc w:val="both"/>
        <w:rPr>
          <w:b/>
        </w:rPr>
      </w:pPr>
      <w:r w:rsidRPr="001A0DD9">
        <w:rPr>
          <w:b/>
        </w:rPr>
        <w:br w:type="column"/>
      </w:r>
      <w:r w:rsidR="001615EF" w:rsidRPr="00CE4E1F">
        <w:rPr>
          <w:b/>
        </w:rPr>
        <w:lastRenderedPageBreak/>
        <w:t xml:space="preserve">Figure S1. Gene expression </w:t>
      </w:r>
      <w:r w:rsidR="00FC4B92">
        <w:rPr>
          <w:b/>
        </w:rPr>
        <w:t>biomarker</w:t>
      </w:r>
      <w:r w:rsidR="001615EF" w:rsidRPr="00CE4E1F">
        <w:rPr>
          <w:b/>
        </w:rPr>
        <w:t xml:space="preserve"> development. </w:t>
      </w:r>
    </w:p>
    <w:p w14:paraId="5B625424" w14:textId="5258F6D4" w:rsidR="00F17756" w:rsidRDefault="00CA5B59" w:rsidP="00742F09">
      <w:pPr>
        <w:spacing w:line="360" w:lineRule="auto"/>
        <w:contextualSpacing/>
        <w:jc w:val="both"/>
      </w:pPr>
      <w:r>
        <w:rPr>
          <w:noProof/>
        </w:rPr>
        <w:drawing>
          <wp:inline distT="0" distB="0" distL="0" distR="0" wp14:anchorId="4DD32CB6" wp14:editId="346F8307">
            <wp:extent cx="5943600" cy="352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5943600" cy="3521075"/>
                    </a:xfrm>
                    <a:prstGeom prst="rect">
                      <a:avLst/>
                    </a:prstGeom>
                  </pic:spPr>
                </pic:pic>
              </a:graphicData>
            </a:graphic>
          </wp:inline>
        </w:drawing>
      </w:r>
      <w:r w:rsidR="001615EF" w:rsidRPr="00CE4E1F">
        <w:t xml:space="preserve">Panel A shows concordance index </w:t>
      </w:r>
      <w:r w:rsidR="009E2362">
        <w:t xml:space="preserve">(c-index) </w:t>
      </w:r>
      <w:r w:rsidR="001615EF" w:rsidRPr="00CE4E1F">
        <w:t xml:space="preserve">for LFFR models based on meningioma </w:t>
      </w:r>
      <w:r w:rsidR="00AE7027" w:rsidRPr="00CE4E1F">
        <w:t xml:space="preserve">Nanostring </w:t>
      </w:r>
      <w:r w:rsidR="001615EF" w:rsidRPr="00CE4E1F">
        <w:t>targeted gene expression profiling plotted against the log of the lambda parameter</w:t>
      </w:r>
      <w:r w:rsidR="008F2730" w:rsidRPr="00CE4E1F">
        <w:t xml:space="preserve"> during algorithm training</w:t>
      </w:r>
      <w:r w:rsidR="00C863E2">
        <w:t xml:space="preserve">. Error bars show </w:t>
      </w:r>
      <w:r w:rsidR="00A3611D" w:rsidRPr="00CE4E1F">
        <w:t>95% confidence intervals</w:t>
      </w:r>
      <w:r w:rsidR="001615EF" w:rsidRPr="00CE4E1F">
        <w:t xml:space="preserve">. </w:t>
      </w:r>
      <w:r w:rsidR="008F2730" w:rsidRPr="00CE4E1F">
        <w:t>Candidate model p</w:t>
      </w:r>
      <w:r w:rsidR="001615EF" w:rsidRPr="00CE4E1F">
        <w:t xml:space="preserve">erformance was estimated using 10-fold cross validation in the </w:t>
      </w:r>
      <w:r w:rsidR="00C863E2">
        <w:t xml:space="preserve">UCSF </w:t>
      </w:r>
      <w:r w:rsidR="001615EF" w:rsidRPr="00CE4E1F">
        <w:t>discovery cohort (</w:t>
      </w:r>
      <w:r w:rsidR="00B456CF">
        <w:t>N</w:t>
      </w:r>
      <w:r w:rsidR="001615EF" w:rsidRPr="00CE4E1F">
        <w:t>=173)</w:t>
      </w:r>
      <w:r w:rsidR="008F2730" w:rsidRPr="00CE4E1F">
        <w:t xml:space="preserve">. An optimal </w:t>
      </w:r>
      <w:r w:rsidR="001615EF" w:rsidRPr="00CE4E1F">
        <w:t xml:space="preserve">gene </w:t>
      </w:r>
      <w:r w:rsidR="008F2730" w:rsidRPr="00CE4E1F">
        <w:t xml:space="preserve">set </w:t>
      </w:r>
      <w:r w:rsidR="00AD6CC7" w:rsidRPr="00CE4E1F">
        <w:t xml:space="preserve">(N=34 genes, </w:t>
      </w:r>
      <w:r w:rsidR="002F1F99">
        <w:t xml:space="preserve">dotted lines </w:t>
      </w:r>
      <w:r w:rsidR="00AE7027" w:rsidRPr="00CE4E1F">
        <w:t>T</w:t>
      </w:r>
      <w:r w:rsidR="00AD6CC7" w:rsidRPr="00CE4E1F">
        <w:t xml:space="preserve">able </w:t>
      </w:r>
      <w:r w:rsidR="00BD7064" w:rsidRPr="00CE4E1F">
        <w:t>S3</w:t>
      </w:r>
      <w:r w:rsidR="00AD6CC7" w:rsidRPr="00CE4E1F">
        <w:t xml:space="preserve">) </w:t>
      </w:r>
      <w:r w:rsidR="008F2730" w:rsidRPr="00CE4E1F">
        <w:t xml:space="preserve">was selected </w:t>
      </w:r>
      <w:r w:rsidR="001615EF" w:rsidRPr="00CE4E1F">
        <w:t>within 1 standard error of the model achieving maximal c-index to reduce over-fitting. The number of genes in each model is displayed at the top of the graph.</w:t>
      </w:r>
      <w:r w:rsidR="008F2730" w:rsidRPr="00CE4E1F">
        <w:t xml:space="preserve"> In order to further reduce over-fitting</w:t>
      </w:r>
      <w:r w:rsidR="00AE7027" w:rsidRPr="00CE4E1F">
        <w:t xml:space="preserve">, </w:t>
      </w:r>
      <w:r w:rsidR="00023AD5" w:rsidRPr="00CE4E1F">
        <w:t>improve calibration and stability</w:t>
      </w:r>
      <w:r w:rsidR="008F2730" w:rsidRPr="00CE4E1F">
        <w:t xml:space="preserve">, </w:t>
      </w:r>
      <w:r w:rsidR="00AE7027" w:rsidRPr="00CE4E1F">
        <w:t>and</w:t>
      </w:r>
      <w:r w:rsidR="008F2730" w:rsidRPr="00CE4E1F">
        <w:t xml:space="preserve"> facilitate risk score</w:t>
      </w:r>
      <w:r w:rsidR="00AE7027" w:rsidRPr="00CE4E1F">
        <w:t xml:space="preserve"> calculations</w:t>
      </w:r>
      <w:r w:rsidR="008F2730" w:rsidRPr="00CE4E1F">
        <w:t xml:space="preserve"> using </w:t>
      </w:r>
      <w:r w:rsidR="00AE7027" w:rsidRPr="00CE4E1F">
        <w:t>FFPE meningiomas</w:t>
      </w:r>
      <w:r w:rsidR="00790BB6" w:rsidRPr="00CE4E1F">
        <w:t xml:space="preserve"> or </w:t>
      </w:r>
      <w:r w:rsidR="002D2B8C">
        <w:t xml:space="preserve">gene expression quantification from </w:t>
      </w:r>
      <w:r w:rsidR="00790BB6" w:rsidRPr="00CE4E1F">
        <w:t>RNA sequencing</w:t>
      </w:r>
      <w:r w:rsidR="002D2B8C">
        <w:t xml:space="preserve"> or microarrays (Figure S4)</w:t>
      </w:r>
      <w:r w:rsidR="00640788" w:rsidRPr="00CE4E1F">
        <w:t>, bootstrap aggregation</w:t>
      </w:r>
      <w:r w:rsidR="00680303" w:rsidRPr="00CE4E1F">
        <w:fldChar w:fldCharType="begin" w:fldLock="1"/>
      </w:r>
      <w:r w:rsidR="000F4EF5">
        <w:instrText>ADDIN CSL_CITATION {"citationItems":[{"id":"ITEM-1","itemData":{"ISBN":"0885-6125","ISSN":"0885-6125","PMID":"17634459","abstract":"Abstract Bagging predictors is a method for generating multiple versions of a predictor and using these to get an aggregated predictor . The aggregation averages over the versions when predicting a numerical outcome and does a plurality vote when predicting a class. ... \\n","author":[{"dropping-particle":"","family":"Breiman","given":"L","non-dropping-particle":"","parse-names":false,"suffix":""}],"container-title":"Machine learning","id":"ITEM-1","issue":"24","issued":{"date-parts":[["1996"]]},"page":"123-140","title":"Bagging predictors - Springer","type":"article-journal"},"uris":["http://www.mendeley.com/documents/?uuid=505161e0-a490-480c-b666-730d5653fc4c"]}],"mendeley":{"formattedCitation":"&lt;sup&gt;6&lt;/sup&gt;","plainTextFormattedCitation":"6","previouslyFormattedCitation":"&lt;sup&gt;6&lt;/sup&gt;"},"properties":{"noteIndex":0},"schema":"https://github.com/citation-style-language/schema/raw/master/csl-citation.json"}</w:instrText>
      </w:r>
      <w:r w:rsidR="00680303" w:rsidRPr="00CE4E1F">
        <w:fldChar w:fldCharType="separate"/>
      </w:r>
      <w:r w:rsidR="000F4EF5" w:rsidRPr="000F4EF5">
        <w:rPr>
          <w:noProof/>
          <w:vertAlign w:val="superscript"/>
        </w:rPr>
        <w:t>6</w:t>
      </w:r>
      <w:r w:rsidR="00680303" w:rsidRPr="00CE4E1F">
        <w:fldChar w:fldCharType="end"/>
      </w:r>
      <w:r w:rsidR="008F2730" w:rsidRPr="00CE4E1F">
        <w:t xml:space="preserve"> wa</w:t>
      </w:r>
      <w:r w:rsidR="00790BB6" w:rsidRPr="00CE4E1F">
        <w:t xml:space="preserve">s used to train 500 ridge-regression sub-models </w:t>
      </w:r>
      <w:r w:rsidR="00AD6CC7" w:rsidRPr="00CE4E1F">
        <w:t>using</w:t>
      </w:r>
      <w:r w:rsidR="00790BB6" w:rsidRPr="00CE4E1F">
        <w:t xml:space="preserve"> the normalized and log-transformed gene counts as input</w:t>
      </w:r>
      <w:r w:rsidR="009B29C7">
        <w:t>s</w:t>
      </w:r>
      <w:r w:rsidR="00790BB6" w:rsidRPr="00CE4E1F">
        <w:t xml:space="preserve"> and </w:t>
      </w:r>
      <w:r w:rsidR="009B2835">
        <w:t>discovery</w:t>
      </w:r>
      <w:r w:rsidR="009B2835" w:rsidRPr="00CE4E1F">
        <w:t xml:space="preserve"> </w:t>
      </w:r>
      <w:r w:rsidR="00790BB6" w:rsidRPr="00CE4E1F">
        <w:t>cohort risk scores</w:t>
      </w:r>
      <w:r w:rsidR="00623879" w:rsidRPr="00CE4E1F">
        <w:t xml:space="preserve"> between 0 and 1</w:t>
      </w:r>
      <w:r w:rsidR="00790BB6" w:rsidRPr="00CE4E1F">
        <w:t xml:space="preserve"> as target variable</w:t>
      </w:r>
      <w:r w:rsidR="00AE7027" w:rsidRPr="00CE4E1F">
        <w:t>s.</w:t>
      </w:r>
      <w:r w:rsidR="00790BB6" w:rsidRPr="00CE4E1F">
        <w:t xml:space="preserve"> </w:t>
      </w:r>
      <w:r w:rsidR="00AE7027" w:rsidRPr="00CE4E1F">
        <w:t xml:space="preserve">In brief, </w:t>
      </w:r>
      <w:r w:rsidR="00790BB6" w:rsidRPr="00CE4E1F">
        <w:t>this procedure nominates a</w:t>
      </w:r>
      <w:r w:rsidR="00623879" w:rsidRPr="00CE4E1F">
        <w:t xml:space="preserve"> bootstrap</w:t>
      </w:r>
      <w:r w:rsidR="00790BB6" w:rsidRPr="00CE4E1F">
        <w:t xml:space="preserve"> aggregated</w:t>
      </w:r>
      <w:r w:rsidR="008F2730" w:rsidRPr="00CE4E1F">
        <w:t xml:space="preserve"> risk score</w:t>
      </w:r>
      <w:r w:rsidR="00790BB6" w:rsidRPr="00CE4E1F">
        <w:t xml:space="preserve"> defined as the arithmetic mean across sub-model risk scores. </w:t>
      </w:r>
      <w:r w:rsidR="001615EF" w:rsidRPr="00CE4E1F">
        <w:t>Panel B shows log</w:t>
      </w:r>
      <w:r w:rsidR="001615EF" w:rsidRPr="00CE4E1F">
        <w:rPr>
          <w:vertAlign w:val="subscript"/>
        </w:rPr>
        <w:t>2</w:t>
      </w:r>
      <w:r w:rsidR="001615EF" w:rsidRPr="00CE4E1F">
        <w:t xml:space="preserve"> values for Nanostring counts or RNA sequencing </w:t>
      </w:r>
      <w:r w:rsidR="009A5EE7">
        <w:t xml:space="preserve">data </w:t>
      </w:r>
      <w:r w:rsidR="001615EF" w:rsidRPr="00CE4E1F">
        <w:t>(transcripts per million, TPM) for the 34 genes comprising the gene expression risk score</w:t>
      </w:r>
      <w:r w:rsidR="009B755E" w:rsidRPr="00CE4E1F">
        <w:t xml:space="preserve"> in the frozen meningioma </w:t>
      </w:r>
      <w:r w:rsidR="00C863E2">
        <w:t xml:space="preserve">from the UCSF </w:t>
      </w:r>
      <w:r w:rsidR="009B755E" w:rsidRPr="00CE4E1F">
        <w:t>discovery cohort</w:t>
      </w:r>
      <w:r w:rsidR="00C863E2">
        <w:t xml:space="preserve"> (N=173)</w:t>
      </w:r>
      <w:r w:rsidR="001615EF" w:rsidRPr="00CE4E1F">
        <w:t>, revealing high concordance with a</w:t>
      </w:r>
      <w:r w:rsidR="004F23F0" w:rsidRPr="00CE4E1F">
        <w:t xml:space="preserve">n </w:t>
      </w:r>
      <w:r w:rsidR="001615EF" w:rsidRPr="007D75C0">
        <w:rPr>
          <w:iCs/>
        </w:rPr>
        <w:t>R</w:t>
      </w:r>
      <w:r w:rsidR="001615EF" w:rsidRPr="00CE4E1F">
        <w:rPr>
          <w:vertAlign w:val="superscript"/>
        </w:rPr>
        <w:t>2</w:t>
      </w:r>
      <w:r w:rsidR="001615EF" w:rsidRPr="00CE4E1F">
        <w:t>=0.81 (</w:t>
      </w:r>
      <w:r w:rsidR="00C863E2">
        <w:t>P</w:t>
      </w:r>
      <w:r w:rsidR="001615EF" w:rsidRPr="00CE4E1F">
        <w:t>&lt;2.2x10</w:t>
      </w:r>
      <w:r w:rsidR="001615EF" w:rsidRPr="00CE4E1F">
        <w:rPr>
          <w:vertAlign w:val="superscript"/>
        </w:rPr>
        <w:t>-16</w:t>
      </w:r>
      <w:r w:rsidR="001615EF" w:rsidRPr="00CE4E1F">
        <w:t xml:space="preserve">). As an orthogonal measure of validation, a non-regularized Cox model for LFFR using RNA </w:t>
      </w:r>
      <w:r w:rsidR="001615EF" w:rsidRPr="00CE4E1F">
        <w:lastRenderedPageBreak/>
        <w:t xml:space="preserve">sequencing TPMs for the same 34 genes also achieved excellent performance in the </w:t>
      </w:r>
      <w:r w:rsidR="00C863E2">
        <w:t xml:space="preserve">UCSF </w:t>
      </w:r>
      <w:r w:rsidR="001615EF" w:rsidRPr="00CE4E1F">
        <w:t>discovery cohort (</w:t>
      </w:r>
      <w:r w:rsidR="00C863E2">
        <w:t>N</w:t>
      </w:r>
      <w:r w:rsidR="001615EF" w:rsidRPr="00CE4E1F">
        <w:t xml:space="preserve">=173 meningiomas, LFFR c-index 0.89 </w:t>
      </w:r>
      <w:r w:rsidR="001615EF" w:rsidRPr="00CE4E1F">
        <w:sym w:font="Symbol" w:char="F0B1"/>
      </w:r>
      <w:r w:rsidR="001615EF" w:rsidRPr="00CE4E1F">
        <w:t xml:space="preserve"> 0.02, OS c-index 0.84 </w:t>
      </w:r>
      <w:r w:rsidR="001615EF" w:rsidRPr="00CE4E1F">
        <w:sym w:font="Symbol" w:char="F0B1"/>
      </w:r>
      <w:r w:rsidR="001615EF" w:rsidRPr="00CE4E1F">
        <w:t xml:space="preserve"> 0.02)</w:t>
      </w:r>
      <w:r w:rsidR="00640788" w:rsidRPr="00CE4E1F">
        <w:t xml:space="preserve">, </w:t>
      </w:r>
      <w:r w:rsidR="009B755E" w:rsidRPr="00CE4E1F">
        <w:t xml:space="preserve">and </w:t>
      </w:r>
      <w:r w:rsidR="00640788" w:rsidRPr="00CE4E1F">
        <w:t xml:space="preserve">significantly </w:t>
      </w:r>
      <w:r w:rsidR="009B755E" w:rsidRPr="00CE4E1F">
        <w:t xml:space="preserve">outperformed </w:t>
      </w:r>
      <w:r w:rsidR="00640788" w:rsidRPr="00CE4E1F">
        <w:t>10,000 randomly sampled sets of 34 genes</w:t>
      </w:r>
      <w:r w:rsidR="009B755E" w:rsidRPr="00CE4E1F">
        <w:t xml:space="preserve"> </w:t>
      </w:r>
      <w:r w:rsidR="00640788" w:rsidRPr="00CE4E1F">
        <w:t>(bootstrap P&lt;0.0001)</w:t>
      </w:r>
      <w:r w:rsidR="001615EF" w:rsidRPr="00CE4E1F">
        <w:t xml:space="preserve">. Panel C shows </w:t>
      </w:r>
      <w:r w:rsidR="00057C8A">
        <w:t>barriers to using RNA sequencing for targeted gene expression biomarker discovery in contrast to successes in using RNA sequencing for targeted gene expression biomarker validation (as described for the previous panel and shown in Figure S4). T</w:t>
      </w:r>
      <w:r w:rsidR="001615EF" w:rsidRPr="00CE4E1F">
        <w:t xml:space="preserve">he distribution of univariate LFFR Cox model </w:t>
      </w:r>
      <w:r w:rsidR="00C863E2">
        <w:t>P</w:t>
      </w:r>
      <w:r w:rsidR="001615EF" w:rsidRPr="00CE4E1F">
        <w:t xml:space="preserve">-values for all RNA sequencing genes </w:t>
      </w:r>
      <w:r w:rsidR="009B755E" w:rsidRPr="00CE4E1F">
        <w:t xml:space="preserve">in the </w:t>
      </w:r>
      <w:r w:rsidR="000440CB">
        <w:t xml:space="preserve">UCSF </w:t>
      </w:r>
      <w:r w:rsidR="009B755E" w:rsidRPr="00CE4E1F">
        <w:t xml:space="preserve">discovery cohort </w:t>
      </w:r>
      <w:r w:rsidR="00057C8A">
        <w:t xml:space="preserve">are shown </w:t>
      </w:r>
      <w:r w:rsidR="001615EF" w:rsidRPr="00CE4E1F">
        <w:t>(</w:t>
      </w:r>
      <w:r w:rsidR="00C863E2">
        <w:t>N</w:t>
      </w:r>
      <w:r w:rsidR="001615EF" w:rsidRPr="00CE4E1F">
        <w:t xml:space="preserve">=58,830 genes, </w:t>
      </w:r>
      <w:r w:rsidR="00C863E2">
        <w:t>N</w:t>
      </w:r>
      <w:r w:rsidR="001615EF" w:rsidRPr="00CE4E1F">
        <w:t xml:space="preserve">=173 meningiomas). A background uniform distribution of </w:t>
      </w:r>
      <w:r w:rsidR="000440CB">
        <w:t>P</w:t>
      </w:r>
      <w:r w:rsidR="001615EF" w:rsidRPr="00CE4E1F">
        <w:t xml:space="preserve">-values is evident, with a peak towards lower </w:t>
      </w:r>
      <w:r w:rsidR="000440CB">
        <w:t>P</w:t>
      </w:r>
      <w:r w:rsidR="001615EF" w:rsidRPr="00CE4E1F">
        <w:t xml:space="preserve">-values. 6904 </w:t>
      </w:r>
      <w:r w:rsidR="000440CB">
        <w:t>P</w:t>
      </w:r>
      <w:r w:rsidR="001615EF" w:rsidRPr="00CE4E1F">
        <w:t xml:space="preserve">-values were distributed between 0.6 and 0.8, serving as an estimate of the background </w:t>
      </w:r>
      <w:r w:rsidR="000440CB">
        <w:t>P</w:t>
      </w:r>
      <w:r w:rsidR="001615EF" w:rsidRPr="00CE4E1F">
        <w:t xml:space="preserve">-value frequency within a similar interval. Thus, between </w:t>
      </w:r>
      <w:r w:rsidR="000440CB">
        <w:t>P</w:t>
      </w:r>
      <w:r w:rsidR="001615EF" w:rsidRPr="00CE4E1F">
        <w:t xml:space="preserve">=0.0 and 0.2, at least 6904 of 17437 </w:t>
      </w:r>
      <w:r w:rsidR="000440CB">
        <w:t>P</w:t>
      </w:r>
      <w:r w:rsidR="001615EF" w:rsidRPr="00CE4E1F">
        <w:t xml:space="preserve">-values </w:t>
      </w:r>
      <w:r w:rsidR="000440CB" w:rsidRPr="00CE4E1F">
        <w:t xml:space="preserve">(40%) </w:t>
      </w:r>
      <w:r w:rsidR="001615EF" w:rsidRPr="00CE4E1F">
        <w:t xml:space="preserve">could be expected to be </w:t>
      </w:r>
      <w:r w:rsidR="00AD6CC7" w:rsidRPr="00CE4E1F">
        <w:t>false positives</w:t>
      </w:r>
      <w:r w:rsidR="001615EF" w:rsidRPr="00CE4E1F">
        <w:t xml:space="preserve"> rather than</w:t>
      </w:r>
      <w:r w:rsidR="00AD6CC7" w:rsidRPr="00CE4E1F">
        <w:t xml:space="preserve"> related to</w:t>
      </w:r>
      <w:r w:rsidR="001615EF" w:rsidRPr="00CE4E1F">
        <w:t xml:space="preserve"> </w:t>
      </w:r>
      <w:r w:rsidR="00AD6CC7" w:rsidRPr="00CE4E1F">
        <w:t xml:space="preserve">true </w:t>
      </w:r>
      <w:r w:rsidR="001615EF" w:rsidRPr="00CE4E1F">
        <w:t xml:space="preserve">biological </w:t>
      </w:r>
      <w:r w:rsidR="009B755E" w:rsidRPr="00CE4E1F">
        <w:t xml:space="preserve">or clinical </w:t>
      </w:r>
      <w:r w:rsidR="001615EF" w:rsidRPr="00CE4E1F">
        <w:t>significance. The true and false detection rate of biologically and clinically meaningful genes using RNA sequencing is complex to estimate, but spike-in experiments and simulations report false discovery rates across bioinformatic methods and experimental conditions between 10-75%, depending on the ground-truth prevalence of differentially-expressed genes</w:t>
      </w:r>
      <w:r w:rsidR="00680303" w:rsidRPr="00CE4E1F">
        <w:fldChar w:fldCharType="begin" w:fldLock="1"/>
      </w:r>
      <w:r w:rsidR="000F4EF5">
        <w:instrText>ADDIN CSL_CITATION {"citationItems":[{"id":"ITEM-1","itemData":{"DOI":"10.1371/journal.pone.0232271","ISSN":"19326203","PMID":"32353015","abstract":"Benchmarking RNA-seq differential expression analysis methods using spike-in and simulated RNA-seq data has often yielded inconsistent results. The spike-in data, which were generated from the same bulk RNA sample, only represent technical variability, making the test results less reliable. We compared the performance of 12 differential expression analysis methods for RNA-seq data, including recent variants in widely used software packages, using both RNA spike-in and simulation data for negative binomial (NB) model. Performance of edgeR, DESeq2, and ROTS was particularly different between the two benchmark tests. Then, each method was tested under most extensive simulation conditions especially demonstrating the large impacts of proportion, dispersion, and balance of differentially expressed (DE) genes. DESeq2, a robust version of edgeR (edgeR.rb), voom with TMM normalization (voom.tmm) and sample weights (voom.sw) showed an overall good performance regardless of presence of outliers and proportion of DE genes. The performance of RNA-seq DE gene analysis methods substantially depended on the benchmark used. Based on the simulation results, suitable methods were suggested under various test conditions.","author":[{"dropping-particle":"","family":"Baik","given":"Bukyung","non-dropping-particle":"","parse-names":false,"suffix":""},{"dropping-particle":"","family":"Yoon","given":"Sora","non-dropping-particle":"","parse-names":false,"suffix":""},{"dropping-particle":"","family":"Nam","given":"Dougu","non-dropping-particle":"","parse-names":false,"suffix":""}],"container-title":"PLoS ONE","id":"ITEM-1","issue":"4","issued":{"date-parts":[["2020"]]},"title":"Benchmarking RNA-seq differential expression analysis methods using spike-in and simulation data","type":"article-journal","volume":"15"},"uris":["http://www.mendeley.com/documents/?uuid=15e31f13-f711-44cd-ac9d-58912e4bcb14"]}],"mendeley":{"formattedCitation":"&lt;sup&gt;36&lt;/sup&gt;","plainTextFormattedCitation":"36","previouslyFormattedCitation":"&lt;sup&gt;36&lt;/sup&gt;"},"properties":{"noteIndex":0},"schema":"https://github.com/citation-style-language/schema/raw/master/csl-citation.json"}</w:instrText>
      </w:r>
      <w:r w:rsidR="00680303" w:rsidRPr="00CE4E1F">
        <w:fldChar w:fldCharType="separate"/>
      </w:r>
      <w:r w:rsidR="000F4EF5" w:rsidRPr="000F4EF5">
        <w:rPr>
          <w:noProof/>
          <w:vertAlign w:val="superscript"/>
        </w:rPr>
        <w:t>36</w:t>
      </w:r>
      <w:r w:rsidR="00680303" w:rsidRPr="00CE4E1F">
        <w:fldChar w:fldCharType="end"/>
      </w:r>
      <w:r w:rsidR="001615EF" w:rsidRPr="00CE4E1F">
        <w:t xml:space="preserve">. Panel D shows </w:t>
      </w:r>
      <w:r w:rsidR="00225599">
        <w:t>additional barriers to using RNA sequencing for targeted gene expression biomarker discovery. L</w:t>
      </w:r>
      <w:r w:rsidR="001615EF" w:rsidRPr="00CE4E1F">
        <w:t>og</w:t>
      </w:r>
      <w:r w:rsidR="001615EF" w:rsidRPr="00CE4E1F">
        <w:rPr>
          <w:vertAlign w:val="subscript"/>
        </w:rPr>
        <w:t>10</w:t>
      </w:r>
      <w:r w:rsidR="001615EF" w:rsidRPr="00CE4E1F">
        <w:t xml:space="preserve"> </w:t>
      </w:r>
      <m:oMath>
        <m:r>
          <w:rPr>
            <w:rFonts w:ascii="Cambria Math" w:hAnsi="Cambria Math"/>
          </w:rPr>
          <m:t>β</m:t>
        </m:r>
      </m:oMath>
      <w:r w:rsidR="001615EF" w:rsidRPr="00CE4E1F">
        <w:t xml:space="preserve"> coefficient magnitudes (red for positive coefficients</w:t>
      </w:r>
      <w:r w:rsidR="00A911C7">
        <w:t xml:space="preserve">, </w:t>
      </w:r>
      <w:r w:rsidR="001615EF" w:rsidRPr="00CE4E1F">
        <w:t>blue for negative coefficients) versus log</w:t>
      </w:r>
      <w:r w:rsidR="001615EF" w:rsidRPr="00CE4E1F">
        <w:rPr>
          <w:vertAlign w:val="subscript"/>
        </w:rPr>
        <w:t>2</w:t>
      </w:r>
      <w:r w:rsidR="001615EF" w:rsidRPr="00CE4E1F">
        <w:t xml:space="preserve"> transformed </w:t>
      </w:r>
      <w:r w:rsidR="000440CB">
        <w:t>P</w:t>
      </w:r>
      <w:r w:rsidR="001615EF" w:rsidRPr="00CE4E1F">
        <w:t>-values from individual Cox models for all RNA sequencing genes</w:t>
      </w:r>
      <w:r w:rsidR="00A911C7">
        <w:t xml:space="preserve"> from the UCSF discovery cohort are shown</w:t>
      </w:r>
      <w:r w:rsidR="001615EF" w:rsidRPr="00CE4E1F">
        <w:t xml:space="preserve">, again demonstrating </w:t>
      </w:r>
      <w:r w:rsidR="00AD6CC7" w:rsidRPr="00CE4E1F">
        <w:t>challenge</w:t>
      </w:r>
      <w:r w:rsidR="00A911C7">
        <w:t>s</w:t>
      </w:r>
      <w:r w:rsidR="00AD6CC7" w:rsidRPr="00CE4E1F">
        <w:t xml:space="preserve"> </w:t>
      </w:r>
      <w:r w:rsidR="00A911C7">
        <w:t>with</w:t>
      </w:r>
      <w:r w:rsidR="00A911C7" w:rsidRPr="00CE4E1F">
        <w:t xml:space="preserve"> </w:t>
      </w:r>
      <w:r w:rsidR="00AD6CC7" w:rsidRPr="00CE4E1F">
        <w:t>feature selection using sparse observations in high dimensional space</w:t>
      </w:r>
      <w:r w:rsidR="001615EF" w:rsidRPr="00CE4E1F">
        <w:t xml:space="preserve">. </w:t>
      </w:r>
      <w:r w:rsidR="000E539B">
        <w:t>Methods</w:t>
      </w:r>
      <w:r w:rsidR="001615EF" w:rsidRPr="00CE4E1F">
        <w:t xml:space="preserve"> of dimensional reduction such as gene-set/pathway enrichment analysis or network and clustering analyses represent important research developments, </w:t>
      </w:r>
      <w:r w:rsidR="00D56909">
        <w:t xml:space="preserve">but </w:t>
      </w:r>
      <w:r w:rsidR="001615EF" w:rsidRPr="00CE4E1F">
        <w:t>the reproducibility and clinical applicability of these methods for developing clinically relevant or robust biomarkers is yet to be well established despite prior efforts</w:t>
      </w:r>
      <w:r w:rsidR="00BC4582">
        <w:fldChar w:fldCharType="begin" w:fldLock="1"/>
      </w:r>
      <w:r w:rsidR="000F4EF5">
        <w:instrText>ADDIN CSL_CITATION {"citationItems":[{"id":"ITEM-1","itemData":{"DOI":"10.1158/0008-5472.CAN-13-3338","ISSN":"15387445","PMID":"25183786","abstract":"Accurate prognosis and prediction of response to therapy are essential for personalized treatment of cancer. Even though many prognostic gene lists and predictors have been proposed, especially for breast cancer, highthroughput \"omic\" methods have so far not revolutionized clinical practice, and their clinical utility has not been satisfactorily established. Different prognostic gene lists have very few shared genes, the biological meaning of most signatures is unclear, and the published success rates are considered to be overoptimistic. This review examines critically the manner in which prognostic classifiers are derived using machine-learning methods and suggests reasons for the shortcomings and problems listed above. Two approaches that may hold hope for obtaining improved prognosis are presented. Both are based on using existing prior knowledge; one proposes combining molecular \"omic\" predictors with established clinical ones, and the second infers biologically relevant pathway deregulation scores for each tumor from expression data, and uses this representation to study and stratify individual tumors. Approaches such as the second one are referred to in the physics literature as \"phenomenology\"; they will, hopefully, play a significant role in future studies of cancer.","author":[{"dropping-particle":"","family":"Domany","given":"Eytan","non-dropping-particle":"","parse-names":false,"suffix":""}],"container-title":"Cancer Research","id":"ITEM-1","issue":"17","issued":{"date-parts":[["2014"]]},"page":"4612-4621","title":"Using high-throughput transcriptomic data for prognosis: A critical overview and perspectives","type":"article-journal","volume":"74"},"uris":["http://www.mendeley.com/documents/?uuid=5453ef75-f206-4eab-8035-07440c8be52a"]}],"mendeley":{"formattedCitation":"&lt;sup&gt;37&lt;/sup&gt;","plainTextFormattedCitation":"37","previouslyFormattedCitation":"&lt;sup&gt;37&lt;/sup&gt;"},"properties":{"noteIndex":0},"schema":"https://github.com/citation-style-language/schema/raw/master/csl-citation.json"}</w:instrText>
      </w:r>
      <w:r w:rsidR="00BC4582">
        <w:fldChar w:fldCharType="separate"/>
      </w:r>
      <w:r w:rsidR="000F4EF5" w:rsidRPr="000F4EF5">
        <w:rPr>
          <w:noProof/>
          <w:vertAlign w:val="superscript"/>
        </w:rPr>
        <w:t>37</w:t>
      </w:r>
      <w:r w:rsidR="00BC4582">
        <w:fldChar w:fldCharType="end"/>
      </w:r>
      <w:r w:rsidR="0067349A">
        <w:t>.</w:t>
      </w:r>
      <w:r w:rsidR="00AD6CC7" w:rsidRPr="00CE4E1F">
        <w:t xml:space="preserve"> </w:t>
      </w:r>
      <w:r w:rsidR="000440CB">
        <w:t xml:space="preserve">Despite the limitations in using </w:t>
      </w:r>
      <w:r w:rsidR="00560B28">
        <w:t>unsupervised transcriptomics</w:t>
      </w:r>
      <w:r w:rsidR="000440CB">
        <w:t xml:space="preserve"> to discover or develop </w:t>
      </w:r>
      <w:r w:rsidR="00560B28">
        <w:t>clinical</w:t>
      </w:r>
      <w:r w:rsidR="008314BB">
        <w:t xml:space="preserve"> biomarkers, we show RNA sequencing can be used to deploy the 34-gene expression </w:t>
      </w:r>
      <w:r w:rsidR="002A15E2">
        <w:t>biomarker</w:t>
      </w:r>
      <w:r w:rsidR="00560B28">
        <w:t xml:space="preserve"> for meningioma</w:t>
      </w:r>
      <w:r w:rsidR="002A15E2">
        <w:t>s</w:t>
      </w:r>
      <w:r w:rsidR="00560B28">
        <w:t xml:space="preserve"> that was developed using Nanostring targeted gene expression profiling</w:t>
      </w:r>
      <w:r w:rsidR="008314BB">
        <w:t xml:space="preserve"> (Figure S4). </w:t>
      </w:r>
      <w:r w:rsidR="000440CB">
        <w:t xml:space="preserve"> </w:t>
      </w:r>
    </w:p>
    <w:p w14:paraId="407DF2B3" w14:textId="02E7BA44" w:rsidR="00C12BC2" w:rsidRPr="00CE4E1F" w:rsidRDefault="00C12BC2" w:rsidP="00742F09">
      <w:pPr>
        <w:spacing w:line="360" w:lineRule="auto"/>
        <w:ind w:firstLine="720"/>
        <w:contextualSpacing/>
        <w:jc w:val="both"/>
      </w:pPr>
      <w:r w:rsidRPr="00C12BC2">
        <w:t>We previously published results from a small pilot study investigating the feasibility of targeted gene expression profiling for estimating meningioma prognosis</w:t>
      </w:r>
      <w:r w:rsidR="003E4A83">
        <w:rPr>
          <w:vertAlign w:val="superscript"/>
        </w:rPr>
        <w:t>5</w:t>
      </w:r>
      <w:r w:rsidRPr="00C12BC2">
        <w:t>, using 96 meningiomas from UCSF as a discovery cohort (25 overlapping with the discovery cohort in the current study</w:t>
      </w:r>
      <w:r>
        <w:t xml:space="preserve">). </w:t>
      </w:r>
      <w:r w:rsidRPr="00C12BC2">
        <w:t xml:space="preserve">This pilot study suggested targeted gene expression profiling may be useful for meningioma risk </w:t>
      </w:r>
      <w:r w:rsidRPr="00C12BC2">
        <w:lastRenderedPageBreak/>
        <w:t xml:space="preserve">stratification, but was limited in several significant ways. First, </w:t>
      </w:r>
      <w:r>
        <w:t>the</w:t>
      </w:r>
      <w:r w:rsidRPr="00C12BC2">
        <w:t xml:space="preserve"> pilot study was comprised a very small sample size with very few events. Second, the Nanostring gene expression panel in our pilot study was a generic gene panel and was not tailored for meningioma biology. Most importantly, there were no meningioma specific reference or housekeeping genes in the panel of our pilot study. As a result, the method of normalization in our pilot prior study involved a global z-score across all genes within the panel, which was feasible due to the relatively large size of the pilot panel (N=266 genes). This method, however, may not be as effective for reproducibility in a clinical setting, when assessment of batch effect is not possible in an “N of one” sample. Thus, among the advances made in our current study is the identification and use of stable reference genes for within-sample normalization, and the demonstration of robustness across both frozen and FFPE samples and in multiple batches across time</w:t>
      </w:r>
      <w:r>
        <w:t xml:space="preserve"> (Figure S4)</w:t>
      </w:r>
      <w:r w:rsidRPr="00C12BC2">
        <w:t xml:space="preserve">. Because of these fundamental differences in normalization and gene panel size, the algorithms for generation of risk scores in our pilot study and in the </w:t>
      </w:r>
      <w:r w:rsidR="00B32251">
        <w:t>current</w:t>
      </w:r>
      <w:r w:rsidRPr="00C12BC2">
        <w:t xml:space="preserve"> study are not directly comparable, beyond a comparison of the genes selected. Overlapping genes between the 2 signatures were limited to 9 genes (</w:t>
      </w:r>
      <w:r w:rsidRPr="00C12BC2">
        <w:rPr>
          <w:i/>
        </w:rPr>
        <w:t>COL1A1, MMP9, PIM1, IGF2, KDR, CCND2, CCN1, TMEM30B, PGR</w:t>
      </w:r>
      <w:r w:rsidRPr="00C12BC2">
        <w:rPr>
          <w:iCs/>
        </w:rPr>
        <w:t>)</w:t>
      </w:r>
      <w:r w:rsidRPr="00C12BC2">
        <w:t xml:space="preserve">. A superficial comparison by training of Cox regression models with the 34-gene signature we report in the current study resulted in a higher c-index (0.82) as compared to the prior 36 gene signature (0.78), among samples with overlapping gene expression data encompassing the older signature (N=530 meningiomas). </w:t>
      </w:r>
    </w:p>
    <w:p w14:paraId="07E6D5C1" w14:textId="1A227189" w:rsidR="00797EA7" w:rsidRPr="00CE4E1F" w:rsidRDefault="00F17756" w:rsidP="00742F09">
      <w:pPr>
        <w:spacing w:line="360" w:lineRule="auto"/>
        <w:ind w:left="1440" w:hanging="1440"/>
        <w:contextualSpacing/>
        <w:jc w:val="both"/>
        <w:rPr>
          <w:b/>
        </w:rPr>
      </w:pPr>
      <w:r w:rsidRPr="00CE4E1F">
        <w:br w:type="column"/>
      </w:r>
      <w:r w:rsidR="00797EA7" w:rsidRPr="00CE4E1F">
        <w:rPr>
          <w:b/>
        </w:rPr>
        <w:lastRenderedPageBreak/>
        <w:t xml:space="preserve">Figure S2. Gene expression </w:t>
      </w:r>
      <w:r w:rsidR="006C12DD">
        <w:rPr>
          <w:b/>
        </w:rPr>
        <w:t>biomarker</w:t>
      </w:r>
      <w:r w:rsidR="006C12DD" w:rsidRPr="00CE4E1F">
        <w:rPr>
          <w:b/>
        </w:rPr>
        <w:t xml:space="preserve"> </w:t>
      </w:r>
      <w:r w:rsidR="00797EA7" w:rsidRPr="00CE4E1F">
        <w:rPr>
          <w:b/>
        </w:rPr>
        <w:t>characteristics in the discovery cohort.</w:t>
      </w:r>
    </w:p>
    <w:p w14:paraId="3296A44D" w14:textId="50F454D5" w:rsidR="00797EA7" w:rsidRPr="00CE4E1F" w:rsidRDefault="005F41B8" w:rsidP="00742F09">
      <w:pPr>
        <w:spacing w:line="360" w:lineRule="auto"/>
        <w:contextualSpacing/>
        <w:jc w:val="both"/>
        <w:rPr>
          <w:bCs/>
        </w:rPr>
      </w:pPr>
      <w:r w:rsidRPr="00CE4E1F">
        <w:rPr>
          <w:bCs/>
          <w:noProof/>
        </w:rPr>
        <w:drawing>
          <wp:inline distT="0" distB="0" distL="0" distR="0" wp14:anchorId="23750825" wp14:editId="3F68AE20">
            <wp:extent cx="5943600" cy="5349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png"/>
                    <pic:cNvPicPr/>
                  </pic:nvPicPr>
                  <pic:blipFill>
                    <a:blip r:embed="rId10"/>
                    <a:stretch>
                      <a:fillRect/>
                    </a:stretch>
                  </pic:blipFill>
                  <pic:spPr>
                    <a:xfrm>
                      <a:off x="0" y="0"/>
                      <a:ext cx="5943600" cy="5349240"/>
                    </a:xfrm>
                    <a:prstGeom prst="rect">
                      <a:avLst/>
                    </a:prstGeom>
                  </pic:spPr>
                </pic:pic>
              </a:graphicData>
            </a:graphic>
          </wp:inline>
        </w:drawing>
      </w:r>
      <w:r w:rsidRPr="00CE4E1F">
        <w:rPr>
          <w:bCs/>
        </w:rPr>
        <w:t xml:space="preserve">Panel A shows Gaussian fits to the distribution of gene expression risk scores within the </w:t>
      </w:r>
      <w:r w:rsidR="00560B28">
        <w:rPr>
          <w:bCs/>
        </w:rPr>
        <w:t xml:space="preserve">UCSF </w:t>
      </w:r>
      <w:r w:rsidRPr="00CE4E1F">
        <w:rPr>
          <w:bCs/>
        </w:rPr>
        <w:t xml:space="preserve">discovery cohort, stratified by cases </w:t>
      </w:r>
      <w:r w:rsidR="00560B28">
        <w:rPr>
          <w:bCs/>
        </w:rPr>
        <w:t>with</w:t>
      </w:r>
      <w:r w:rsidR="00560B28" w:rsidRPr="00CE4E1F">
        <w:rPr>
          <w:bCs/>
        </w:rPr>
        <w:t xml:space="preserve"> </w:t>
      </w:r>
      <w:r w:rsidRPr="00CE4E1F">
        <w:rPr>
          <w:bCs/>
        </w:rPr>
        <w:t xml:space="preserve">local recurrence (red) </w:t>
      </w:r>
      <w:r w:rsidR="00560B28">
        <w:rPr>
          <w:bCs/>
        </w:rPr>
        <w:t>or</w:t>
      </w:r>
      <w:r w:rsidR="00560B28" w:rsidRPr="00CE4E1F">
        <w:rPr>
          <w:bCs/>
        </w:rPr>
        <w:t xml:space="preserve"> </w:t>
      </w:r>
      <w:r w:rsidRPr="00CE4E1F">
        <w:rPr>
          <w:bCs/>
        </w:rPr>
        <w:t xml:space="preserve">without </w:t>
      </w:r>
      <w:r w:rsidR="00560B28">
        <w:rPr>
          <w:bCs/>
        </w:rPr>
        <w:t xml:space="preserve">local </w:t>
      </w:r>
      <w:r w:rsidRPr="00CE4E1F">
        <w:rPr>
          <w:bCs/>
        </w:rPr>
        <w:t>recurrence (blue)</w:t>
      </w:r>
      <w:r w:rsidR="002A15E2">
        <w:rPr>
          <w:bCs/>
        </w:rPr>
        <w:t xml:space="preserve"> on clinical follow up</w:t>
      </w:r>
      <w:r w:rsidRPr="00CE4E1F">
        <w:rPr>
          <w:bCs/>
        </w:rPr>
        <w:t xml:space="preserve">. The gene expression risk score </w:t>
      </w:r>
      <w:r w:rsidR="00560B28">
        <w:rPr>
          <w:bCs/>
        </w:rPr>
        <w:t>wa</w:t>
      </w:r>
      <w:r w:rsidRPr="00CE4E1F">
        <w:rPr>
          <w:bCs/>
        </w:rPr>
        <w:t>s also plotted against the time to censorship or local recurrence</w:t>
      </w:r>
      <w:r w:rsidR="00560B28">
        <w:rPr>
          <w:bCs/>
        </w:rPr>
        <w:t xml:space="preserve"> (right)</w:t>
      </w:r>
      <w:r w:rsidR="002A15E2">
        <w:rPr>
          <w:bCs/>
        </w:rPr>
        <w:t>, and h</w:t>
      </w:r>
      <w:r w:rsidRPr="00CE4E1F">
        <w:rPr>
          <w:bCs/>
        </w:rPr>
        <w:t xml:space="preserve">igher risk score correlated with greater risk of local recurrence </w:t>
      </w:r>
      <w:r w:rsidR="00560B28">
        <w:rPr>
          <w:bCs/>
        </w:rPr>
        <w:t>and shorter</w:t>
      </w:r>
      <w:r w:rsidRPr="00CE4E1F">
        <w:rPr>
          <w:bCs/>
        </w:rPr>
        <w:t xml:space="preserve"> time to recurrence. Panel B shows Kaplan Meier curves </w:t>
      </w:r>
      <w:r w:rsidR="00560B28">
        <w:rPr>
          <w:bCs/>
        </w:rPr>
        <w:t>for</w:t>
      </w:r>
      <w:r w:rsidR="00560B28" w:rsidRPr="00CE4E1F">
        <w:rPr>
          <w:bCs/>
        </w:rPr>
        <w:t xml:space="preserve"> </w:t>
      </w:r>
      <w:r w:rsidRPr="00CE4E1F">
        <w:rPr>
          <w:bCs/>
        </w:rPr>
        <w:t xml:space="preserve">local freedom from recurrence </w:t>
      </w:r>
      <w:r w:rsidR="00560B28">
        <w:rPr>
          <w:bCs/>
        </w:rPr>
        <w:t>or</w:t>
      </w:r>
      <w:r w:rsidR="00560B28" w:rsidRPr="00CE4E1F">
        <w:rPr>
          <w:bCs/>
        </w:rPr>
        <w:t xml:space="preserve"> </w:t>
      </w:r>
      <w:r w:rsidRPr="00CE4E1F">
        <w:rPr>
          <w:bCs/>
        </w:rPr>
        <w:t xml:space="preserve">overall survival </w:t>
      </w:r>
      <w:r w:rsidR="0000066E">
        <w:rPr>
          <w:bCs/>
        </w:rPr>
        <w:t xml:space="preserve">in the UCSF discovery cohort </w:t>
      </w:r>
      <w:r w:rsidRPr="00CE4E1F">
        <w:rPr>
          <w:bCs/>
        </w:rPr>
        <w:t xml:space="preserve">stratified by the gene expression </w:t>
      </w:r>
      <w:r w:rsidR="003E73AF">
        <w:rPr>
          <w:bCs/>
        </w:rPr>
        <w:t>risk score</w:t>
      </w:r>
      <w:r w:rsidRPr="00CE4E1F">
        <w:rPr>
          <w:bCs/>
        </w:rPr>
        <w:t xml:space="preserve">. </w:t>
      </w:r>
      <w:r w:rsidR="00D204D4" w:rsidRPr="00CE4E1F">
        <w:rPr>
          <w:bCs/>
        </w:rPr>
        <w:t xml:space="preserve">Panel </w:t>
      </w:r>
      <w:r w:rsidRPr="00CE4E1F">
        <w:rPr>
          <w:bCs/>
        </w:rPr>
        <w:t>C</w:t>
      </w:r>
      <w:r w:rsidR="00D204D4" w:rsidRPr="00CE4E1F">
        <w:rPr>
          <w:bCs/>
        </w:rPr>
        <w:t xml:space="preserve"> shows</w:t>
      </w:r>
      <w:r w:rsidR="009B755E" w:rsidRPr="00CE4E1F">
        <w:rPr>
          <w:bCs/>
        </w:rPr>
        <w:t xml:space="preserve"> </w:t>
      </w:r>
      <w:r w:rsidR="00D204D4" w:rsidRPr="00CE4E1F">
        <w:rPr>
          <w:bCs/>
        </w:rPr>
        <w:t>gene expression risk score</w:t>
      </w:r>
      <w:r w:rsidR="009B755E" w:rsidRPr="00CE4E1F">
        <w:rPr>
          <w:bCs/>
        </w:rPr>
        <w:t xml:space="preserve"> distribution</w:t>
      </w:r>
      <w:r w:rsidR="00A269B4" w:rsidRPr="00CE4E1F">
        <w:rPr>
          <w:bCs/>
        </w:rPr>
        <w:t>s</w:t>
      </w:r>
      <w:r w:rsidR="00D204D4" w:rsidRPr="00CE4E1F">
        <w:rPr>
          <w:bCs/>
        </w:rPr>
        <w:t xml:space="preserve"> stratified by clinical characteristics </w:t>
      </w:r>
      <w:r w:rsidR="009B755E" w:rsidRPr="00CE4E1F">
        <w:rPr>
          <w:bCs/>
        </w:rPr>
        <w:t xml:space="preserve">in </w:t>
      </w:r>
      <w:r w:rsidR="00D204D4" w:rsidRPr="00CE4E1F">
        <w:rPr>
          <w:bCs/>
        </w:rPr>
        <w:t xml:space="preserve">the </w:t>
      </w:r>
      <w:r w:rsidR="0000066E">
        <w:rPr>
          <w:bCs/>
        </w:rPr>
        <w:t xml:space="preserve">UCSF </w:t>
      </w:r>
      <w:r w:rsidR="00D204D4" w:rsidRPr="00CE4E1F">
        <w:rPr>
          <w:bCs/>
        </w:rPr>
        <w:t xml:space="preserve">discovery cohort. There was no significant difference across </w:t>
      </w:r>
      <w:r w:rsidR="009B755E" w:rsidRPr="00CE4E1F">
        <w:rPr>
          <w:bCs/>
        </w:rPr>
        <w:t xml:space="preserve">meningioma </w:t>
      </w:r>
      <w:r w:rsidR="00D204D4" w:rsidRPr="00CE4E1F">
        <w:rPr>
          <w:bCs/>
        </w:rPr>
        <w:t>location</w:t>
      </w:r>
      <w:r w:rsidR="009B755E" w:rsidRPr="00CE4E1F">
        <w:rPr>
          <w:bCs/>
        </w:rPr>
        <w:t>s</w:t>
      </w:r>
      <w:r w:rsidR="00D204D4" w:rsidRPr="00CE4E1F">
        <w:rPr>
          <w:bCs/>
        </w:rPr>
        <w:t xml:space="preserve"> (P=0.21)</w:t>
      </w:r>
      <w:r w:rsidR="003E73AF">
        <w:rPr>
          <w:bCs/>
        </w:rPr>
        <w:t>, but gene expression r</w:t>
      </w:r>
      <w:r w:rsidR="00D204D4" w:rsidRPr="00CE4E1F">
        <w:rPr>
          <w:bCs/>
        </w:rPr>
        <w:t xml:space="preserve">isk scores were higher among subtotally resected </w:t>
      </w:r>
      <w:r w:rsidR="009B755E" w:rsidRPr="00CE4E1F">
        <w:rPr>
          <w:bCs/>
        </w:rPr>
        <w:t xml:space="preserve">meningiomas </w:t>
      </w:r>
      <w:r w:rsidR="00D204D4" w:rsidRPr="00CE4E1F">
        <w:rPr>
          <w:bCs/>
        </w:rPr>
        <w:lastRenderedPageBreak/>
        <w:t xml:space="preserve">(P=0.02), </w:t>
      </w:r>
      <w:r w:rsidR="009B755E" w:rsidRPr="00CE4E1F">
        <w:rPr>
          <w:bCs/>
        </w:rPr>
        <w:t xml:space="preserve">recurrent meningiomas (P&lt;0.0001), </w:t>
      </w:r>
      <w:r w:rsidR="00D204D4" w:rsidRPr="00CE4E1F">
        <w:rPr>
          <w:bCs/>
        </w:rPr>
        <w:t xml:space="preserve">and </w:t>
      </w:r>
      <w:r w:rsidR="009B755E" w:rsidRPr="00CE4E1F">
        <w:rPr>
          <w:bCs/>
        </w:rPr>
        <w:t xml:space="preserve">were </w:t>
      </w:r>
      <w:r w:rsidR="0047768F" w:rsidRPr="00CE4E1F">
        <w:rPr>
          <w:bCs/>
        </w:rPr>
        <w:t xml:space="preserve">stratified by WHO 2016 or 2021 grade (P&lt;0.0001). Panel </w:t>
      </w:r>
      <w:r w:rsidRPr="00CE4E1F">
        <w:rPr>
          <w:bCs/>
        </w:rPr>
        <w:t>D</w:t>
      </w:r>
      <w:r w:rsidR="0047768F" w:rsidRPr="00CE4E1F">
        <w:rPr>
          <w:bCs/>
        </w:rPr>
        <w:t xml:space="preserve"> shows </w:t>
      </w:r>
      <w:r w:rsidR="0000066E">
        <w:rPr>
          <w:bCs/>
        </w:rPr>
        <w:t xml:space="preserve">UCSF </w:t>
      </w:r>
      <w:r w:rsidR="00A269B4" w:rsidRPr="00CE4E1F">
        <w:rPr>
          <w:bCs/>
        </w:rPr>
        <w:t xml:space="preserve">discovery cohort </w:t>
      </w:r>
      <w:r w:rsidR="0047768F" w:rsidRPr="00CE4E1F">
        <w:rPr>
          <w:bCs/>
        </w:rPr>
        <w:t>gene expression</w:t>
      </w:r>
      <w:r w:rsidR="00A269B4" w:rsidRPr="00CE4E1F">
        <w:rPr>
          <w:bCs/>
        </w:rPr>
        <w:t xml:space="preserve"> risk score scatter plots across</w:t>
      </w:r>
      <w:r w:rsidR="0047768F" w:rsidRPr="00CE4E1F">
        <w:rPr>
          <w:bCs/>
        </w:rPr>
        <w:t xml:space="preserve"> clinical </w:t>
      </w:r>
      <w:r w:rsidR="003E73AF">
        <w:rPr>
          <w:bCs/>
        </w:rPr>
        <w:t>or</w:t>
      </w:r>
      <w:r w:rsidR="003E73AF" w:rsidRPr="00CE4E1F">
        <w:rPr>
          <w:bCs/>
        </w:rPr>
        <w:t xml:space="preserve"> </w:t>
      </w:r>
      <w:r w:rsidR="00A269B4" w:rsidRPr="00CE4E1F">
        <w:rPr>
          <w:bCs/>
        </w:rPr>
        <w:t xml:space="preserve">molecular </w:t>
      </w:r>
      <w:r w:rsidR="0047768F" w:rsidRPr="00CE4E1F">
        <w:rPr>
          <w:bCs/>
        </w:rPr>
        <w:t>variables</w:t>
      </w:r>
      <w:r w:rsidR="00A269B4" w:rsidRPr="00CE4E1F">
        <w:rPr>
          <w:bCs/>
        </w:rPr>
        <w:t xml:space="preserve"> associated with meningioma biology or outcomes</w:t>
      </w:r>
      <w:r w:rsidR="0000066E">
        <w:rPr>
          <w:bCs/>
        </w:rPr>
        <w:t xml:space="preserve"> (blue, </w:t>
      </w:r>
      <w:r w:rsidR="00FD5353">
        <w:rPr>
          <w:bCs/>
        </w:rPr>
        <w:t>low risk</w:t>
      </w:r>
      <w:r w:rsidR="0000066E">
        <w:rPr>
          <w:bCs/>
        </w:rPr>
        <w:t xml:space="preserve">; purple, </w:t>
      </w:r>
      <w:r w:rsidR="00FD5353">
        <w:rPr>
          <w:bCs/>
        </w:rPr>
        <w:t>intermediate risk</w:t>
      </w:r>
      <w:r w:rsidR="0000066E">
        <w:rPr>
          <w:bCs/>
        </w:rPr>
        <w:t xml:space="preserve">; red, </w:t>
      </w:r>
      <w:r w:rsidR="00FD5353">
        <w:rPr>
          <w:bCs/>
        </w:rPr>
        <w:t>high risk</w:t>
      </w:r>
      <w:r w:rsidR="0000066E">
        <w:rPr>
          <w:bCs/>
        </w:rPr>
        <w:t>)</w:t>
      </w:r>
      <w:r w:rsidR="0047768F" w:rsidRPr="00CE4E1F">
        <w:rPr>
          <w:bCs/>
        </w:rPr>
        <w:t xml:space="preserve">. </w:t>
      </w:r>
      <w:r w:rsidR="00A269B4" w:rsidRPr="00CE4E1F">
        <w:rPr>
          <w:bCs/>
        </w:rPr>
        <w:t xml:space="preserve">There </w:t>
      </w:r>
      <w:r w:rsidR="00DE7BD4" w:rsidRPr="00CE4E1F">
        <w:rPr>
          <w:bCs/>
        </w:rPr>
        <w:t>was</w:t>
      </w:r>
      <w:r w:rsidR="00A269B4" w:rsidRPr="00CE4E1F">
        <w:rPr>
          <w:bCs/>
        </w:rPr>
        <w:t xml:space="preserve"> n</w:t>
      </w:r>
      <w:r w:rsidR="0047768F" w:rsidRPr="00CE4E1F">
        <w:rPr>
          <w:bCs/>
        </w:rPr>
        <w:t xml:space="preserve">o clear association between </w:t>
      </w:r>
      <w:r w:rsidR="00DE7BD4" w:rsidRPr="00CE4E1F">
        <w:rPr>
          <w:bCs/>
        </w:rPr>
        <w:t xml:space="preserve">patient </w:t>
      </w:r>
      <w:r w:rsidR="0047768F" w:rsidRPr="00CE4E1F">
        <w:rPr>
          <w:bCs/>
        </w:rPr>
        <w:t xml:space="preserve">age and </w:t>
      </w:r>
      <w:r w:rsidR="0000066E">
        <w:rPr>
          <w:bCs/>
        </w:rPr>
        <w:t xml:space="preserve">gene expression </w:t>
      </w:r>
      <w:r w:rsidR="0047768F" w:rsidRPr="00CE4E1F">
        <w:rPr>
          <w:bCs/>
        </w:rPr>
        <w:t xml:space="preserve">risk score, </w:t>
      </w:r>
      <w:r w:rsidR="00DE7BD4" w:rsidRPr="00CE4E1F">
        <w:rPr>
          <w:bCs/>
        </w:rPr>
        <w:t xml:space="preserve">but </w:t>
      </w:r>
      <w:r w:rsidR="0047768F" w:rsidRPr="00CE4E1F">
        <w:rPr>
          <w:bCs/>
        </w:rPr>
        <w:t xml:space="preserve">risk score was </w:t>
      </w:r>
      <w:r w:rsidR="0071348A" w:rsidRPr="00CE4E1F">
        <w:rPr>
          <w:bCs/>
        </w:rPr>
        <w:t>loosely</w:t>
      </w:r>
      <w:r w:rsidR="00DE7BD4" w:rsidRPr="00CE4E1F">
        <w:rPr>
          <w:bCs/>
        </w:rPr>
        <w:t xml:space="preserve"> </w:t>
      </w:r>
      <w:r w:rsidR="0047768F" w:rsidRPr="00CE4E1F">
        <w:rPr>
          <w:bCs/>
        </w:rPr>
        <w:t>correlated with MIB1 labeling index</w:t>
      </w:r>
      <w:r w:rsidR="00F44210" w:rsidRPr="00CE4E1F">
        <w:rPr>
          <w:bCs/>
        </w:rPr>
        <w:fldChar w:fldCharType="begin" w:fldLock="1"/>
      </w:r>
      <w:r w:rsidR="000F4EF5">
        <w:rPr>
          <w:bCs/>
        </w:rPr>
        <w:instrText>ADDIN CSL_CITATION {"citationItems":[{"id":"ITEM-1","itemData":{"DOI":"10.3171/2017.9.JNS171609","ISSN":"19330693","PMID":"29624151","abstract":"OBJECTIVE The goal of this study was to investigate the impact of adjuvant radiotherapy (RT) on local recurrence and overall survival in patients undergoing primary resection of atypical meningioma, and to identify predictive factors to inform patient selection for adjuvant RT. METHODS One hundred eighty-two patients who underwent primary resection of atypical meningioma at a single institution between 1993 and 2014 were retrospectively identified. Patient, meningioma, and treatment data were extracted from the medical record and compared using the Kaplan-Meier method, log-rank tests, multivariate analysis (MVA) Cox proportional hazards models with relative risk (RR), and recursive partitioning analysis. RESULTS The median patient age and imaging follow-up were 57 years (interquartile range [IQR] 45–67 years) and 4.4 years (IQR 1.8–7.5 years), respectively. Gross-total resection (GTR) was achieved in 114 cases (63%), and 42 patients (23%) received adjuvant RT. On MVA, prognostic factors for death from any cause included GTR (RR 0.4, 95% CI 0.1–0.9, p = 0.02) and MIB1 labeling index (LI) ≤ 7% (RR 0.4, 95% CI 0.1–0.9, p = 0.04). Prognostic factors on MVA for local progression included GTR (RR 0.2, 95% CI 0.1–0.5, p = 0.002), adjuvant RT (RR 0.2, 95% CI 0.1–0.4, p &lt; 0.001), MIB1 LI ≤ 7% (RR 0.2, 95% CI 0.1–0.5, p &lt; 0.001), and a remote history of prior cranial RT (RR 5.7, 95% CI 1.3–18.8, p = 0.03). After GTR, adjuvant RT (0 of 10 meningiomas recurred, p = 0.01) and MIB1 LI ≤ 7% (RR 0.1, 95% CI 0.003–0.3, p &lt; 0.001) were predictive for local progression on MVA. After GTR, 2.2% of meningiomas with MIB1 LI ≤ 7% recurred (1 of 45), compared with 38% with MIB1 LI &gt; 7% (13 of 34; p &lt; 0.001). Recursive partitioning analysis confirmed the existence of a cohort of patients at high risk of local progression after GTR without adjuvant RT, with MIB1 LI &gt; 7%, and evidence of brain or bone invasion. After subtotal resection, adjuvant RT (RR 0.2, 95% CI 0.04–0.7, p = 0.009) and ≤ 5 mitoses per 10 hpf (RR 0.1, 95% CI 0.03–0.4, p = 0.002) were predictive on MVA for local progression. CONCLUSIONS Adjuvant RT improves local control of atypical meningioma irrespective of extent of resection. Although independent validation is required, the authors’ results suggest that MIB1 LI, the number of mitoses per 10 hpf, and brain or bone invasion may be useful guides to the selection of patients who are most likely to benefit from adjuvant RT after resection of atypical meningioma.","author":[{"dropping-particle":"","family":"Chen","given":"William C.","non-dropping-particle":"","parse-names":false,"suffix":""},{"dropping-particle":"","family":"Magill","given":"Stephen T.","non-dropping-particle":"","parse-names":false,"suffix":""},{"dropping-particle":"","family":"Wu","given":"Ashley","non-dropping-particle":"","parse-names":false,"suffix":""},{"dropping-particle":"","family":"Vasudevan","given":"Harish N.","non-dropping-particle":"","parse-names":false,"suffix":""},{"dropping-particle":"","family":"Morin","given":"Olivier","non-dropping-particle":"","parse-names":false,"suffix":""},{"dropping-particle":"","family":"Aghi","given":"Manish K.","non-dropping-particle":"","parse-names":false,"suffix":""},{"dropping-particle":"V.","family":"Theodosopoulos","given":"Philip","non-dropping-particle":"","parse-names":false,"suffix":""},{"dropping-particle":"","family":"Perry","given":"Arie","non-dropping-particle":"","parse-names":false,"suffix":""},{"dropping-particle":"","family":"McDermott","given":"Michael W.","non-dropping-particle":"","parse-names":false,"suffix":""},{"dropping-particle":"","family":"Sneed","given":"Penny K.","non-dropping-particle":"","parse-names":false,"suffix":""},{"dropping-particle":"","family":"Braunstein","given":"Steve E.","non-dropping-particle":"","parse-names":false,"suffix":""},{"dropping-particle":"","family":"Raleigh","given":"David R.","non-dropping-particle":"","parse-names":false,"suffix":""}],"container-title":"Journal of Neurosurgery","id":"ITEM-1","issue":"2","issued":{"date-parts":[["2019"]]},"page":"443-450","title":"Histopathological features predictive of local control of atypical meningioma after surgery and adjuvant radiotherapy","type":"article-journal","volume":"130"},"uris":["http://www.mendeley.com/documents/?uuid=d45b657b-89ea-41b0-aa40-05349b03010d"]}],"mendeley":{"formattedCitation":"&lt;sup&gt;38&lt;/sup&gt;","plainTextFormattedCitation":"38","previouslyFormattedCitation":"&lt;sup&gt;38&lt;/sup&gt;"},"properties":{"noteIndex":0},"schema":"https://github.com/citation-style-language/schema/raw/master/csl-citation.json"}</w:instrText>
      </w:r>
      <w:r w:rsidR="00F44210" w:rsidRPr="00CE4E1F">
        <w:rPr>
          <w:bCs/>
        </w:rPr>
        <w:fldChar w:fldCharType="separate"/>
      </w:r>
      <w:r w:rsidR="000F4EF5" w:rsidRPr="000F4EF5">
        <w:rPr>
          <w:bCs/>
          <w:noProof/>
          <w:vertAlign w:val="superscript"/>
        </w:rPr>
        <w:t>38</w:t>
      </w:r>
      <w:r w:rsidR="00F44210" w:rsidRPr="00CE4E1F">
        <w:rPr>
          <w:bCs/>
        </w:rPr>
        <w:fldChar w:fldCharType="end"/>
      </w:r>
      <w:r w:rsidR="004A0710" w:rsidRPr="00CE4E1F">
        <w:rPr>
          <w:bCs/>
        </w:rPr>
        <w:t>, genomic instability</w:t>
      </w:r>
      <w:r w:rsidR="0000066E">
        <w:rPr>
          <w:bCs/>
        </w:rPr>
        <w:t xml:space="preserve"> as defined by the </w:t>
      </w:r>
      <w:r w:rsidR="0000066E" w:rsidRPr="00CE4E1F">
        <w:rPr>
          <w:bCs/>
        </w:rPr>
        <w:t>proportion of non-centromeric, non-acrocentric chromosomes affected by copy number gain or loss</w:t>
      </w:r>
      <w:r w:rsidR="00F44210" w:rsidRPr="00CE4E1F">
        <w:rPr>
          <w:bCs/>
        </w:rPr>
        <w:fldChar w:fldCharType="begin" w:fldLock="1"/>
      </w:r>
      <w:r w:rsidR="000F4EF5">
        <w:rPr>
          <w:bCs/>
        </w:rPr>
        <w:instrText>ADDIN CSL_CITATION {"citationItems":[{"id":"ITEM-1","itemData":{"DOI":"10.1038/s41525-017-0014-7","ISSN":"20567944","PMID":"28713588","abstract":"High-grade meningiomas frequently recur and are associated with high rates of morbidity and mortality. To determine the factors that promote the development and evolution of these tumors, we analyzed the genomes of 134 high-grade meningiomas and compared this information with data from 595 previously published meningiomas. High-grade meningiomas had a higher mutation burden than low-grade meningiomas but did not harbor any significantly mutated genes aside from NF2. High-grade meningiomas also possessed significantly elevated rates of chromosomal gains and losses, especially among tumors with monosomy 22. Meningiomas previously treated with adjuvant radiation had significantly more copy number alterations than radiation-induced or radiation-naïve meningiomas. Across serial recurrences, genomic disruption preceded the emergence of nearly all mutations, remained largely uniform across time, and when present in low-grade meningiomas correlated with subsequent progression to a higher grade. In contrast to the largely stable copy number alterations, mutations were strikingly heterogeneous across tumor recurrences, likely due to extensive geographic heterogeneity in the primary tumor. While high-grade meningiomas harbored significantly fewer overtly targetable alterations than low-grade meningiomas, they contained numerous mutations that are predicted to be neoantigens, suggesting that immunologic targeting may be of therapeutic value.","author":[{"dropping-particle":"","family":"Bi","given":"Wenya Linda","non-dropping-particle":"","parse-names":false,"suffix":""},{"dropping-particle":"","family":"Greenwald","given":"Noah F.","non-dropping-particle":"","parse-names":false,"suffix":""},{"dropping-particle":"","family":"Abedalthagafi","given":"Malak","non-dropping-particle":"","parse-names":false,"suffix":""},{"dropping-particle":"","family":"Wala","given":"Jeremiah","non-dropping-particle":"","parse-names":false,"suffix":""},{"dropping-particle":"","family":"Gibson","given":"Will J.","non-dropping-particle":"","parse-names":false,"suffix":""},{"dropping-particle":"","family":"Agarwalla","given":"Pankaj K.","non-dropping-particle":"","parse-names":false,"suffix":""},{"dropping-particle":"","family":"Horowitz","given":"Peleg","non-dropping-particle":"","parse-names":false,"suffix":""},{"dropping-particle":"","family":"Schumacher","given":"Steven E.","non-dropping-particle":"","parse-names":false,"suffix":""},{"dropping-particle":"","family":"Esaulova","given":"Ekaterina","non-dropping-particle":"","parse-names":false,"suffix":""},{"dropping-particle":"","family":"Mei","given":"Yu","non-dropping-particle":"","parse-names":false,"suffix":""},{"dropping-particle":"","family":"Chevalier","given":"Aaron","non-dropping-particle":"","parse-names":false,"suffix":""},{"dropping-particle":"","family":"Ducar","given":"Matthew A.","non-dropping-particle":"","parse-names":false,"suffix":""},{"dropping-particle":"","family":"Thorner","given":"Aaron R.","non-dropping-particle":"","parse-names":false,"suffix":""},{"dropping-particle":"","family":"Hummelen","given":"Paul","non-dropping-particle":"Van","parse-names":false,"suffix":""},{"dropping-particle":"","family":"Stemmer-Rachamimov","given":"Anat O.","non-dropping-particle":"","parse-names":false,"suffix":""},{"dropping-particle":"","family":"Artyomov","given":"Maksym","non-dropping-particle":"","parse-names":false,"suffix":""},{"dropping-particle":"","family":"Al-Mefty","given":"Ossama","non-dropping-particle":"","parse-names":false,"suffix":""},{"dropping-particle":"","family":"Dunn","given":"Gavin P.","non-dropping-particle":"","parse-names":false,"suffix":""},{"dropping-particle":"","family":"Santagata","given":"Sandro","non-dropping-particle":"","parse-names":false,"suffix":""},{"dropping-particle":"","family":"Dunn","given":"Ian F.","non-dropping-particle":"","parse-names":false,"suffix":""},{"dropping-particle":"","family":"Beroukhim","given":"Rameen","non-dropping-particle":"","parse-names":false,"suffix":""}],"container-title":"npj Genomic Medicine","id":"ITEM-1","issue":"1","issued":{"date-parts":[["2017"]]},"title":"Genomic landscape of high-grade meningiomas","type":"article-journal","volume":"2"},"uris":["http://www.mendeley.com/documents/?uuid=c8388ea1-e049-4d8d-9a7c-9b477cf2928c"]}],"mendeley":{"formattedCitation":"&lt;sup&gt;39&lt;/sup&gt;","plainTextFormattedCitation":"39","previouslyFormattedCitation":"&lt;sup&gt;39&lt;/sup&gt;"},"properties":{"noteIndex":0},"schema":"https://github.com/citation-style-language/schema/raw/master/csl-citation.json"}</w:instrText>
      </w:r>
      <w:r w:rsidR="00F44210" w:rsidRPr="00CE4E1F">
        <w:rPr>
          <w:bCs/>
        </w:rPr>
        <w:fldChar w:fldCharType="separate"/>
      </w:r>
      <w:r w:rsidR="000F4EF5" w:rsidRPr="000F4EF5">
        <w:rPr>
          <w:bCs/>
          <w:noProof/>
          <w:vertAlign w:val="superscript"/>
        </w:rPr>
        <w:t>39</w:t>
      </w:r>
      <w:r w:rsidR="00F44210" w:rsidRPr="00CE4E1F">
        <w:rPr>
          <w:bCs/>
        </w:rPr>
        <w:fldChar w:fldCharType="end"/>
      </w:r>
      <w:r w:rsidR="0000066E">
        <w:rPr>
          <w:bCs/>
        </w:rPr>
        <w:t>,</w:t>
      </w:r>
      <w:r w:rsidR="004A0710" w:rsidRPr="00CE4E1F">
        <w:rPr>
          <w:bCs/>
        </w:rPr>
        <w:t xml:space="preserve"> </w:t>
      </w:r>
      <w:r w:rsidR="0047768F" w:rsidRPr="00CE4E1F">
        <w:rPr>
          <w:bCs/>
        </w:rPr>
        <w:t xml:space="preserve">and </w:t>
      </w:r>
      <w:r w:rsidR="00DE7BD4" w:rsidRPr="00CE4E1F">
        <w:rPr>
          <w:bCs/>
        </w:rPr>
        <w:t xml:space="preserve">DNA </w:t>
      </w:r>
      <w:r w:rsidR="0047768F" w:rsidRPr="00CE4E1F">
        <w:rPr>
          <w:bCs/>
        </w:rPr>
        <w:t xml:space="preserve">methylation </w:t>
      </w:r>
      <w:r w:rsidR="00DE7BD4" w:rsidRPr="00CE4E1F">
        <w:rPr>
          <w:bCs/>
        </w:rPr>
        <w:t xml:space="preserve">of </w:t>
      </w:r>
      <w:r w:rsidR="0047768F" w:rsidRPr="00CE4E1F">
        <w:rPr>
          <w:bCs/>
        </w:rPr>
        <w:t xml:space="preserve">the </w:t>
      </w:r>
      <w:r w:rsidR="0047768F" w:rsidRPr="00CE4E1F">
        <w:rPr>
          <w:bCs/>
          <w:i/>
        </w:rPr>
        <w:t>CDKN2A</w:t>
      </w:r>
      <w:r w:rsidR="0047768F" w:rsidRPr="00CE4E1F">
        <w:rPr>
          <w:bCs/>
        </w:rPr>
        <w:t xml:space="preserve"> locus</w:t>
      </w:r>
      <w:r w:rsidR="00F44210" w:rsidRPr="00CE4E1F">
        <w:rPr>
          <w:bCs/>
        </w:rPr>
        <w:fldChar w:fldCharType="begin" w:fldLock="1"/>
      </w:r>
      <w:r w:rsidR="000F4EF5">
        <w:rPr>
          <w:bCs/>
        </w:rPr>
        <w:instrText>ADDIN CSL_CITATION {"citationItems":[{"id":"ITEM-1","itemData":{"DOI":"10.1093/neuonc/noac224","ISSN":"1523-5866","PMID":"36227281","abstract":"BACKGROUND Meningiomas, the most common primary intracranial tumors, can be separated into 3 DNA methylation groups with distinct biological drivers, clinical outcomes, and therapeutic vulnerabilities. Alternative meningioma grouping schemes using copy number variants, gene expression profiles, somatic short variants, or integrated molecular models have been proposed. These data suggest meningioma DNA methylation groups may harbor subgroups unifying contrasting theories of meningioma biology. METHODS 565 meningioma DNA methylation profiles from patients with comprehensive clinical follow-up at independent discovery (n=200) or validation (n=365) institutions were re-analyzed and classified into Merlin-intact, Immune-enriched, or Hypermitotic DNA methylation groups. RNA sequencing from the discovery (n=200) or validation (n=302) cohort were analyzed in the context of DNA methylation groups to identify subgroups. Biological features and clinical outcomes were analyzed across meningioma grouping schemes. RESULTS RNA sequencing revealed differential enrichment of FOXM1 target genes across 2 subgroups of Hypermitotic meningiomas. Differential expression and ontology analyses showed the subgroup of Hypermitotic meningiomas without FOXM1 target gene enrichment was distinguished by gene expression programs driving macromolecular metabolism. Analysis of genetic, epigenetic, gene expression, or cellular features revealed Hypermitotic meningioma subgroups were concordant with Proliferative or Hypermetabolic meningiomas, which were previously reported alongside Merlin-intact and Immune-enriched tumors using an integrated molecular model. The addition of DNA methylation subgroups to clinical models refined prediction of postoperative outcomes compared to the addition of DNA methylation groups. CONCLUSIONS Meningiomas can be separated into 3 DNA methylation groups and Hypermitotic meningiomas can be subdivided into Proliferative and Hypermetabolic subgroups, each with distinct biological and clinical features.","author":[{"dropping-particle":"","family":"Choudhury","given":"Abrar","non-dropping-particle":"","parse-names":false,"suffix":""},{"dropping-particle":"","family":"Chen","given":"William C","non-dropping-particle":"","parse-names":false,"suffix":""},{"dropping-particle":"","family":"Lucas","given":"Calixto-Hope G","non-dropping-particle":"","parse-names":false,"suffix":""},{"dropping-particle":"","family":"Bayley","given":"James C","non-dropping-particle":"","parse-names":false,"suffix":""},{"dropping-particle":"","family":"Harmanci","given":"Akdes S","non-dropping-particle":"","parse-names":false,"suffix":""},{"dropping-particle":"","family":"Maas","given":"Sybren L N","non-dropping-particle":"","parse-names":false,"suffix":""},{"dropping-particle":"","family":"Santagata","given":"Sandro","non-dropping-particle":"","parse-names":false,"suffix":""},{"dropping-particle":"","family":"Klisch","given":"Tiemo","non-dropping-particle":"","parse-names":false,"suffix":""},{"dropping-particle":"","family":"Perry","given":"Arie","non-dropping-particle":"","parse-names":false,"suffix":""},{"dropping-particle":"","family":"Bi","given":"Wenya Linda","non-dropping-particle":"","parse-names":false,"suffix":""},{"dropping-particle":"","family":"Sahm","given":"Felix","non-dropping-particle":"","parse-names":false,"suffix":""},{"dropping-particle":"","family":"Patel","given":"Akash","non-dropping-particle":"","parse-names":false,"suffix":""},{"dropping-particle":"","family":"Magill","given":"Stephen T","non-dropping-particle":"","parse-names":false,"suffix":""},{"dropping-particle":"","family":"Raleigh","given":"David R","non-dropping-particle":"","parse-names":false,"suffix":""}],"container-title":"Neuro-oncology","id":"ITEM-1","issued":{"date-parts":[["2022","10","13"]]},"title":"Hypermitotic meningiomas harbor DNA methylation subgroups with distinct biological and clinical features.","type":"article-journal"},"uris":["http://www.mendeley.com/documents/?uuid=12c70f09-e513-4b13-a979-50364f43e66d"]}],"mendeley":{"formattedCitation":"&lt;sup&gt;7&lt;/sup&gt;","plainTextFormattedCitation":"7","previouslyFormattedCitation":"&lt;sup&gt;7&lt;/sup&gt;"},"properties":{"noteIndex":0},"schema":"https://github.com/citation-style-language/schema/raw/master/csl-citation.json"}</w:instrText>
      </w:r>
      <w:r w:rsidR="00F44210" w:rsidRPr="00CE4E1F">
        <w:rPr>
          <w:bCs/>
        </w:rPr>
        <w:fldChar w:fldCharType="separate"/>
      </w:r>
      <w:r w:rsidR="000F4EF5" w:rsidRPr="000F4EF5">
        <w:rPr>
          <w:bCs/>
          <w:noProof/>
          <w:vertAlign w:val="superscript"/>
        </w:rPr>
        <w:t>7</w:t>
      </w:r>
      <w:r w:rsidR="00F44210" w:rsidRPr="00CE4E1F">
        <w:rPr>
          <w:bCs/>
        </w:rPr>
        <w:fldChar w:fldCharType="end"/>
      </w:r>
      <w:r w:rsidR="0047768F" w:rsidRPr="00CE4E1F">
        <w:rPr>
          <w:bCs/>
        </w:rPr>
        <w:t xml:space="preserve">. Thus, the gene expression </w:t>
      </w:r>
      <w:r w:rsidR="003E73AF">
        <w:rPr>
          <w:bCs/>
        </w:rPr>
        <w:t>biomarker</w:t>
      </w:r>
      <w:r w:rsidR="0047768F" w:rsidRPr="00CE4E1F">
        <w:rPr>
          <w:bCs/>
        </w:rPr>
        <w:t xml:space="preserve"> correlated with surrogate markers of aggressive meningioma</w:t>
      </w:r>
      <w:r w:rsidR="006F2710" w:rsidRPr="00CE4E1F">
        <w:rPr>
          <w:bCs/>
        </w:rPr>
        <w:t>s</w:t>
      </w:r>
      <w:r w:rsidR="00E103C6" w:rsidRPr="00CE4E1F">
        <w:rPr>
          <w:bCs/>
        </w:rPr>
        <w:t xml:space="preserve">. </w:t>
      </w:r>
      <w:r w:rsidR="0047768F" w:rsidRPr="00CE4E1F">
        <w:rPr>
          <w:bCs/>
        </w:rPr>
        <w:t xml:space="preserve">Panel </w:t>
      </w:r>
      <w:r w:rsidRPr="00CE4E1F">
        <w:rPr>
          <w:bCs/>
        </w:rPr>
        <w:t>E</w:t>
      </w:r>
      <w:r w:rsidR="0047768F" w:rsidRPr="00CE4E1F">
        <w:rPr>
          <w:bCs/>
        </w:rPr>
        <w:t xml:space="preserve"> shows disease specific survival among patients in the </w:t>
      </w:r>
      <w:r w:rsidR="0000066E">
        <w:rPr>
          <w:bCs/>
        </w:rPr>
        <w:t xml:space="preserve">UCSF </w:t>
      </w:r>
      <w:r w:rsidR="0047768F" w:rsidRPr="00CE4E1F">
        <w:rPr>
          <w:bCs/>
        </w:rPr>
        <w:t xml:space="preserve">discovery cohort stratified by gene expression risk score. </w:t>
      </w:r>
    </w:p>
    <w:p w14:paraId="17EB43E4" w14:textId="3A68EFB4" w:rsidR="00F17756" w:rsidRPr="00CE4E1F" w:rsidRDefault="00797EA7" w:rsidP="00742F09">
      <w:pPr>
        <w:spacing w:line="360" w:lineRule="auto"/>
        <w:ind w:left="1440" w:hanging="1440"/>
        <w:contextualSpacing/>
        <w:jc w:val="both"/>
        <w:rPr>
          <w:b/>
          <w:bCs/>
        </w:rPr>
      </w:pPr>
      <w:r w:rsidRPr="00CE4E1F">
        <w:rPr>
          <w:b/>
        </w:rPr>
        <w:br w:type="column"/>
      </w:r>
      <w:r w:rsidR="00F17756" w:rsidRPr="00CE4E1F">
        <w:rPr>
          <w:b/>
        </w:rPr>
        <w:lastRenderedPageBreak/>
        <w:t>Figure S3.</w:t>
      </w:r>
      <w:r w:rsidR="00F17756" w:rsidRPr="00CE4E1F">
        <w:t xml:space="preserve"> </w:t>
      </w:r>
      <w:r w:rsidR="00F17756" w:rsidRPr="00CE4E1F">
        <w:rPr>
          <w:b/>
          <w:bCs/>
        </w:rPr>
        <w:t xml:space="preserve">Gene expression </w:t>
      </w:r>
      <w:r w:rsidR="006C12DD">
        <w:rPr>
          <w:b/>
        </w:rPr>
        <w:t>biomarker</w:t>
      </w:r>
      <w:r w:rsidR="006C12DD" w:rsidRPr="00CE4E1F">
        <w:rPr>
          <w:b/>
        </w:rPr>
        <w:t xml:space="preserve"> </w:t>
      </w:r>
      <w:r w:rsidR="00F17756" w:rsidRPr="00CE4E1F">
        <w:rPr>
          <w:b/>
          <w:bCs/>
        </w:rPr>
        <w:t>across somatic short variants in the discovery cohort.</w:t>
      </w:r>
    </w:p>
    <w:p w14:paraId="5E603906" w14:textId="47591002" w:rsidR="00F17756" w:rsidRPr="00CE4E1F" w:rsidRDefault="00CA5B59" w:rsidP="00742F09">
      <w:pPr>
        <w:spacing w:line="360" w:lineRule="auto"/>
        <w:contextualSpacing/>
        <w:jc w:val="both"/>
        <w:rPr>
          <w:bCs/>
        </w:rPr>
      </w:pPr>
      <w:r>
        <w:rPr>
          <w:noProof/>
        </w:rPr>
        <w:drawing>
          <wp:inline distT="0" distB="0" distL="0" distR="0" wp14:anchorId="755D8C80" wp14:editId="7DE055BB">
            <wp:extent cx="5943600" cy="5723890"/>
            <wp:effectExtent l="0" t="0" r="0" b="381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a:stretch>
                      <a:fillRect/>
                    </a:stretch>
                  </pic:blipFill>
                  <pic:spPr>
                    <a:xfrm>
                      <a:off x="0" y="0"/>
                      <a:ext cx="5943600" cy="5723890"/>
                    </a:xfrm>
                    <a:prstGeom prst="rect">
                      <a:avLst/>
                    </a:prstGeom>
                  </pic:spPr>
                </pic:pic>
              </a:graphicData>
            </a:graphic>
          </wp:inline>
        </w:drawing>
      </w:r>
      <w:r w:rsidR="00105BC7" w:rsidRPr="00CE4E1F">
        <w:t>T</w:t>
      </w:r>
      <w:r w:rsidR="00F17756" w:rsidRPr="00CE4E1F">
        <w:t xml:space="preserve">argeted DNA sequencing of recurrent somatic short variants </w:t>
      </w:r>
      <w:r w:rsidR="0000066E">
        <w:t xml:space="preserve">was performed </w:t>
      </w:r>
      <w:r w:rsidR="0048624A" w:rsidRPr="00CE4E1F">
        <w:t xml:space="preserve">on </w:t>
      </w:r>
      <w:r w:rsidR="00F17756" w:rsidRPr="00CE4E1F">
        <w:t>171</w:t>
      </w:r>
      <w:r w:rsidR="0048624A" w:rsidRPr="00CE4E1F">
        <w:t xml:space="preserve"> </w:t>
      </w:r>
      <w:r w:rsidR="00105BC7" w:rsidRPr="00CE4E1F">
        <w:t>meningiomas</w:t>
      </w:r>
      <w:r w:rsidR="0048624A" w:rsidRPr="00CE4E1F">
        <w:t xml:space="preserve"> from the </w:t>
      </w:r>
      <w:r w:rsidR="0000066E">
        <w:t xml:space="preserve">UCSF </w:t>
      </w:r>
      <w:r w:rsidR="0048624A" w:rsidRPr="00CE4E1F">
        <w:t>discovery cohort</w:t>
      </w:r>
      <w:r w:rsidR="00105BC7" w:rsidRPr="00CE4E1F">
        <w:t xml:space="preserve"> (98.8%)</w:t>
      </w:r>
      <w:r w:rsidR="009A2292" w:rsidRPr="00CE4E1F">
        <w:t xml:space="preserve">. </w:t>
      </w:r>
      <w:r w:rsidR="00F17756" w:rsidRPr="00CE4E1F">
        <w:t>Panel A shows an oncoplot distribution of identified pathogenic short somatic variants with variant allele frequency (VAF) of at least 5</w:t>
      </w:r>
      <w:r w:rsidR="004869D7">
        <w:t>.0</w:t>
      </w:r>
      <w:r w:rsidR="00F17756" w:rsidRPr="00CE4E1F">
        <w:t>% (</w:t>
      </w:r>
      <w:r w:rsidR="0000066E">
        <w:t>N</w:t>
      </w:r>
      <w:r w:rsidR="00F17756" w:rsidRPr="00CE4E1F">
        <w:t>=</w:t>
      </w:r>
      <w:r w:rsidR="0048624A" w:rsidRPr="00CE4E1F">
        <w:t>98</w:t>
      </w:r>
      <w:r w:rsidR="00F17756" w:rsidRPr="00CE4E1F">
        <w:t xml:space="preserve"> variants, median VAF 3</w:t>
      </w:r>
      <w:r w:rsidR="0048624A" w:rsidRPr="00CE4E1F">
        <w:t>8</w:t>
      </w:r>
      <w:r w:rsidR="004869D7">
        <w:t>.0</w:t>
      </w:r>
      <w:r w:rsidR="00F17756" w:rsidRPr="00CE4E1F">
        <w:t>%, interquartile range [IQR] 2</w:t>
      </w:r>
      <w:r w:rsidR="0048624A" w:rsidRPr="00CE4E1F">
        <w:t>9</w:t>
      </w:r>
      <w:r w:rsidR="00F17756" w:rsidRPr="00CE4E1F">
        <w:t>-4</w:t>
      </w:r>
      <w:r w:rsidR="0048624A" w:rsidRPr="00CE4E1F">
        <w:t>3</w:t>
      </w:r>
      <w:r w:rsidR="00F17756" w:rsidRPr="00CE4E1F">
        <w:t>%, median sequencing depth 5</w:t>
      </w:r>
      <w:r w:rsidR="0048624A" w:rsidRPr="00CE4E1F">
        <w:t>5</w:t>
      </w:r>
      <w:r w:rsidR="00F17756" w:rsidRPr="00CE4E1F">
        <w:t>1</w:t>
      </w:r>
      <w:r w:rsidR="0048624A" w:rsidRPr="00CE4E1F">
        <w:t>.5</w:t>
      </w:r>
      <w:r w:rsidR="00F17756" w:rsidRPr="00CE4E1F">
        <w:t xml:space="preserve">, IQR </w:t>
      </w:r>
      <w:r w:rsidR="0048624A" w:rsidRPr="00CE4E1F">
        <w:t>354</w:t>
      </w:r>
      <w:r w:rsidR="00F17756" w:rsidRPr="00CE4E1F">
        <w:t>-8</w:t>
      </w:r>
      <w:r w:rsidR="0048624A" w:rsidRPr="00CE4E1F">
        <w:t>56</w:t>
      </w:r>
      <w:r w:rsidR="00F17756" w:rsidRPr="00CE4E1F">
        <w:t xml:space="preserve">). Consistent with prior reports, variants in </w:t>
      </w:r>
      <w:r w:rsidR="00F17756" w:rsidRPr="00CE4E1F">
        <w:rPr>
          <w:i/>
        </w:rPr>
        <w:t>NF2</w:t>
      </w:r>
      <w:r w:rsidR="00F17756" w:rsidRPr="00CE4E1F">
        <w:t xml:space="preserve"> were most common (</w:t>
      </w:r>
      <w:r w:rsidR="00A931B9">
        <w:t>N</w:t>
      </w:r>
      <w:r w:rsidR="00F17756" w:rsidRPr="00CE4E1F">
        <w:t>=</w:t>
      </w:r>
      <w:r w:rsidR="0048624A" w:rsidRPr="00CE4E1F">
        <w:t>67</w:t>
      </w:r>
      <w:r w:rsidR="00F17756" w:rsidRPr="00CE4E1F">
        <w:t>, 3</w:t>
      </w:r>
      <w:r w:rsidR="0048624A" w:rsidRPr="00CE4E1F">
        <w:t>9</w:t>
      </w:r>
      <w:r w:rsidR="00F17756" w:rsidRPr="00CE4E1F">
        <w:t>.</w:t>
      </w:r>
      <w:r w:rsidR="0048624A" w:rsidRPr="00CE4E1F">
        <w:t>2</w:t>
      </w:r>
      <w:r w:rsidR="00F17756" w:rsidRPr="00CE4E1F">
        <w:t xml:space="preserve">%), followed by </w:t>
      </w:r>
      <w:r w:rsidR="00F17756" w:rsidRPr="00CE4E1F">
        <w:rPr>
          <w:i/>
        </w:rPr>
        <w:t>TRAF7</w:t>
      </w:r>
      <w:r w:rsidR="00F17756" w:rsidRPr="00CE4E1F">
        <w:t xml:space="preserve"> (N=10, </w:t>
      </w:r>
      <w:r w:rsidR="0048624A" w:rsidRPr="00CE4E1F">
        <w:t>5.8</w:t>
      </w:r>
      <w:r w:rsidR="00F17756" w:rsidRPr="00CE4E1F">
        <w:t xml:space="preserve">%) </w:t>
      </w:r>
      <w:r w:rsidR="00216084">
        <w:t>and</w:t>
      </w:r>
      <w:r w:rsidR="00216084" w:rsidRPr="00CE4E1F">
        <w:t xml:space="preserve"> </w:t>
      </w:r>
      <w:r w:rsidR="00F17756" w:rsidRPr="00CE4E1F">
        <w:rPr>
          <w:i/>
        </w:rPr>
        <w:t>AKT1</w:t>
      </w:r>
      <w:r w:rsidR="00F17756" w:rsidRPr="00CE4E1F">
        <w:t xml:space="preserve"> (N=</w:t>
      </w:r>
      <w:r w:rsidR="003B3B0B" w:rsidRPr="00CE4E1F">
        <w:t>8</w:t>
      </w:r>
      <w:r w:rsidR="00F17756" w:rsidRPr="00CE4E1F">
        <w:t>, 4.</w:t>
      </w:r>
      <w:r w:rsidR="003B3B0B" w:rsidRPr="00CE4E1F">
        <w:t>7</w:t>
      </w:r>
      <w:r w:rsidR="00F17756" w:rsidRPr="00CE4E1F">
        <w:t>%). A minority of meningiomas (</w:t>
      </w:r>
      <w:r w:rsidR="00A931B9">
        <w:t>N</w:t>
      </w:r>
      <w:r w:rsidR="00F17756" w:rsidRPr="00CE4E1F">
        <w:t>=1</w:t>
      </w:r>
      <w:r w:rsidR="003B3B0B" w:rsidRPr="00CE4E1F">
        <w:t>6</w:t>
      </w:r>
      <w:r w:rsidR="00F17756" w:rsidRPr="00CE4E1F">
        <w:t xml:space="preserve">, </w:t>
      </w:r>
      <w:r w:rsidR="003B3B0B" w:rsidRPr="00CE4E1F">
        <w:t>9.4</w:t>
      </w:r>
      <w:r w:rsidR="00F17756" w:rsidRPr="00CE4E1F">
        <w:t xml:space="preserve">%) were identified without alteration of </w:t>
      </w:r>
      <w:r w:rsidR="00F17756" w:rsidRPr="00CE4E1F">
        <w:rPr>
          <w:i/>
        </w:rPr>
        <w:t xml:space="preserve">NF2 </w:t>
      </w:r>
      <w:r w:rsidR="00F17756" w:rsidRPr="00CE4E1F">
        <w:t>or loss of chromosome 22q</w:t>
      </w:r>
      <w:r w:rsidR="00F17756" w:rsidRPr="00CE4E1F">
        <w:rPr>
          <w:i/>
        </w:rPr>
        <w:t xml:space="preserve">, </w:t>
      </w:r>
      <w:r w:rsidR="00F17756" w:rsidRPr="00CE4E1F">
        <w:t xml:space="preserve">but with a characteristic pathogenic variant in one of the following genes: </w:t>
      </w:r>
      <w:r w:rsidR="00F17756" w:rsidRPr="00CE4E1F">
        <w:rPr>
          <w:i/>
        </w:rPr>
        <w:t xml:space="preserve">TRAF7, AKT1, PIK3CA, </w:t>
      </w:r>
      <w:r w:rsidR="00F17756" w:rsidRPr="00CE4E1F">
        <w:rPr>
          <w:i/>
        </w:rPr>
        <w:lastRenderedPageBreak/>
        <w:t xml:space="preserve">SMARCB1, SMARCE1, SMO, SUFU, KLF4, </w:t>
      </w:r>
      <w:r w:rsidR="00F17756" w:rsidRPr="00CE4E1F">
        <w:t>or</w:t>
      </w:r>
      <w:r w:rsidR="00F17756" w:rsidRPr="00CE4E1F">
        <w:rPr>
          <w:i/>
        </w:rPr>
        <w:t xml:space="preserve"> POLR2A</w:t>
      </w:r>
      <w:r w:rsidR="00F17756" w:rsidRPr="00CE4E1F">
        <w:t xml:space="preserve">. The majority of these were WHO </w:t>
      </w:r>
      <w:r w:rsidR="009A2292" w:rsidRPr="00CE4E1F">
        <w:t xml:space="preserve">2021 </w:t>
      </w:r>
      <w:r w:rsidR="00F17756" w:rsidRPr="00CE4E1F">
        <w:t>grade 1</w:t>
      </w:r>
      <w:r w:rsidR="00F038DC">
        <w:t xml:space="preserve"> meningiomas</w:t>
      </w:r>
      <w:r w:rsidR="00F17756" w:rsidRPr="00CE4E1F">
        <w:t xml:space="preserve"> (</w:t>
      </w:r>
      <w:r w:rsidR="00764B27">
        <w:t>N</w:t>
      </w:r>
      <w:r w:rsidR="00F17756" w:rsidRPr="00CE4E1F">
        <w:t>=</w:t>
      </w:r>
      <w:r w:rsidR="001366A8" w:rsidRPr="00CE4E1F">
        <w:t>9</w:t>
      </w:r>
      <w:r w:rsidR="00F17756" w:rsidRPr="00CE4E1F">
        <w:t>, 6</w:t>
      </w:r>
      <w:r w:rsidR="001366A8" w:rsidRPr="00CE4E1F">
        <w:t>0</w:t>
      </w:r>
      <w:r w:rsidR="004869D7">
        <w:t>.0</w:t>
      </w:r>
      <w:r w:rsidR="00F17756" w:rsidRPr="00CE4E1F">
        <w:t>%), and were associated with favorable histologic characteristics and outcomes (median MIB1 labeling index 2.</w:t>
      </w:r>
      <w:r w:rsidR="001366A8" w:rsidRPr="00CE4E1F">
        <w:t>0</w:t>
      </w:r>
      <w:r w:rsidR="00F17756" w:rsidRPr="00CE4E1F">
        <w:t>%, range 0.5-4.0, 5-year LFFR 9</w:t>
      </w:r>
      <w:r w:rsidR="001366A8" w:rsidRPr="00CE4E1F">
        <w:t xml:space="preserve">0.9%). </w:t>
      </w:r>
      <w:r w:rsidR="00120D71" w:rsidRPr="007D75C0">
        <w:rPr>
          <w:i/>
          <w:iCs/>
        </w:rPr>
        <w:t>TERT</w:t>
      </w:r>
      <w:r w:rsidR="00120D71" w:rsidRPr="00CE4E1F">
        <w:t xml:space="preserve"> promoter </w:t>
      </w:r>
      <w:r w:rsidR="00BE71B5" w:rsidRPr="00CE4E1F">
        <w:t xml:space="preserve">C228T and C250T </w:t>
      </w:r>
      <w:r w:rsidR="00120D71" w:rsidRPr="00CE4E1F">
        <w:t xml:space="preserve">hotspot mutations were not identified in the discovery cohort. </w:t>
      </w:r>
      <w:r w:rsidR="00120D71" w:rsidRPr="007D75C0">
        <w:rPr>
          <w:i/>
          <w:iCs/>
        </w:rPr>
        <w:t>BAP1</w:t>
      </w:r>
      <w:r w:rsidR="00120D71" w:rsidRPr="00CE4E1F">
        <w:t xml:space="preserve"> mutations were rare (N=5, 2.9%) and correlated with </w:t>
      </w:r>
      <w:r w:rsidR="00F038DC">
        <w:t>high histological</w:t>
      </w:r>
      <w:r w:rsidR="00F038DC" w:rsidRPr="00CE4E1F">
        <w:t xml:space="preserve"> </w:t>
      </w:r>
      <w:r w:rsidR="00120D71" w:rsidRPr="00CE4E1F">
        <w:t xml:space="preserve">grade and poor outcomes (N=3 </w:t>
      </w:r>
      <w:r w:rsidR="00105BC7" w:rsidRPr="00CE4E1F">
        <w:t>[</w:t>
      </w:r>
      <w:r w:rsidR="00120D71" w:rsidRPr="00CE4E1F">
        <w:t>60</w:t>
      </w:r>
      <w:r w:rsidR="004869D7">
        <w:t>.0</w:t>
      </w:r>
      <w:r w:rsidR="00120D71" w:rsidRPr="00CE4E1F">
        <w:t>%</w:t>
      </w:r>
      <w:r w:rsidR="00105BC7" w:rsidRPr="00CE4E1F">
        <w:t>]</w:t>
      </w:r>
      <w:r w:rsidR="00120D71" w:rsidRPr="00CE4E1F">
        <w:t xml:space="preserve"> WHO 2016 grade 2</w:t>
      </w:r>
      <w:r w:rsidR="00105BC7" w:rsidRPr="00CE4E1F">
        <w:t xml:space="preserve"> or </w:t>
      </w:r>
      <w:r w:rsidR="00120D71" w:rsidRPr="00CE4E1F">
        <w:t xml:space="preserve">3, 5-year LFFR 40.0%). </w:t>
      </w:r>
      <w:r w:rsidR="00C50FC4" w:rsidRPr="00CE4E1F">
        <w:t xml:space="preserve">Homozygous </w:t>
      </w:r>
      <w:r w:rsidR="00F17756" w:rsidRPr="00CE4E1F">
        <w:rPr>
          <w:i/>
        </w:rPr>
        <w:t>CDKN2A</w:t>
      </w:r>
      <w:r w:rsidR="004869D7">
        <w:rPr>
          <w:i/>
        </w:rPr>
        <w:t>/B</w:t>
      </w:r>
      <w:r w:rsidR="00F17756" w:rsidRPr="00CE4E1F">
        <w:t xml:space="preserve"> loss, derived from meningioma DNA CNVs</w:t>
      </w:r>
      <w:r w:rsidR="00105BC7" w:rsidRPr="00CE4E1F">
        <w:t xml:space="preserve"> (Supplemental Methods)</w:t>
      </w:r>
      <w:r w:rsidR="00F17756" w:rsidRPr="00CE4E1F">
        <w:t xml:space="preserve">, was identified in </w:t>
      </w:r>
      <w:r w:rsidR="00C50FC4" w:rsidRPr="00CE4E1F">
        <w:t xml:space="preserve">10 </w:t>
      </w:r>
      <w:r w:rsidR="00F17756" w:rsidRPr="00CE4E1F">
        <w:t>meningiomas</w:t>
      </w:r>
      <w:r w:rsidR="00C50FC4" w:rsidRPr="00CE4E1F">
        <w:t xml:space="preserve"> </w:t>
      </w:r>
      <w:r w:rsidR="00105BC7" w:rsidRPr="00CE4E1F">
        <w:t xml:space="preserve">from </w:t>
      </w:r>
      <w:r w:rsidR="00C50FC4" w:rsidRPr="00CE4E1F">
        <w:t xml:space="preserve">the </w:t>
      </w:r>
      <w:r w:rsidR="004869D7">
        <w:t xml:space="preserve">UCSF </w:t>
      </w:r>
      <w:r w:rsidR="00C50FC4" w:rsidRPr="00CE4E1F">
        <w:t>discovery cohort</w:t>
      </w:r>
      <w:r w:rsidR="00F17756" w:rsidRPr="00CE4E1F">
        <w:t xml:space="preserve"> (</w:t>
      </w:r>
      <w:r w:rsidR="001D6946" w:rsidRPr="00CE4E1F">
        <w:t>5.8</w:t>
      </w:r>
      <w:r w:rsidR="00F17756" w:rsidRPr="00CE4E1F">
        <w:t>%</w:t>
      </w:r>
      <w:r w:rsidR="00105BC7" w:rsidRPr="00CE4E1F">
        <w:t xml:space="preserve">, </w:t>
      </w:r>
      <w:r w:rsidR="008F2730" w:rsidRPr="00CE4E1F">
        <w:t>80</w:t>
      </w:r>
      <w:r w:rsidR="004869D7">
        <w:t>.0</w:t>
      </w:r>
      <w:r w:rsidR="008F2730" w:rsidRPr="00CE4E1F">
        <w:t>% WHO 2016 grade 3, 20</w:t>
      </w:r>
      <w:r w:rsidR="004869D7">
        <w:t>.0</w:t>
      </w:r>
      <w:r w:rsidR="008F2730" w:rsidRPr="00CE4E1F">
        <w:t xml:space="preserve">% </w:t>
      </w:r>
      <w:r w:rsidR="00A47FE4" w:rsidRPr="00CE4E1F">
        <w:t xml:space="preserve">WHO 2016 </w:t>
      </w:r>
      <w:r w:rsidR="008F2730" w:rsidRPr="00CE4E1F">
        <w:t>grade 2) and</w:t>
      </w:r>
      <w:r w:rsidR="00A47FE4" w:rsidRPr="00CE4E1F">
        <w:t xml:space="preserve"> was</w:t>
      </w:r>
      <w:r w:rsidR="008F2730" w:rsidRPr="00CE4E1F">
        <w:t xml:space="preserve"> associated with poor outcomes (5-year LFFR 14.2%)</w:t>
      </w:r>
      <w:r w:rsidR="00F17756" w:rsidRPr="00CE4E1F">
        <w:t xml:space="preserve">. </w:t>
      </w:r>
      <w:r w:rsidR="000239D5">
        <w:t xml:space="preserve">These findings were supported by targeted DNA sequencing of recurrent somatic short variants in 35 consecutive clinical validation cohort meningiomas from The University of Hong Kong using the same approach. </w:t>
      </w:r>
      <w:r w:rsidR="00F17756" w:rsidRPr="00CE4E1F">
        <w:t xml:space="preserve">Panel B shows the same oncoplot </w:t>
      </w:r>
      <w:r w:rsidR="00F038DC">
        <w:t>from the UCSF discovery cohort</w:t>
      </w:r>
      <w:r w:rsidR="00724053">
        <w:t xml:space="preserve"> but</w:t>
      </w:r>
      <w:r w:rsidR="00F038DC">
        <w:t xml:space="preserve"> </w:t>
      </w:r>
      <w:r w:rsidR="00F17756" w:rsidRPr="00CE4E1F">
        <w:t xml:space="preserve">ordered by </w:t>
      </w:r>
      <w:r w:rsidR="00D861F9">
        <w:t xml:space="preserve">VAF instead of </w:t>
      </w:r>
      <w:r w:rsidR="00F17756" w:rsidRPr="00CE4E1F">
        <w:t>gene expression risk score</w:t>
      </w:r>
      <w:r w:rsidR="00D861F9">
        <w:t>.</w:t>
      </w:r>
    </w:p>
    <w:p w14:paraId="6803646E" w14:textId="520B1B9C" w:rsidR="00797EA7" w:rsidRPr="00CE4E1F" w:rsidRDefault="00F17756" w:rsidP="00742F09">
      <w:pPr>
        <w:spacing w:line="360" w:lineRule="auto"/>
        <w:ind w:left="1440" w:hanging="1440"/>
        <w:contextualSpacing/>
        <w:jc w:val="both"/>
        <w:rPr>
          <w:b/>
          <w:bCs/>
        </w:rPr>
      </w:pPr>
      <w:r w:rsidRPr="00CE4E1F">
        <w:rPr>
          <w:b/>
        </w:rPr>
        <w:br w:type="column"/>
      </w:r>
      <w:r w:rsidR="00797EA7" w:rsidRPr="00CE4E1F">
        <w:rPr>
          <w:b/>
        </w:rPr>
        <w:lastRenderedPageBreak/>
        <w:t xml:space="preserve">Figure S4. </w:t>
      </w:r>
      <w:r w:rsidR="00797EA7" w:rsidRPr="00CE4E1F">
        <w:rPr>
          <w:b/>
          <w:bCs/>
        </w:rPr>
        <w:t xml:space="preserve">Gene expression </w:t>
      </w:r>
      <w:r w:rsidR="006C12DD">
        <w:rPr>
          <w:b/>
        </w:rPr>
        <w:t>biomarker</w:t>
      </w:r>
      <w:r w:rsidR="006C12DD" w:rsidRPr="00CE4E1F">
        <w:rPr>
          <w:b/>
        </w:rPr>
        <w:t xml:space="preserve"> </w:t>
      </w:r>
      <w:r w:rsidR="00825AF7" w:rsidRPr="00CE4E1F">
        <w:rPr>
          <w:b/>
          <w:bCs/>
        </w:rPr>
        <w:t xml:space="preserve">characteristics in the </w:t>
      </w:r>
      <w:r w:rsidR="00797EA7" w:rsidRPr="00CE4E1F">
        <w:rPr>
          <w:b/>
          <w:bCs/>
        </w:rPr>
        <w:t>analytical validation</w:t>
      </w:r>
      <w:r w:rsidR="00825AF7" w:rsidRPr="00CE4E1F">
        <w:rPr>
          <w:b/>
          <w:bCs/>
        </w:rPr>
        <w:t xml:space="preserve"> cohort</w:t>
      </w:r>
      <w:r w:rsidR="00797EA7" w:rsidRPr="00CE4E1F">
        <w:rPr>
          <w:b/>
          <w:bCs/>
        </w:rPr>
        <w:t xml:space="preserve">. </w:t>
      </w:r>
    </w:p>
    <w:p w14:paraId="0C49615D" w14:textId="3E741E43" w:rsidR="00C2593D" w:rsidRPr="00CE4E1F" w:rsidRDefault="00990A35" w:rsidP="00742F09">
      <w:pPr>
        <w:spacing w:line="360" w:lineRule="auto"/>
        <w:contextualSpacing/>
        <w:jc w:val="both"/>
        <w:rPr>
          <w:bCs/>
        </w:rPr>
      </w:pPr>
      <w:r>
        <w:rPr>
          <w:bCs/>
          <w:noProof/>
        </w:rPr>
        <w:drawing>
          <wp:inline distT="0" distB="0" distL="0" distR="0" wp14:anchorId="07B9D50C" wp14:editId="4CE58C0D">
            <wp:extent cx="5943600" cy="676973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stretch>
                      <a:fillRect/>
                    </a:stretch>
                  </pic:blipFill>
                  <pic:spPr>
                    <a:xfrm>
                      <a:off x="0" y="0"/>
                      <a:ext cx="5943600" cy="6769735"/>
                    </a:xfrm>
                    <a:prstGeom prst="rect">
                      <a:avLst/>
                    </a:prstGeom>
                  </pic:spPr>
                </pic:pic>
              </a:graphicData>
            </a:graphic>
          </wp:inline>
        </w:drawing>
      </w:r>
    </w:p>
    <w:p w14:paraId="3F770727" w14:textId="755BEE45" w:rsidR="004A197A" w:rsidRPr="00CE4E1F" w:rsidRDefault="00012E8C" w:rsidP="00742F09">
      <w:pPr>
        <w:spacing w:line="360" w:lineRule="auto"/>
        <w:contextualSpacing/>
        <w:jc w:val="both"/>
        <w:rPr>
          <w:bCs/>
        </w:rPr>
      </w:pPr>
      <w:r w:rsidRPr="00CE4E1F">
        <w:rPr>
          <w:bCs/>
        </w:rPr>
        <w:t>Panel A shows</w:t>
      </w:r>
      <w:r w:rsidR="001175C5" w:rsidRPr="00CE4E1F">
        <w:rPr>
          <w:bCs/>
        </w:rPr>
        <w:t xml:space="preserve"> </w:t>
      </w:r>
      <w:r w:rsidR="00C362B9" w:rsidRPr="00CE4E1F">
        <w:rPr>
          <w:bCs/>
        </w:rPr>
        <w:t>gene expression risk score</w:t>
      </w:r>
      <w:r w:rsidR="00724053">
        <w:rPr>
          <w:bCs/>
        </w:rPr>
        <w:t xml:space="preserve"> concordance</w:t>
      </w:r>
      <w:r w:rsidR="00C362B9" w:rsidRPr="00CE4E1F">
        <w:rPr>
          <w:bCs/>
        </w:rPr>
        <w:t xml:space="preserve"> across multiple conditions and replicates</w:t>
      </w:r>
      <w:r w:rsidR="00093089" w:rsidRPr="00CE4E1F">
        <w:rPr>
          <w:bCs/>
        </w:rPr>
        <w:t>. T</w:t>
      </w:r>
      <w:r w:rsidR="00C362B9" w:rsidRPr="00CE4E1F">
        <w:rPr>
          <w:bCs/>
        </w:rPr>
        <w:t>est-retest conditions</w:t>
      </w:r>
      <w:r w:rsidR="00D75130" w:rsidRPr="00CE4E1F">
        <w:rPr>
          <w:bCs/>
        </w:rPr>
        <w:t xml:space="preserve"> (combined N=44, R=0.94, P&lt;0.0001)</w:t>
      </w:r>
      <w:r w:rsidR="00C362B9" w:rsidRPr="00CE4E1F">
        <w:rPr>
          <w:bCs/>
        </w:rPr>
        <w:t xml:space="preserve"> </w:t>
      </w:r>
      <w:r w:rsidR="00093089" w:rsidRPr="00CE4E1F">
        <w:rPr>
          <w:bCs/>
        </w:rPr>
        <w:t xml:space="preserve">were </w:t>
      </w:r>
      <w:r w:rsidR="00D75130" w:rsidRPr="00CE4E1F">
        <w:rPr>
          <w:bCs/>
        </w:rPr>
        <w:t>comprised of</w:t>
      </w:r>
      <w:r w:rsidR="00C362B9" w:rsidRPr="00CE4E1F">
        <w:rPr>
          <w:bCs/>
        </w:rPr>
        <w:t xml:space="preserve"> varying probe batch</w:t>
      </w:r>
      <w:r w:rsidR="00093089" w:rsidRPr="00CE4E1F">
        <w:rPr>
          <w:bCs/>
        </w:rPr>
        <w:t>es</w:t>
      </w:r>
      <w:r w:rsidR="00C362B9" w:rsidRPr="00CE4E1F">
        <w:rPr>
          <w:bCs/>
        </w:rPr>
        <w:t xml:space="preserve"> (N=10, R=0.98, P&lt;0.0001), </w:t>
      </w:r>
      <w:r w:rsidR="00093089" w:rsidRPr="00CE4E1F">
        <w:rPr>
          <w:bCs/>
        </w:rPr>
        <w:t>within</w:t>
      </w:r>
      <w:r w:rsidR="00D75130" w:rsidRPr="00CE4E1F">
        <w:rPr>
          <w:bCs/>
        </w:rPr>
        <w:t xml:space="preserve"> </w:t>
      </w:r>
      <w:r w:rsidR="00093089" w:rsidRPr="00CE4E1F">
        <w:rPr>
          <w:bCs/>
        </w:rPr>
        <w:t xml:space="preserve">probe </w:t>
      </w:r>
      <w:r w:rsidR="00C362B9" w:rsidRPr="00CE4E1F">
        <w:rPr>
          <w:bCs/>
        </w:rPr>
        <w:t xml:space="preserve">batch testing </w:t>
      </w:r>
      <w:r w:rsidR="001175C5" w:rsidRPr="00CE4E1F">
        <w:rPr>
          <w:bCs/>
        </w:rPr>
        <w:t>of technical replicates (N=</w:t>
      </w:r>
      <w:r w:rsidR="00D75130" w:rsidRPr="00CE4E1F">
        <w:rPr>
          <w:bCs/>
        </w:rPr>
        <w:t>12</w:t>
      </w:r>
      <w:r w:rsidR="001175C5" w:rsidRPr="00CE4E1F">
        <w:rPr>
          <w:bCs/>
        </w:rPr>
        <w:t>,</w:t>
      </w:r>
      <w:r w:rsidR="008529DC" w:rsidRPr="00CE4E1F">
        <w:rPr>
          <w:bCs/>
        </w:rPr>
        <w:t xml:space="preserve"> </w:t>
      </w:r>
      <w:r w:rsidR="001175C5" w:rsidRPr="00CE4E1F">
        <w:rPr>
          <w:bCs/>
        </w:rPr>
        <w:t>R=</w:t>
      </w:r>
      <w:r w:rsidR="008529DC" w:rsidRPr="00CE4E1F">
        <w:rPr>
          <w:bCs/>
        </w:rPr>
        <w:t>0.9</w:t>
      </w:r>
      <w:r w:rsidR="00D75130" w:rsidRPr="00CE4E1F">
        <w:rPr>
          <w:bCs/>
        </w:rPr>
        <w:t>8</w:t>
      </w:r>
      <w:r w:rsidR="001175C5" w:rsidRPr="00CE4E1F">
        <w:rPr>
          <w:bCs/>
        </w:rPr>
        <w:t xml:space="preserve">, P&lt;0.0001), </w:t>
      </w:r>
      <w:r w:rsidR="00093089" w:rsidRPr="00CE4E1F">
        <w:rPr>
          <w:bCs/>
        </w:rPr>
        <w:t>and</w:t>
      </w:r>
      <w:r w:rsidR="001175C5" w:rsidRPr="00CE4E1F">
        <w:rPr>
          <w:bCs/>
        </w:rPr>
        <w:t xml:space="preserve"> test-retest conditions </w:t>
      </w:r>
      <w:r w:rsidR="004869D7">
        <w:rPr>
          <w:bCs/>
        </w:rPr>
        <w:t>for</w:t>
      </w:r>
      <w:r w:rsidR="001175C5" w:rsidRPr="00CE4E1F">
        <w:rPr>
          <w:bCs/>
        </w:rPr>
        <w:t xml:space="preserve"> </w:t>
      </w:r>
      <w:r w:rsidR="00093089" w:rsidRPr="00CE4E1F">
        <w:rPr>
          <w:bCs/>
        </w:rPr>
        <w:t>meningiomas</w:t>
      </w:r>
      <w:r w:rsidR="001175C5" w:rsidRPr="00CE4E1F">
        <w:rPr>
          <w:bCs/>
        </w:rPr>
        <w:t xml:space="preserve"> with </w:t>
      </w:r>
      <w:r w:rsidR="00093089" w:rsidRPr="00CE4E1F">
        <w:rPr>
          <w:bCs/>
        </w:rPr>
        <w:t xml:space="preserve">serial </w:t>
      </w:r>
      <w:r w:rsidR="001175C5" w:rsidRPr="00CE4E1F">
        <w:rPr>
          <w:bCs/>
        </w:rPr>
        <w:t xml:space="preserve">RNA extraction on the </w:t>
      </w:r>
      <w:r w:rsidR="001175C5" w:rsidRPr="00CE4E1F">
        <w:rPr>
          <w:bCs/>
        </w:rPr>
        <w:lastRenderedPageBreak/>
        <w:t xml:space="preserve">same </w:t>
      </w:r>
      <w:r w:rsidR="0027075C">
        <w:rPr>
          <w:bCs/>
        </w:rPr>
        <w:t>FFPE</w:t>
      </w:r>
      <w:r w:rsidR="0027075C" w:rsidRPr="00CE4E1F">
        <w:rPr>
          <w:bCs/>
        </w:rPr>
        <w:t xml:space="preserve"> </w:t>
      </w:r>
      <w:r w:rsidR="001175C5" w:rsidRPr="00CE4E1F">
        <w:rPr>
          <w:bCs/>
        </w:rPr>
        <w:t xml:space="preserve">block or </w:t>
      </w:r>
      <w:r w:rsidR="0027075C">
        <w:rPr>
          <w:bCs/>
        </w:rPr>
        <w:t xml:space="preserve">frozen </w:t>
      </w:r>
      <w:r w:rsidR="001175C5" w:rsidRPr="00CE4E1F">
        <w:rPr>
          <w:bCs/>
        </w:rPr>
        <w:t>tumor chunk at least 4 weeks apart (N=</w:t>
      </w:r>
      <w:r w:rsidR="00D75130" w:rsidRPr="00CE4E1F">
        <w:rPr>
          <w:bCs/>
        </w:rPr>
        <w:t>22</w:t>
      </w:r>
      <w:r w:rsidR="001175C5" w:rsidRPr="00CE4E1F">
        <w:rPr>
          <w:bCs/>
        </w:rPr>
        <w:t>, R=</w:t>
      </w:r>
      <w:r w:rsidR="00D75130" w:rsidRPr="00CE4E1F">
        <w:rPr>
          <w:bCs/>
        </w:rPr>
        <w:t>0.94</w:t>
      </w:r>
      <w:r w:rsidR="001175C5" w:rsidRPr="00CE4E1F">
        <w:rPr>
          <w:bCs/>
        </w:rPr>
        <w:t xml:space="preserve">, P&lt;0.001). </w:t>
      </w:r>
      <w:r w:rsidR="00093089" w:rsidRPr="00CE4E1F">
        <w:rPr>
          <w:bCs/>
        </w:rPr>
        <w:t>Gene expression risk scores on p</w:t>
      </w:r>
      <w:r w:rsidR="001175C5" w:rsidRPr="00CE4E1F">
        <w:rPr>
          <w:bCs/>
        </w:rPr>
        <w:t xml:space="preserve">aired frozen/FFPE </w:t>
      </w:r>
      <w:r w:rsidR="00093089" w:rsidRPr="00CE4E1F">
        <w:rPr>
          <w:bCs/>
        </w:rPr>
        <w:t>meningiomas</w:t>
      </w:r>
      <w:r w:rsidR="001175C5" w:rsidRPr="00CE4E1F">
        <w:rPr>
          <w:bCs/>
        </w:rPr>
        <w:t xml:space="preserve"> </w:t>
      </w:r>
      <w:r w:rsidR="004869D7">
        <w:rPr>
          <w:bCs/>
        </w:rPr>
        <w:t xml:space="preserve">also </w:t>
      </w:r>
      <w:r w:rsidR="001175C5" w:rsidRPr="00CE4E1F">
        <w:rPr>
          <w:bCs/>
        </w:rPr>
        <w:t xml:space="preserve">demonstrated high concordance (N=90, R=0.88, P&lt;0.001), and FFPE gene expression risk scores </w:t>
      </w:r>
      <w:r w:rsidR="00CE64E0" w:rsidRPr="00CE4E1F">
        <w:rPr>
          <w:bCs/>
        </w:rPr>
        <w:t xml:space="preserve">provided </w:t>
      </w:r>
      <w:r w:rsidR="001175C5" w:rsidRPr="00CE4E1F">
        <w:rPr>
          <w:bCs/>
        </w:rPr>
        <w:t xml:space="preserve">excellent </w:t>
      </w:r>
      <w:r w:rsidR="00CE64E0" w:rsidRPr="00CE4E1F">
        <w:rPr>
          <w:bCs/>
        </w:rPr>
        <w:t xml:space="preserve">discrimination of outcomes </w:t>
      </w:r>
      <w:r w:rsidR="001175C5" w:rsidRPr="00CE4E1F">
        <w:rPr>
          <w:bCs/>
        </w:rPr>
        <w:t xml:space="preserve">across FFPE </w:t>
      </w:r>
      <w:r w:rsidR="004A31DA">
        <w:rPr>
          <w:bCs/>
        </w:rPr>
        <w:t xml:space="preserve">clinical </w:t>
      </w:r>
      <w:r w:rsidR="001175C5" w:rsidRPr="00CE4E1F">
        <w:rPr>
          <w:bCs/>
        </w:rPr>
        <w:t>validation datasets</w:t>
      </w:r>
      <w:r w:rsidR="00A50E95" w:rsidRPr="00CE4E1F">
        <w:rPr>
          <w:bCs/>
        </w:rPr>
        <w:t>, including a prospective clinical trial</w:t>
      </w:r>
      <w:r w:rsidR="001175C5" w:rsidRPr="00CE4E1F">
        <w:rPr>
          <w:bCs/>
        </w:rPr>
        <w:t xml:space="preserve"> (</w:t>
      </w:r>
      <w:r w:rsidR="00A50E95" w:rsidRPr="00CE4E1F">
        <w:rPr>
          <w:bCs/>
        </w:rPr>
        <w:t>Figure</w:t>
      </w:r>
      <w:r w:rsidR="004869D7">
        <w:rPr>
          <w:bCs/>
        </w:rPr>
        <w:t>s</w:t>
      </w:r>
      <w:r w:rsidR="00A50E95" w:rsidRPr="00CE4E1F">
        <w:rPr>
          <w:bCs/>
        </w:rPr>
        <w:t xml:space="preserve"> </w:t>
      </w:r>
      <w:r w:rsidR="004869D7">
        <w:rPr>
          <w:bCs/>
        </w:rPr>
        <w:t xml:space="preserve">2, 3, </w:t>
      </w:r>
      <w:r w:rsidR="00A50E95" w:rsidRPr="00CE4E1F">
        <w:rPr>
          <w:bCs/>
        </w:rPr>
        <w:t>5</w:t>
      </w:r>
      <w:r w:rsidR="004869D7">
        <w:rPr>
          <w:bCs/>
        </w:rPr>
        <w:t>, S5,</w:t>
      </w:r>
      <w:r w:rsidR="003A67D9">
        <w:rPr>
          <w:bCs/>
        </w:rPr>
        <w:t xml:space="preserve"> S6, </w:t>
      </w:r>
      <w:r w:rsidR="004869D7">
        <w:rPr>
          <w:bCs/>
        </w:rPr>
        <w:t>S8</w:t>
      </w:r>
      <w:r w:rsidR="001175C5" w:rsidRPr="00CE4E1F">
        <w:rPr>
          <w:bCs/>
        </w:rPr>
        <w:t>).</w:t>
      </w:r>
      <w:r w:rsidR="00E777BE" w:rsidRPr="00CE4E1F">
        <w:rPr>
          <w:bCs/>
        </w:rPr>
        <w:t xml:space="preserve"> </w:t>
      </w:r>
      <w:r w:rsidR="00CE64E0" w:rsidRPr="00CE4E1F">
        <w:rPr>
          <w:bCs/>
        </w:rPr>
        <w:t>Panel B shows</w:t>
      </w:r>
      <w:r w:rsidR="00481442" w:rsidRPr="00CE4E1F">
        <w:rPr>
          <w:bCs/>
        </w:rPr>
        <w:t xml:space="preserve"> </w:t>
      </w:r>
      <w:r w:rsidR="00CE64E0" w:rsidRPr="00CE4E1F">
        <w:rPr>
          <w:bCs/>
        </w:rPr>
        <w:t>p</w:t>
      </w:r>
      <w:r w:rsidR="00481442" w:rsidRPr="00CE4E1F">
        <w:rPr>
          <w:bCs/>
        </w:rPr>
        <w:t xml:space="preserve">rincipal component analysis </w:t>
      </w:r>
      <w:r w:rsidR="00CE64E0" w:rsidRPr="00CE4E1F">
        <w:rPr>
          <w:bCs/>
        </w:rPr>
        <w:t>on</w:t>
      </w:r>
      <w:r w:rsidR="00481442" w:rsidRPr="00CE4E1F">
        <w:rPr>
          <w:bCs/>
        </w:rPr>
        <w:t xml:space="preserve"> FFPE </w:t>
      </w:r>
      <w:r w:rsidR="00CE64E0" w:rsidRPr="00CE4E1F">
        <w:rPr>
          <w:bCs/>
        </w:rPr>
        <w:t xml:space="preserve">gene expression risk scores from meningiomas </w:t>
      </w:r>
      <w:r w:rsidR="00481442" w:rsidRPr="00CE4E1F">
        <w:rPr>
          <w:bCs/>
        </w:rPr>
        <w:t xml:space="preserve">processed at multiple laboratories spanning academic </w:t>
      </w:r>
      <w:r w:rsidR="00CE64E0" w:rsidRPr="00CE4E1F">
        <w:rPr>
          <w:bCs/>
        </w:rPr>
        <w:t xml:space="preserve">institutions </w:t>
      </w:r>
      <w:r w:rsidR="00481442" w:rsidRPr="00CE4E1F">
        <w:rPr>
          <w:bCs/>
        </w:rPr>
        <w:t>(Northwestern University</w:t>
      </w:r>
      <w:r w:rsidR="004A31DA">
        <w:rPr>
          <w:bCs/>
        </w:rPr>
        <w:t xml:space="preserve">, </w:t>
      </w:r>
      <w:r w:rsidR="00481442" w:rsidRPr="00CE4E1F">
        <w:rPr>
          <w:bCs/>
        </w:rPr>
        <w:t xml:space="preserve">San Francisco Veterans Administration) </w:t>
      </w:r>
      <w:r w:rsidR="00CE64E0" w:rsidRPr="00CE4E1F">
        <w:rPr>
          <w:bCs/>
        </w:rPr>
        <w:t xml:space="preserve">or </w:t>
      </w:r>
      <w:r w:rsidR="00481442" w:rsidRPr="00CE4E1F">
        <w:rPr>
          <w:bCs/>
        </w:rPr>
        <w:t xml:space="preserve">Clinical Laboratory Improvement </w:t>
      </w:r>
      <w:r w:rsidR="0071348A" w:rsidRPr="00CE4E1F">
        <w:rPr>
          <w:bCs/>
        </w:rPr>
        <w:t>Amendments</w:t>
      </w:r>
      <w:r w:rsidR="00481442" w:rsidRPr="00CE4E1F">
        <w:rPr>
          <w:bCs/>
        </w:rPr>
        <w:t xml:space="preserve"> (CLIA) certified </w:t>
      </w:r>
      <w:r w:rsidR="00CE64E0" w:rsidRPr="00CE4E1F">
        <w:rPr>
          <w:bCs/>
        </w:rPr>
        <w:t xml:space="preserve">private industry </w:t>
      </w:r>
      <w:r w:rsidR="00481442" w:rsidRPr="00CE4E1F">
        <w:rPr>
          <w:bCs/>
        </w:rPr>
        <w:t xml:space="preserve">(Canopy Biosciences), demonstrating </w:t>
      </w:r>
      <w:r w:rsidR="003A67D9">
        <w:rPr>
          <w:bCs/>
        </w:rPr>
        <w:t>no</w:t>
      </w:r>
      <w:r w:rsidR="00481442" w:rsidRPr="00CE4E1F">
        <w:rPr>
          <w:bCs/>
        </w:rPr>
        <w:t xml:space="preserve"> lab</w:t>
      </w:r>
      <w:r w:rsidR="00CE64E0" w:rsidRPr="00CE4E1F">
        <w:rPr>
          <w:bCs/>
        </w:rPr>
        <w:t>oratory</w:t>
      </w:r>
      <w:r w:rsidR="00481442" w:rsidRPr="00CE4E1F">
        <w:rPr>
          <w:bCs/>
        </w:rPr>
        <w:t xml:space="preserve"> batch effect</w:t>
      </w:r>
      <w:r w:rsidR="003A67D9">
        <w:rPr>
          <w:bCs/>
        </w:rPr>
        <w:t>s</w:t>
      </w:r>
      <w:r w:rsidR="00481442" w:rsidRPr="00CE4E1F">
        <w:rPr>
          <w:bCs/>
        </w:rPr>
        <w:t xml:space="preserve">. </w:t>
      </w:r>
      <w:r w:rsidR="00CE64E0" w:rsidRPr="00CE4E1F">
        <w:rPr>
          <w:bCs/>
        </w:rPr>
        <w:t>Panel C shows</w:t>
      </w:r>
      <w:r w:rsidR="001175C5" w:rsidRPr="00CE4E1F">
        <w:rPr>
          <w:bCs/>
        </w:rPr>
        <w:t xml:space="preserve"> publicly available microarray </w:t>
      </w:r>
      <w:r w:rsidR="00CE64E0" w:rsidRPr="00CE4E1F">
        <w:rPr>
          <w:bCs/>
        </w:rPr>
        <w:t xml:space="preserve">and clinical data that </w:t>
      </w:r>
      <w:r w:rsidR="00530967">
        <w:rPr>
          <w:bCs/>
        </w:rPr>
        <w:t>were</w:t>
      </w:r>
      <w:r w:rsidR="00530967" w:rsidRPr="00CE4E1F">
        <w:rPr>
          <w:bCs/>
        </w:rPr>
        <w:t xml:space="preserve"> </w:t>
      </w:r>
      <w:r w:rsidR="00CE64E0" w:rsidRPr="00CE4E1F">
        <w:rPr>
          <w:bCs/>
        </w:rPr>
        <w:t xml:space="preserve">used to test the performance of the gene expression risk score on a non-Nanostring platform </w:t>
      </w:r>
      <w:r w:rsidR="001175C5" w:rsidRPr="00CE4E1F">
        <w:rPr>
          <w:bCs/>
        </w:rPr>
        <w:t xml:space="preserve">(N=33 of 34 genes available). </w:t>
      </w:r>
      <w:r w:rsidR="00D36C88" w:rsidRPr="00CE4E1F">
        <w:rPr>
          <w:bCs/>
        </w:rPr>
        <w:t>No paired microarray</w:t>
      </w:r>
      <w:r w:rsidR="00CE64E0" w:rsidRPr="00CE4E1F">
        <w:rPr>
          <w:bCs/>
        </w:rPr>
        <w:t>/</w:t>
      </w:r>
      <w:r w:rsidR="00D36C88" w:rsidRPr="00CE4E1F">
        <w:rPr>
          <w:bCs/>
        </w:rPr>
        <w:t xml:space="preserve">Nanostring data was available to train a calibration model, </w:t>
      </w:r>
      <w:r w:rsidR="00CE64E0" w:rsidRPr="00CE4E1F">
        <w:rPr>
          <w:bCs/>
        </w:rPr>
        <w:t xml:space="preserve">which precluded </w:t>
      </w:r>
      <w:r w:rsidR="00D36C88" w:rsidRPr="00CE4E1F">
        <w:rPr>
          <w:bCs/>
        </w:rPr>
        <w:t xml:space="preserve">direct comparison. </w:t>
      </w:r>
      <w:r w:rsidR="00CE64E0" w:rsidRPr="00CE4E1F">
        <w:rPr>
          <w:bCs/>
        </w:rPr>
        <w:t>Thus,</w:t>
      </w:r>
      <w:r w:rsidR="00D36C88" w:rsidRPr="00CE4E1F">
        <w:rPr>
          <w:bCs/>
        </w:rPr>
        <w:t xml:space="preserve"> the RNA</w:t>
      </w:r>
      <w:r w:rsidR="00CE64E0" w:rsidRPr="00CE4E1F">
        <w:rPr>
          <w:bCs/>
        </w:rPr>
        <w:t xml:space="preserve"> </w:t>
      </w:r>
      <w:r w:rsidR="00D36C88" w:rsidRPr="00CE4E1F">
        <w:rPr>
          <w:bCs/>
        </w:rPr>
        <w:t>seq</w:t>
      </w:r>
      <w:r w:rsidR="00CE64E0" w:rsidRPr="00CE4E1F">
        <w:rPr>
          <w:bCs/>
        </w:rPr>
        <w:t>uencing</w:t>
      </w:r>
      <w:r w:rsidR="00D36C88" w:rsidRPr="00CE4E1F">
        <w:rPr>
          <w:bCs/>
        </w:rPr>
        <w:t xml:space="preserve"> calibration model </w:t>
      </w:r>
      <w:r w:rsidR="00CE64E0" w:rsidRPr="00CE4E1F">
        <w:rPr>
          <w:bCs/>
        </w:rPr>
        <w:t xml:space="preserve">described below (and </w:t>
      </w:r>
      <w:r w:rsidR="00530967">
        <w:rPr>
          <w:bCs/>
        </w:rPr>
        <w:t>described in</w:t>
      </w:r>
      <w:r w:rsidR="00530967" w:rsidRPr="00CE4E1F">
        <w:rPr>
          <w:bCs/>
        </w:rPr>
        <w:t xml:space="preserve"> </w:t>
      </w:r>
      <w:r w:rsidR="00CE64E0" w:rsidRPr="00CE4E1F">
        <w:rPr>
          <w:bCs/>
        </w:rPr>
        <w:t xml:space="preserve">further detail in the Supplemental Methods) </w:t>
      </w:r>
      <w:r w:rsidR="00D36C88" w:rsidRPr="00CE4E1F">
        <w:rPr>
          <w:bCs/>
        </w:rPr>
        <w:t xml:space="preserve">was adapted to </w:t>
      </w:r>
      <w:r w:rsidR="00CE64E0" w:rsidRPr="00CE4E1F">
        <w:rPr>
          <w:bCs/>
        </w:rPr>
        <w:t>microarray data</w:t>
      </w:r>
      <w:r w:rsidR="00D36C88" w:rsidRPr="00CE4E1F">
        <w:rPr>
          <w:bCs/>
        </w:rPr>
        <w:t xml:space="preserve"> as an exploratory analysis, yielding prognostic risk groups as shown in the Kaplan Meier plot.</w:t>
      </w:r>
      <w:r w:rsidR="00D75130" w:rsidRPr="00CE4E1F">
        <w:rPr>
          <w:bCs/>
        </w:rPr>
        <w:t xml:space="preserve"> </w:t>
      </w:r>
      <w:r w:rsidR="00CE64E0" w:rsidRPr="00CE4E1F">
        <w:rPr>
          <w:bCs/>
        </w:rPr>
        <w:t xml:space="preserve">Panel D shows </w:t>
      </w:r>
      <w:r w:rsidR="009475E5" w:rsidRPr="00CE4E1F">
        <w:rPr>
          <w:bCs/>
        </w:rPr>
        <w:t xml:space="preserve">concordance of gene expression risk scores derived from </w:t>
      </w:r>
      <w:r w:rsidR="00CE64E0" w:rsidRPr="00CE4E1F">
        <w:rPr>
          <w:bCs/>
        </w:rPr>
        <w:t xml:space="preserve">RNA sequencing </w:t>
      </w:r>
      <w:r w:rsidR="009475E5" w:rsidRPr="00CE4E1F">
        <w:rPr>
          <w:bCs/>
        </w:rPr>
        <w:t xml:space="preserve">or </w:t>
      </w:r>
      <w:r w:rsidR="00D75130" w:rsidRPr="00CE4E1F">
        <w:rPr>
          <w:bCs/>
        </w:rPr>
        <w:t xml:space="preserve">Nanostring </w:t>
      </w:r>
      <w:r w:rsidR="009475E5" w:rsidRPr="00CE4E1F">
        <w:rPr>
          <w:bCs/>
        </w:rPr>
        <w:t xml:space="preserve">targeted gene expression profiling on the same meningiomas </w:t>
      </w:r>
      <w:r w:rsidR="00D75130" w:rsidRPr="00CE4E1F">
        <w:rPr>
          <w:bCs/>
        </w:rPr>
        <w:t>(N=</w:t>
      </w:r>
      <w:r w:rsidR="00481442" w:rsidRPr="00CE4E1F">
        <w:rPr>
          <w:bCs/>
        </w:rPr>
        <w:t xml:space="preserve">475 </w:t>
      </w:r>
      <w:r w:rsidR="009475E5" w:rsidRPr="00CE4E1F">
        <w:rPr>
          <w:bCs/>
        </w:rPr>
        <w:t>meningiomas</w:t>
      </w:r>
      <w:r w:rsidR="00481442" w:rsidRPr="00CE4E1F">
        <w:rPr>
          <w:bCs/>
        </w:rPr>
        <w:t xml:space="preserve">, </w:t>
      </w:r>
      <w:r w:rsidR="00D75130" w:rsidRPr="00CE4E1F">
        <w:rPr>
          <w:bCs/>
        </w:rPr>
        <w:t>R=0.89, P&lt;0.0001)</w:t>
      </w:r>
      <w:r w:rsidR="00D36C88" w:rsidRPr="00CE4E1F">
        <w:rPr>
          <w:bCs/>
        </w:rPr>
        <w:t xml:space="preserve">. </w:t>
      </w:r>
      <w:r w:rsidR="009475E5" w:rsidRPr="00CE4E1F">
        <w:rPr>
          <w:bCs/>
        </w:rPr>
        <w:t>Panel E shows the distribution of g</w:t>
      </w:r>
      <w:r w:rsidR="00481442" w:rsidRPr="00CE4E1F">
        <w:rPr>
          <w:bCs/>
        </w:rPr>
        <w:t xml:space="preserve">ene expression risk scores derived from </w:t>
      </w:r>
      <w:r w:rsidR="005562C1">
        <w:rPr>
          <w:bCs/>
        </w:rPr>
        <w:t xml:space="preserve">RNA sequencing of cohorts </w:t>
      </w:r>
      <w:r w:rsidR="00481442" w:rsidRPr="00CE4E1F">
        <w:rPr>
          <w:bCs/>
        </w:rPr>
        <w:t xml:space="preserve">overlapping (UCSF, </w:t>
      </w:r>
      <w:r w:rsidR="00537DB1" w:rsidRPr="00CE4E1F">
        <w:rPr>
          <w:bCs/>
        </w:rPr>
        <w:t xml:space="preserve">The </w:t>
      </w:r>
      <w:r w:rsidR="00481442" w:rsidRPr="00CE4E1F">
        <w:rPr>
          <w:bCs/>
        </w:rPr>
        <w:t xml:space="preserve">University of Hong Kong, N=502) </w:t>
      </w:r>
      <w:r w:rsidR="005562C1">
        <w:rPr>
          <w:bCs/>
        </w:rPr>
        <w:t>or</w:t>
      </w:r>
      <w:r w:rsidR="00481442" w:rsidRPr="00CE4E1F">
        <w:rPr>
          <w:bCs/>
        </w:rPr>
        <w:t xml:space="preserve"> non-overlapping (Caris Life Sciences, Heidelberg </w:t>
      </w:r>
      <w:r w:rsidR="0071348A" w:rsidRPr="00CE4E1F">
        <w:rPr>
          <w:bCs/>
        </w:rPr>
        <w:t>University</w:t>
      </w:r>
      <w:r w:rsidR="00481442" w:rsidRPr="00CE4E1F">
        <w:rPr>
          <w:bCs/>
        </w:rPr>
        <w:t xml:space="preserve">, Brigham and Women’s Hospital, University Hospital Magdeburg, Children’s Brain Tumor Network, Baylor </w:t>
      </w:r>
      <w:r w:rsidR="005562C1">
        <w:rPr>
          <w:bCs/>
        </w:rPr>
        <w:t>College of Medicine</w:t>
      </w:r>
      <w:r w:rsidR="00481442" w:rsidRPr="00CE4E1F">
        <w:rPr>
          <w:bCs/>
        </w:rPr>
        <w:t xml:space="preserve">, </w:t>
      </w:r>
      <w:r w:rsidR="00D84BB0" w:rsidRPr="00CE4E1F">
        <w:rPr>
          <w:bCs/>
        </w:rPr>
        <w:t xml:space="preserve"> </w:t>
      </w:r>
      <w:r w:rsidR="00481442" w:rsidRPr="00CE4E1F">
        <w:rPr>
          <w:bCs/>
        </w:rPr>
        <w:t>N=6</w:t>
      </w:r>
      <w:r w:rsidR="00D84BB0" w:rsidRPr="00CE4E1F">
        <w:rPr>
          <w:bCs/>
        </w:rPr>
        <w:t>40</w:t>
      </w:r>
      <w:r w:rsidR="00481442" w:rsidRPr="00CE4E1F">
        <w:rPr>
          <w:bCs/>
        </w:rPr>
        <w:t xml:space="preserve">) </w:t>
      </w:r>
      <w:r w:rsidR="005562C1">
        <w:rPr>
          <w:bCs/>
        </w:rPr>
        <w:t>with the discovery or clinical validation cohorts,</w:t>
      </w:r>
      <w:r w:rsidR="00481442" w:rsidRPr="00CE4E1F">
        <w:rPr>
          <w:bCs/>
        </w:rPr>
        <w:t xml:space="preserve"> </w:t>
      </w:r>
      <w:r w:rsidR="00537DB1" w:rsidRPr="00CE4E1F">
        <w:rPr>
          <w:bCs/>
        </w:rPr>
        <w:t>comprising</w:t>
      </w:r>
      <w:r w:rsidR="00481442" w:rsidRPr="00CE4E1F">
        <w:rPr>
          <w:bCs/>
        </w:rPr>
        <w:t xml:space="preserve"> 11</w:t>
      </w:r>
      <w:r w:rsidR="00D84BB0" w:rsidRPr="00CE4E1F">
        <w:rPr>
          <w:bCs/>
        </w:rPr>
        <w:t>42</w:t>
      </w:r>
      <w:r w:rsidR="00481442" w:rsidRPr="00CE4E1F">
        <w:rPr>
          <w:bCs/>
        </w:rPr>
        <w:t xml:space="preserve"> unique </w:t>
      </w:r>
      <w:r w:rsidR="0071348A" w:rsidRPr="00CE4E1F">
        <w:rPr>
          <w:bCs/>
        </w:rPr>
        <w:t>meningiomas</w:t>
      </w:r>
      <w:r w:rsidR="00537DB1" w:rsidRPr="00CE4E1F">
        <w:rPr>
          <w:bCs/>
        </w:rPr>
        <w:t>. Gene expression risk</w:t>
      </w:r>
      <w:r w:rsidR="00481442" w:rsidRPr="00CE4E1F">
        <w:rPr>
          <w:bCs/>
        </w:rPr>
        <w:t xml:space="preserve"> scores remained well distributed across all datasets, including </w:t>
      </w:r>
      <w:r w:rsidR="005562C1">
        <w:rPr>
          <w:bCs/>
        </w:rPr>
        <w:t xml:space="preserve">RNA sequencing of </w:t>
      </w:r>
      <w:r w:rsidR="00481442" w:rsidRPr="00CE4E1F">
        <w:rPr>
          <w:bCs/>
        </w:rPr>
        <w:t xml:space="preserve">pediatric meningiomas (Children’s Brain Tumor Network, N=29), </w:t>
      </w:r>
      <w:r w:rsidR="00537DB1" w:rsidRPr="00CE4E1F">
        <w:rPr>
          <w:bCs/>
        </w:rPr>
        <w:t xml:space="preserve">meningiomas with </w:t>
      </w:r>
      <w:r w:rsidR="00DC6F50">
        <w:rPr>
          <w:i/>
        </w:rPr>
        <w:t>KLF4</w:t>
      </w:r>
      <w:r w:rsidR="008A321E">
        <w:rPr>
          <w:i/>
        </w:rPr>
        <w:t xml:space="preserve"> or AKT1</w:t>
      </w:r>
      <w:r w:rsidR="005562C1" w:rsidRPr="00CE4E1F">
        <w:rPr>
          <w:bCs/>
        </w:rPr>
        <w:t xml:space="preserve"> </w:t>
      </w:r>
      <w:r w:rsidR="00537DB1" w:rsidRPr="00CE4E1F">
        <w:rPr>
          <w:bCs/>
        </w:rPr>
        <w:t>somatic short variants</w:t>
      </w:r>
      <w:r w:rsidR="00BC4582">
        <w:rPr>
          <w:bCs/>
        </w:rPr>
        <w:fldChar w:fldCharType="begin" w:fldLock="1"/>
      </w:r>
      <w:r w:rsidR="000F4EF5">
        <w:rPr>
          <w:bCs/>
        </w:rPr>
        <w:instrText>ADDIN CSL_CITATION {"citationItems":[{"id":"ITEM-1","itemData":{"DOI":"10.1186/s40478-020-00912-x","ISSN":"20515960","PMID":"32245394","abstract":"Meningioma represents the most common primary brain tumor in adults. Recently several non-NF2 mutations in meningioma have been identified and correlated with certain pathological subtypes, locations and clinical observations. Alterations of cellular pathways due to these mutations, however, have largely remained elusive. Here we report that the Krueppel like factor 4 (KLF4)-K409Q mutation in skull base meningiomas triggers a distinct tumor phenotype. Transcriptomic analysis of 17 meningioma samples revealed that KLF4 K409Q mutated tumors harbor an upregulation of hypoxia dependent pathways. Detailed in vitro investigation further showed that the KLF4 K409Q mutation induces HIF-1α through the reduction of prolyl hydroxylase activity and causes an upregulation of downstream HIF-1α targets. Finally, we demonstrate that KLF4 K409Q mutated tumors are susceptible to mTOR inhibition by Temsirolimus. Taken together, our data link the KLF4K409Q mediated upregulation of HIF pathways to the clinical and biological characteristics of these skull base meningiomas possibly opening new therapeutic avenues for this distinct meningioma subtype.","author":[{"dropping-particle":"","family":"Spreckelsen","given":"Niklas","non-dropping-particle":"Von","parse-names":false,"suffix":""},{"dropping-particle":"","family":"Waldt","given":"Natalie","non-dropping-particle":"","parse-names":false,"suffix":""},{"dropping-particle":"","family":"Poetschke","given":"Rebecca","non-dropping-particle":"","parse-names":false,"suffix":""},{"dropping-particle":"","family":"Kesseler","given":"Christoph","non-dropping-particle":"","parse-names":false,"suffix":""},{"dropping-particle":"","family":"Dohmen","given":"Hildegard","non-dropping-particle":"","parse-names":false,"suffix":""},{"dropping-particle":"","family":"Jiao","given":"Hui Ke","non-dropping-particle":"","parse-names":false,"suffix":""},{"dropping-particle":"","family":"Nemeth","given":"Attila","non-dropping-particle":"","parse-names":false,"suffix":""},{"dropping-particle":"","family":"Schob","given":"Stefan","non-dropping-particle":"","parse-names":false,"suffix":""},{"dropping-particle":"","family":"Scherlach","given":"Cordula","non-dropping-particle":"","parse-names":false,"suffix":""},{"dropping-particle":"","family":"Sandalcioglu","given":"Ibrahim Erol","non-dropping-particle":"","parse-names":false,"suffix":""},{"dropping-particle":"","family":"Deckert","given":"Martina","non-dropping-particle":"","parse-names":false,"suffix":""},{"dropping-particle":"","family":"Angenstein","given":"Frank","non-dropping-particle":"","parse-names":false,"suffix":""},{"dropping-particle":"","family":"Krischek","given":"Boris","non-dropping-particle":"","parse-names":false,"suffix":""},{"dropping-particle":"","family":"Stavrinou","given":"Pantelis","non-dropping-particle":"","parse-names":false,"suffix":""},{"dropping-particle":"","family":"Timmer","given":"Marco","non-dropping-particle":"","parse-names":false,"suffix":""},{"dropping-particle":"","family":"Remke","given":"Marc","non-dropping-particle":"","parse-names":false,"suffix":""},{"dropping-particle":"","family":"Kirches","given":"Elmar","non-dropping-particle":"","parse-names":false,"suffix":""},{"dropping-particle":"","family":"Goldbrunner","given":"Roland","non-dropping-particle":"","parse-names":false,"suffix":""},{"dropping-particle":"","family":"Chiocca","given":"E. Antonio","non-dropping-particle":"","parse-names":false,"suffix":""},{"dropping-particle":"","family":"Huettelmaier","given":"Stefan","non-dropping-particle":"","parse-names":false,"suffix":""},{"dropping-particle":"","family":"Acker","given":"Till","non-dropping-particle":"","parse-names":false,"suffix":""},{"dropping-particle":"","family":"Mawrin","given":"Christian","non-dropping-particle":"","parse-names":false,"suffix":""}],"container-title":"Acta Neuropathologica Communications","id":"ITEM-1","issued":{"date-parts":[["2020"]]},"title":"KLF4 K409Q-mutated meningiomas show enhanced hypoxia signaling and respond to mTORC1 inhibitor treatment","type":"article-journal"},"uris":["http://www.mendeley.com/documents/?uuid=4d32e2bf-d0ae-4a6c-a130-053ff0a54778"]}],"mendeley":{"formattedCitation":"&lt;sup&gt;40&lt;/sup&gt;","plainTextFormattedCitation":"40","previouslyFormattedCitation":"&lt;sup&gt;40&lt;/sup&gt;"},"properties":{"noteIndex":0},"schema":"https://github.com/citation-style-language/schema/raw/master/csl-citation.json"}</w:instrText>
      </w:r>
      <w:r w:rsidR="00BC4582">
        <w:rPr>
          <w:bCs/>
        </w:rPr>
        <w:fldChar w:fldCharType="separate"/>
      </w:r>
      <w:r w:rsidR="000F4EF5" w:rsidRPr="000F4EF5">
        <w:rPr>
          <w:bCs/>
          <w:noProof/>
          <w:vertAlign w:val="superscript"/>
        </w:rPr>
        <w:t>40</w:t>
      </w:r>
      <w:r w:rsidR="00BC4582">
        <w:rPr>
          <w:bCs/>
        </w:rPr>
        <w:fldChar w:fldCharType="end"/>
      </w:r>
      <w:r w:rsidR="00537DB1" w:rsidRPr="00CE4E1F">
        <w:rPr>
          <w:bCs/>
        </w:rPr>
        <w:t xml:space="preserve"> (University Hospital Magdeburg, N=31), </w:t>
      </w:r>
      <w:r w:rsidR="005562C1">
        <w:rPr>
          <w:bCs/>
        </w:rPr>
        <w:t xml:space="preserve">or </w:t>
      </w:r>
      <w:r w:rsidR="00537DB1" w:rsidRPr="00CE4E1F">
        <w:rPr>
          <w:bCs/>
        </w:rPr>
        <w:t>FFPE (N=</w:t>
      </w:r>
      <w:r w:rsidR="00D84BB0" w:rsidRPr="00CE4E1F">
        <w:rPr>
          <w:bCs/>
        </w:rPr>
        <w:t>428</w:t>
      </w:r>
      <w:r w:rsidR="00537DB1" w:rsidRPr="00CE4E1F">
        <w:rPr>
          <w:bCs/>
        </w:rPr>
        <w:t>) or frozen (N=</w:t>
      </w:r>
      <w:r w:rsidR="00D84BB0" w:rsidRPr="00CE4E1F">
        <w:rPr>
          <w:bCs/>
        </w:rPr>
        <w:t>718</w:t>
      </w:r>
      <w:r w:rsidR="00537DB1" w:rsidRPr="00CE4E1F">
        <w:rPr>
          <w:bCs/>
        </w:rPr>
        <w:t xml:space="preserve">) meningiomas, </w:t>
      </w:r>
      <w:r w:rsidR="00481442" w:rsidRPr="00CE4E1F">
        <w:rPr>
          <w:bCs/>
        </w:rPr>
        <w:t xml:space="preserve">and demonstrated similar stratification by WHO </w:t>
      </w:r>
      <w:r w:rsidR="00530967">
        <w:rPr>
          <w:bCs/>
        </w:rPr>
        <w:t>histological</w:t>
      </w:r>
      <w:r w:rsidR="00530967" w:rsidRPr="00CE4E1F">
        <w:rPr>
          <w:bCs/>
        </w:rPr>
        <w:t xml:space="preserve"> </w:t>
      </w:r>
      <w:r w:rsidR="00481442" w:rsidRPr="00CE4E1F">
        <w:rPr>
          <w:bCs/>
        </w:rPr>
        <w:t>grade</w:t>
      </w:r>
      <w:r w:rsidR="00530967">
        <w:rPr>
          <w:bCs/>
        </w:rPr>
        <w:t xml:space="preserve"> (2016)</w:t>
      </w:r>
      <w:r w:rsidR="00481442" w:rsidRPr="00CE4E1F">
        <w:rPr>
          <w:bCs/>
        </w:rPr>
        <w:t xml:space="preserve"> as </w:t>
      </w:r>
      <w:r w:rsidR="005562C1">
        <w:rPr>
          <w:bCs/>
        </w:rPr>
        <w:t>with</w:t>
      </w:r>
      <w:r w:rsidR="00481442" w:rsidRPr="00CE4E1F">
        <w:rPr>
          <w:bCs/>
        </w:rPr>
        <w:t xml:space="preserve"> Nanostring </w:t>
      </w:r>
      <w:r w:rsidR="00537DB1" w:rsidRPr="00CE4E1F">
        <w:rPr>
          <w:bCs/>
        </w:rPr>
        <w:t>targeted gene expression profiling analyses</w:t>
      </w:r>
      <w:r w:rsidR="005562C1">
        <w:rPr>
          <w:bCs/>
        </w:rPr>
        <w:t xml:space="preserve"> (Figure S2C)</w:t>
      </w:r>
      <w:r w:rsidR="00481442" w:rsidRPr="00CE4E1F">
        <w:rPr>
          <w:bCs/>
        </w:rPr>
        <w:t xml:space="preserve">. </w:t>
      </w:r>
      <w:r w:rsidR="00537DB1" w:rsidRPr="00CE4E1F">
        <w:rPr>
          <w:bCs/>
        </w:rPr>
        <w:t>Panel F shows</w:t>
      </w:r>
      <w:r w:rsidR="00481442" w:rsidRPr="00CE4E1F">
        <w:rPr>
          <w:bCs/>
        </w:rPr>
        <w:t xml:space="preserve"> principal component analysis </w:t>
      </w:r>
      <w:r w:rsidR="00537DB1" w:rsidRPr="00CE4E1F">
        <w:rPr>
          <w:bCs/>
        </w:rPr>
        <w:t xml:space="preserve">of gene expression risk scores </w:t>
      </w:r>
      <w:r w:rsidR="00481442" w:rsidRPr="00CE4E1F">
        <w:rPr>
          <w:bCs/>
        </w:rPr>
        <w:t xml:space="preserve">across </w:t>
      </w:r>
      <w:r w:rsidR="00537DB1" w:rsidRPr="00CE4E1F">
        <w:rPr>
          <w:bCs/>
        </w:rPr>
        <w:t xml:space="preserve">RNA sequencing </w:t>
      </w:r>
      <w:r w:rsidR="00481442" w:rsidRPr="00CE4E1F">
        <w:rPr>
          <w:bCs/>
        </w:rPr>
        <w:t>cohorts</w:t>
      </w:r>
      <w:r w:rsidR="00537DB1" w:rsidRPr="00CE4E1F">
        <w:rPr>
          <w:bCs/>
        </w:rPr>
        <w:t xml:space="preserve"> after correction for batch effects using the </w:t>
      </w:r>
      <w:r w:rsidR="00634904" w:rsidRPr="00CE4E1F">
        <w:rPr>
          <w:bCs/>
        </w:rPr>
        <w:t>COMBAT</w:t>
      </w:r>
      <w:r w:rsidR="001417ED" w:rsidRPr="00CE4E1F">
        <w:rPr>
          <w:bCs/>
        </w:rPr>
        <w:fldChar w:fldCharType="begin" w:fldLock="1"/>
      </w:r>
      <w:r w:rsidR="000F4EF5">
        <w:rPr>
          <w:bCs/>
        </w:rPr>
        <w:instrText>ADDIN CSL_CITATION {"citationItems":[{"id":"ITEM-1","itemData":{"DOI":"10.1093/bioinformatics/bts034","ISSN":"13674803","PMID":"22257669","abstract":"Heterogeneity and latent variables are now widely recognized as major sources of bias and variability in high-throughput experiments. The most well-known source of latent variation in genomic experiments are batch effects-when samples are processed on different days, in different groups or by different people. However, there are also a large number of other variables that may have a major impact on high-throughput measurements. Here we describe the sva package for identifying, estimating and removing unwanted sources of variation in high-throughput experiments. The sva package supports surrogate variable estimation with the sva function, direct adjustment for known batch effects with the ComBat function and adjustment for batch and latent variables in prediction problems with the fsva function. © The Author 2012. Published by Oxford University Press. All rights reserved.","author":[{"dropping-particle":"","family":"Leek","given":"Jeffrey T.","non-dropping-particle":"","parse-names":false,"suffix":""},{"dropping-particle":"","family":"Johnson","given":"W. Evan","non-dropping-particle":"","parse-names":false,"suffix":""},{"dropping-particle":"","family":"Parker","given":"Hilary S.","non-dropping-particle":"","parse-names":false,"suffix":""},{"dropping-particle":"","family":"Jaffe","given":"Andrew E.","non-dropping-particle":"","parse-names":false,"suffix":""},{"dropping-particle":"","family":"Storey","given":"John D.","non-dropping-particle":"","parse-names":false,"suffix":""}],"container-title":"Bioinformatics","id":"ITEM-1","issued":{"date-parts":[["2012"]]},"title":"The SVA package for removing batch effects and other unwanted variation in high-throughput experiments","type":"article-journal"},"uris":["http://www.mendeley.com/documents/?uuid=931178cb-d000-4322-870c-16f4bb755039"]}],"mendeley":{"formattedCitation":"&lt;sup&gt;41&lt;/sup&gt;","plainTextFormattedCitation":"41","previouslyFormattedCitation":"&lt;sup&gt;41&lt;/sup&gt;"},"properties":{"noteIndex":0},"schema":"https://github.com/citation-style-language/schema/raw/master/csl-citation.json"}</w:instrText>
      </w:r>
      <w:r w:rsidR="001417ED" w:rsidRPr="00CE4E1F">
        <w:rPr>
          <w:bCs/>
        </w:rPr>
        <w:fldChar w:fldCharType="separate"/>
      </w:r>
      <w:r w:rsidR="000F4EF5" w:rsidRPr="000F4EF5">
        <w:rPr>
          <w:bCs/>
          <w:noProof/>
          <w:vertAlign w:val="superscript"/>
        </w:rPr>
        <w:t>41</w:t>
      </w:r>
      <w:r w:rsidR="001417ED" w:rsidRPr="00CE4E1F">
        <w:rPr>
          <w:bCs/>
        </w:rPr>
        <w:fldChar w:fldCharType="end"/>
      </w:r>
      <w:r w:rsidR="00537DB1" w:rsidRPr="00CE4E1F">
        <w:rPr>
          <w:bCs/>
        </w:rPr>
        <w:t xml:space="preserve"> pipeline</w:t>
      </w:r>
      <w:r w:rsidR="001417ED" w:rsidRPr="00CE4E1F">
        <w:rPr>
          <w:bCs/>
        </w:rPr>
        <w:t xml:space="preserve"> in the sva package in R</w:t>
      </w:r>
      <w:r w:rsidR="00481442" w:rsidRPr="00CE4E1F">
        <w:rPr>
          <w:bCs/>
        </w:rPr>
        <w:t xml:space="preserve">. </w:t>
      </w:r>
      <w:r w:rsidR="00537DB1" w:rsidRPr="00CE4E1F">
        <w:rPr>
          <w:bCs/>
        </w:rPr>
        <w:t>Panel G shows local</w:t>
      </w:r>
      <w:r w:rsidR="00481442" w:rsidRPr="00CE4E1F">
        <w:rPr>
          <w:bCs/>
        </w:rPr>
        <w:t xml:space="preserve"> freedom from recurrence </w:t>
      </w:r>
      <w:r w:rsidR="00537DB1" w:rsidRPr="00CE4E1F">
        <w:rPr>
          <w:bCs/>
        </w:rPr>
        <w:t>or</w:t>
      </w:r>
      <w:r w:rsidR="00481442" w:rsidRPr="00CE4E1F">
        <w:rPr>
          <w:bCs/>
        </w:rPr>
        <w:t xml:space="preserve"> overall survival </w:t>
      </w:r>
      <w:r w:rsidR="00537DB1" w:rsidRPr="00CE4E1F">
        <w:rPr>
          <w:bCs/>
        </w:rPr>
        <w:t xml:space="preserve">stratified by gene expression risk scores from RNA sequencing of </w:t>
      </w:r>
      <w:r w:rsidR="00481442" w:rsidRPr="00CE4E1F">
        <w:rPr>
          <w:bCs/>
        </w:rPr>
        <w:t xml:space="preserve">cohorts with </w:t>
      </w:r>
      <w:r w:rsidR="00481442" w:rsidRPr="00CE4E1F">
        <w:rPr>
          <w:bCs/>
        </w:rPr>
        <w:lastRenderedPageBreak/>
        <w:t>available clinical data (UCSF</w:t>
      </w:r>
      <w:r w:rsidR="005562C1">
        <w:rPr>
          <w:bCs/>
        </w:rPr>
        <w:t xml:space="preserve"> discovery</w:t>
      </w:r>
      <w:r w:rsidR="00481442" w:rsidRPr="00CE4E1F">
        <w:rPr>
          <w:bCs/>
        </w:rPr>
        <w:t xml:space="preserve">, </w:t>
      </w:r>
      <w:r w:rsidR="00537DB1" w:rsidRPr="00CE4E1F">
        <w:rPr>
          <w:bCs/>
        </w:rPr>
        <w:t xml:space="preserve">The </w:t>
      </w:r>
      <w:r w:rsidR="00481442" w:rsidRPr="00CE4E1F">
        <w:rPr>
          <w:bCs/>
        </w:rPr>
        <w:t xml:space="preserve">University of Hong Kong, and Baylor </w:t>
      </w:r>
      <w:r w:rsidR="005562C1">
        <w:rPr>
          <w:bCs/>
        </w:rPr>
        <w:t>College of Medicine</w:t>
      </w:r>
      <w:r w:rsidR="00537DB1" w:rsidRPr="00CE4E1F">
        <w:rPr>
          <w:bCs/>
        </w:rPr>
        <w:t>).</w:t>
      </w:r>
      <w:r w:rsidR="00352C36" w:rsidRPr="00CE4E1F">
        <w:rPr>
          <w:bCs/>
        </w:rPr>
        <w:t xml:space="preserve"> </w:t>
      </w:r>
      <w:r w:rsidR="004A197A" w:rsidRPr="00CE4E1F">
        <w:rPr>
          <w:bCs/>
        </w:rPr>
        <w:br w:type="page"/>
      </w:r>
    </w:p>
    <w:p w14:paraId="54A20335" w14:textId="0A461B7E" w:rsidR="00352C36" w:rsidRPr="00CE4E1F" w:rsidRDefault="00352C36" w:rsidP="00742F09">
      <w:pPr>
        <w:spacing w:line="360" w:lineRule="auto"/>
        <w:contextualSpacing/>
        <w:jc w:val="both"/>
        <w:rPr>
          <w:bCs/>
        </w:rPr>
      </w:pPr>
      <w:r w:rsidRPr="00CE4E1F">
        <w:rPr>
          <w:b/>
          <w:bCs/>
        </w:rPr>
        <w:lastRenderedPageBreak/>
        <w:t xml:space="preserve">Figure S5. Gene expression </w:t>
      </w:r>
      <w:r w:rsidR="006C12DD">
        <w:rPr>
          <w:b/>
        </w:rPr>
        <w:t>biomarker</w:t>
      </w:r>
      <w:r w:rsidR="006C12DD" w:rsidRPr="00CE4E1F">
        <w:rPr>
          <w:b/>
        </w:rPr>
        <w:t xml:space="preserve"> </w:t>
      </w:r>
      <w:r w:rsidRPr="00CE4E1F">
        <w:rPr>
          <w:b/>
          <w:bCs/>
        </w:rPr>
        <w:t xml:space="preserve">characteristics in </w:t>
      </w:r>
      <w:r w:rsidR="00825AF7" w:rsidRPr="00CE4E1F">
        <w:rPr>
          <w:b/>
          <w:bCs/>
        </w:rPr>
        <w:t xml:space="preserve">the clinical </w:t>
      </w:r>
      <w:r w:rsidRPr="00CE4E1F">
        <w:rPr>
          <w:b/>
          <w:bCs/>
        </w:rPr>
        <w:t>validation cohort.</w:t>
      </w:r>
    </w:p>
    <w:p w14:paraId="55015AF0" w14:textId="0244BBE6" w:rsidR="0061654D" w:rsidRPr="00CE4E1F" w:rsidRDefault="00954E0D" w:rsidP="00742F09">
      <w:pPr>
        <w:spacing w:line="360" w:lineRule="auto"/>
        <w:contextualSpacing/>
        <w:jc w:val="both"/>
        <w:rPr>
          <w:bCs/>
        </w:rPr>
      </w:pPr>
      <w:r>
        <w:rPr>
          <w:bCs/>
          <w:noProof/>
        </w:rPr>
        <w:drawing>
          <wp:inline distT="0" distB="0" distL="0" distR="0" wp14:anchorId="21E914CA" wp14:editId="0C91DFE9">
            <wp:extent cx="5943600" cy="61448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5943600" cy="6144895"/>
                    </a:xfrm>
                    <a:prstGeom prst="rect">
                      <a:avLst/>
                    </a:prstGeom>
                  </pic:spPr>
                </pic:pic>
              </a:graphicData>
            </a:graphic>
          </wp:inline>
        </w:drawing>
      </w:r>
      <w:r w:rsidR="005B3D7C">
        <w:rPr>
          <w:bCs/>
        </w:rPr>
        <w:t>Panel A shows K</w:t>
      </w:r>
      <w:r w:rsidR="00884423" w:rsidRPr="00CE4E1F">
        <w:rPr>
          <w:bCs/>
        </w:rPr>
        <w:t xml:space="preserve">aplan </w:t>
      </w:r>
      <w:r w:rsidR="005B3D7C">
        <w:rPr>
          <w:bCs/>
        </w:rPr>
        <w:t>M</w:t>
      </w:r>
      <w:r w:rsidR="00884423" w:rsidRPr="00CE4E1F">
        <w:rPr>
          <w:bCs/>
        </w:rPr>
        <w:t>eier curves for local freedom from recurrence</w:t>
      </w:r>
      <w:r w:rsidR="000473C4" w:rsidRPr="000473C4">
        <w:rPr>
          <w:bCs/>
        </w:rPr>
        <w:t xml:space="preserve"> </w:t>
      </w:r>
      <w:r w:rsidR="00884423" w:rsidRPr="00CE4E1F">
        <w:rPr>
          <w:bCs/>
        </w:rPr>
        <w:t>stratified by gene expression risk score (blue</w:t>
      </w:r>
      <w:r w:rsidR="002F005D">
        <w:rPr>
          <w:bCs/>
        </w:rPr>
        <w:t xml:space="preserve"> lines</w:t>
      </w:r>
      <w:r w:rsidR="00CC2A77">
        <w:rPr>
          <w:bCs/>
        </w:rPr>
        <w:t xml:space="preserve">, </w:t>
      </w:r>
      <w:r w:rsidR="00FD5353">
        <w:rPr>
          <w:bCs/>
        </w:rPr>
        <w:t>low risk</w:t>
      </w:r>
      <w:r w:rsidR="00CC2A77">
        <w:rPr>
          <w:bCs/>
        </w:rPr>
        <w:t>;</w:t>
      </w:r>
      <w:r w:rsidR="00884423" w:rsidRPr="00CE4E1F">
        <w:rPr>
          <w:bCs/>
        </w:rPr>
        <w:t xml:space="preserve"> purple</w:t>
      </w:r>
      <w:r w:rsidR="002F005D">
        <w:rPr>
          <w:bCs/>
        </w:rPr>
        <w:t xml:space="preserve"> lines</w:t>
      </w:r>
      <w:r w:rsidR="00CC2A77">
        <w:rPr>
          <w:bCs/>
        </w:rPr>
        <w:t xml:space="preserve">, </w:t>
      </w:r>
      <w:r w:rsidR="00FD5353">
        <w:rPr>
          <w:bCs/>
        </w:rPr>
        <w:t>intermediate risk</w:t>
      </w:r>
      <w:r w:rsidR="00CC2A77">
        <w:rPr>
          <w:bCs/>
        </w:rPr>
        <w:t>;</w:t>
      </w:r>
      <w:r w:rsidR="00884423" w:rsidRPr="00CE4E1F">
        <w:rPr>
          <w:bCs/>
        </w:rPr>
        <w:t xml:space="preserve"> red</w:t>
      </w:r>
      <w:r w:rsidR="002F005D">
        <w:rPr>
          <w:bCs/>
        </w:rPr>
        <w:t xml:space="preserve"> lines</w:t>
      </w:r>
      <w:r w:rsidR="00CC2A77">
        <w:rPr>
          <w:bCs/>
        </w:rPr>
        <w:t xml:space="preserve">, </w:t>
      </w:r>
      <w:r w:rsidR="00FD5353">
        <w:rPr>
          <w:bCs/>
        </w:rPr>
        <w:t>high risk</w:t>
      </w:r>
      <w:r w:rsidR="00884423" w:rsidRPr="00CE4E1F">
        <w:rPr>
          <w:bCs/>
        </w:rPr>
        <w:t xml:space="preserve">) for </w:t>
      </w:r>
      <w:r w:rsidR="00621939">
        <w:rPr>
          <w:bCs/>
        </w:rPr>
        <w:t>individual</w:t>
      </w:r>
      <w:r w:rsidR="00621939" w:rsidRPr="00CE4E1F">
        <w:rPr>
          <w:bCs/>
        </w:rPr>
        <w:t xml:space="preserve"> </w:t>
      </w:r>
      <w:r w:rsidR="00FD5353">
        <w:rPr>
          <w:bCs/>
        </w:rPr>
        <w:t xml:space="preserve">clinical </w:t>
      </w:r>
      <w:r w:rsidR="00884423" w:rsidRPr="00CE4E1F">
        <w:rPr>
          <w:bCs/>
        </w:rPr>
        <w:t>validation cohort</w:t>
      </w:r>
      <w:r w:rsidR="00621939">
        <w:rPr>
          <w:bCs/>
        </w:rPr>
        <w:t>s</w:t>
      </w:r>
      <w:r w:rsidR="00884423" w:rsidRPr="00CE4E1F">
        <w:rPr>
          <w:bCs/>
        </w:rPr>
        <w:t xml:space="preserve">, including </w:t>
      </w:r>
      <w:r w:rsidR="00FD5353">
        <w:rPr>
          <w:bCs/>
        </w:rPr>
        <w:t>T</w:t>
      </w:r>
      <w:r w:rsidR="00884423" w:rsidRPr="00CE4E1F">
        <w:rPr>
          <w:bCs/>
        </w:rPr>
        <w:t>he University of Hong Kong (Frozen</w:t>
      </w:r>
      <w:r w:rsidR="00FD5353">
        <w:rPr>
          <w:bCs/>
        </w:rPr>
        <w:t xml:space="preserve"> </w:t>
      </w:r>
      <w:r w:rsidR="00884423" w:rsidRPr="00CE4E1F">
        <w:rPr>
          <w:bCs/>
        </w:rPr>
        <w:t>N=339</w:t>
      </w:r>
      <w:r w:rsidR="00FD5353">
        <w:rPr>
          <w:bCs/>
        </w:rPr>
        <w:t>;</w:t>
      </w:r>
      <w:r w:rsidR="00884423" w:rsidRPr="00CE4E1F">
        <w:rPr>
          <w:bCs/>
        </w:rPr>
        <w:t xml:space="preserve"> </w:t>
      </w:r>
      <w:r w:rsidR="00FD5353">
        <w:rPr>
          <w:bCs/>
        </w:rPr>
        <w:t>low risk</w:t>
      </w:r>
      <w:r w:rsidR="00884423" w:rsidRPr="00CE4E1F">
        <w:rPr>
          <w:bCs/>
        </w:rPr>
        <w:t xml:space="preserve"> N=122, </w:t>
      </w:r>
      <w:r w:rsidR="00FD5353">
        <w:rPr>
          <w:bCs/>
        </w:rPr>
        <w:t>5-year</w:t>
      </w:r>
      <w:r w:rsidR="00884423" w:rsidRPr="00CE4E1F">
        <w:rPr>
          <w:bCs/>
        </w:rPr>
        <w:t xml:space="preserve"> LFFR 95.1%</w:t>
      </w:r>
      <w:r w:rsidR="00FD5353">
        <w:rPr>
          <w:bCs/>
        </w:rPr>
        <w:t>;</w:t>
      </w:r>
      <w:r w:rsidR="00884423" w:rsidRPr="00CE4E1F">
        <w:rPr>
          <w:bCs/>
        </w:rPr>
        <w:t xml:space="preserve"> </w:t>
      </w:r>
      <w:r w:rsidR="00FD5353">
        <w:rPr>
          <w:bCs/>
        </w:rPr>
        <w:t>intermediate risk</w:t>
      </w:r>
      <w:r w:rsidR="00884423" w:rsidRPr="00CE4E1F">
        <w:rPr>
          <w:bCs/>
        </w:rPr>
        <w:t xml:space="preserve"> N=151, </w:t>
      </w:r>
      <w:r w:rsidR="00FD5353">
        <w:rPr>
          <w:bCs/>
        </w:rPr>
        <w:t>5-year</w:t>
      </w:r>
      <w:r w:rsidR="00884423" w:rsidRPr="00CE4E1F">
        <w:rPr>
          <w:bCs/>
        </w:rPr>
        <w:t xml:space="preserve"> LFFR 73.6%</w:t>
      </w:r>
      <w:r w:rsidR="00FD5353">
        <w:rPr>
          <w:bCs/>
        </w:rPr>
        <w:t>;</w:t>
      </w:r>
      <w:r w:rsidR="00884423" w:rsidRPr="00CE4E1F">
        <w:rPr>
          <w:bCs/>
        </w:rPr>
        <w:t xml:space="preserve"> </w:t>
      </w:r>
      <w:r w:rsidR="00FD5353">
        <w:rPr>
          <w:bCs/>
        </w:rPr>
        <w:t>high risk</w:t>
      </w:r>
      <w:r w:rsidR="00884423" w:rsidRPr="00CE4E1F">
        <w:rPr>
          <w:bCs/>
        </w:rPr>
        <w:t xml:space="preserve"> N=66, </w:t>
      </w:r>
      <w:r w:rsidR="00FD5353">
        <w:rPr>
          <w:bCs/>
        </w:rPr>
        <w:t>5-year</w:t>
      </w:r>
      <w:r w:rsidR="00884423" w:rsidRPr="00CE4E1F">
        <w:rPr>
          <w:bCs/>
        </w:rPr>
        <w:t xml:space="preserve"> LFFR 19.5%), </w:t>
      </w:r>
      <w:r w:rsidR="00555CF9" w:rsidRPr="00CE4E1F">
        <w:rPr>
          <w:bCs/>
        </w:rPr>
        <w:t>Northwestern University (Frozen and FFPE N=180</w:t>
      </w:r>
      <w:r w:rsidR="00555CF9">
        <w:rPr>
          <w:bCs/>
        </w:rPr>
        <w:t>;</w:t>
      </w:r>
      <w:r w:rsidR="00555CF9" w:rsidRPr="00CE4E1F">
        <w:rPr>
          <w:bCs/>
        </w:rPr>
        <w:t xml:space="preserve"> </w:t>
      </w:r>
      <w:r w:rsidR="00555CF9">
        <w:rPr>
          <w:bCs/>
        </w:rPr>
        <w:t>low risk</w:t>
      </w:r>
      <w:r w:rsidR="00555CF9" w:rsidRPr="00CE4E1F">
        <w:rPr>
          <w:bCs/>
        </w:rPr>
        <w:t xml:space="preserve"> N=4</w:t>
      </w:r>
      <w:r w:rsidR="004F2EE7">
        <w:rPr>
          <w:bCs/>
        </w:rPr>
        <w:t>2</w:t>
      </w:r>
      <w:r w:rsidR="00555CF9" w:rsidRPr="00CE4E1F">
        <w:rPr>
          <w:bCs/>
        </w:rPr>
        <w:t xml:space="preserve">, </w:t>
      </w:r>
      <w:r w:rsidR="00555CF9">
        <w:rPr>
          <w:bCs/>
        </w:rPr>
        <w:t>5-year</w:t>
      </w:r>
      <w:r w:rsidR="00555CF9" w:rsidRPr="00CE4E1F">
        <w:rPr>
          <w:bCs/>
        </w:rPr>
        <w:t xml:space="preserve"> LFFR 90.0%</w:t>
      </w:r>
      <w:r w:rsidR="00555CF9">
        <w:rPr>
          <w:bCs/>
        </w:rPr>
        <w:t>;</w:t>
      </w:r>
      <w:r w:rsidR="00555CF9" w:rsidRPr="00CE4E1F">
        <w:rPr>
          <w:bCs/>
        </w:rPr>
        <w:t xml:space="preserve"> </w:t>
      </w:r>
      <w:r w:rsidR="00555CF9">
        <w:rPr>
          <w:bCs/>
        </w:rPr>
        <w:t>intermediate risk</w:t>
      </w:r>
      <w:r w:rsidR="00555CF9" w:rsidRPr="00CE4E1F">
        <w:rPr>
          <w:bCs/>
        </w:rPr>
        <w:t xml:space="preserve"> N=98, </w:t>
      </w:r>
      <w:r w:rsidR="00555CF9">
        <w:rPr>
          <w:bCs/>
        </w:rPr>
        <w:t>5-year</w:t>
      </w:r>
      <w:r w:rsidR="00555CF9" w:rsidRPr="00CE4E1F">
        <w:rPr>
          <w:bCs/>
        </w:rPr>
        <w:t xml:space="preserve"> LFFR 76.0%</w:t>
      </w:r>
      <w:r w:rsidR="00555CF9">
        <w:rPr>
          <w:bCs/>
        </w:rPr>
        <w:t>;</w:t>
      </w:r>
      <w:r w:rsidR="00555CF9" w:rsidRPr="00CE4E1F">
        <w:rPr>
          <w:bCs/>
        </w:rPr>
        <w:t xml:space="preserve"> </w:t>
      </w:r>
      <w:r w:rsidR="00555CF9">
        <w:rPr>
          <w:bCs/>
        </w:rPr>
        <w:t>high risk</w:t>
      </w:r>
      <w:r w:rsidR="00555CF9" w:rsidRPr="00CE4E1F">
        <w:rPr>
          <w:bCs/>
        </w:rPr>
        <w:t xml:space="preserve"> N=42, </w:t>
      </w:r>
      <w:r w:rsidR="00555CF9">
        <w:rPr>
          <w:bCs/>
        </w:rPr>
        <w:t>5-year</w:t>
      </w:r>
      <w:r w:rsidR="00555CF9" w:rsidRPr="00CE4E1F">
        <w:rPr>
          <w:bCs/>
        </w:rPr>
        <w:t xml:space="preserve"> LFFR </w:t>
      </w:r>
      <w:r w:rsidR="00555CF9" w:rsidRPr="00CE4E1F">
        <w:rPr>
          <w:bCs/>
        </w:rPr>
        <w:lastRenderedPageBreak/>
        <w:t>21.4%),</w:t>
      </w:r>
      <w:r w:rsidR="00555CF9">
        <w:rPr>
          <w:bCs/>
        </w:rPr>
        <w:t xml:space="preserve"> </w:t>
      </w:r>
      <w:r w:rsidR="00884423" w:rsidRPr="00CE4E1F">
        <w:rPr>
          <w:bCs/>
        </w:rPr>
        <w:t>UCSF WHO grade 2</w:t>
      </w:r>
      <w:r w:rsidR="00FD5353">
        <w:rPr>
          <w:bCs/>
        </w:rPr>
        <w:t xml:space="preserve"> or </w:t>
      </w:r>
      <w:r w:rsidR="00621939">
        <w:rPr>
          <w:bCs/>
        </w:rPr>
        <w:t xml:space="preserve">grade </w:t>
      </w:r>
      <w:r w:rsidR="00884423" w:rsidRPr="00CE4E1F">
        <w:rPr>
          <w:bCs/>
        </w:rPr>
        <w:t>3 (FFPE N=158</w:t>
      </w:r>
      <w:r w:rsidR="00FD5353">
        <w:rPr>
          <w:bCs/>
        </w:rPr>
        <w:t>;</w:t>
      </w:r>
      <w:r w:rsidR="00884423" w:rsidRPr="00CE4E1F">
        <w:rPr>
          <w:bCs/>
        </w:rPr>
        <w:t xml:space="preserve"> </w:t>
      </w:r>
      <w:r w:rsidR="00FD5353">
        <w:rPr>
          <w:bCs/>
        </w:rPr>
        <w:t>low risk</w:t>
      </w:r>
      <w:r w:rsidR="00884423" w:rsidRPr="00CE4E1F">
        <w:rPr>
          <w:bCs/>
        </w:rPr>
        <w:t xml:space="preserve"> N=24, </w:t>
      </w:r>
      <w:r w:rsidR="00FD5353">
        <w:rPr>
          <w:bCs/>
        </w:rPr>
        <w:t>5-year</w:t>
      </w:r>
      <w:r w:rsidR="00884423" w:rsidRPr="00CE4E1F">
        <w:rPr>
          <w:bCs/>
        </w:rPr>
        <w:t xml:space="preserve"> LFFR 87.4%</w:t>
      </w:r>
      <w:r w:rsidR="00FD5353">
        <w:rPr>
          <w:bCs/>
        </w:rPr>
        <w:t>;</w:t>
      </w:r>
      <w:r w:rsidR="00884423" w:rsidRPr="00CE4E1F">
        <w:rPr>
          <w:bCs/>
        </w:rPr>
        <w:t xml:space="preserve"> </w:t>
      </w:r>
      <w:r w:rsidR="00FD5353">
        <w:rPr>
          <w:bCs/>
        </w:rPr>
        <w:t>intermediate risk</w:t>
      </w:r>
      <w:r w:rsidR="00884423" w:rsidRPr="00CE4E1F">
        <w:rPr>
          <w:bCs/>
        </w:rPr>
        <w:t xml:space="preserve"> N=69, </w:t>
      </w:r>
      <w:r w:rsidR="00FD5353">
        <w:rPr>
          <w:bCs/>
        </w:rPr>
        <w:t>5-year</w:t>
      </w:r>
      <w:r w:rsidR="00884423" w:rsidRPr="00CE4E1F">
        <w:rPr>
          <w:bCs/>
        </w:rPr>
        <w:t xml:space="preserve"> LFFR 77.5%</w:t>
      </w:r>
      <w:r w:rsidR="00FD5353">
        <w:rPr>
          <w:bCs/>
        </w:rPr>
        <w:t>;</w:t>
      </w:r>
      <w:r w:rsidR="00884423" w:rsidRPr="00CE4E1F">
        <w:rPr>
          <w:bCs/>
        </w:rPr>
        <w:t xml:space="preserve"> </w:t>
      </w:r>
      <w:r w:rsidR="00FD5353">
        <w:rPr>
          <w:bCs/>
        </w:rPr>
        <w:t>high risk</w:t>
      </w:r>
      <w:r w:rsidR="00884423" w:rsidRPr="00CE4E1F">
        <w:rPr>
          <w:bCs/>
        </w:rPr>
        <w:t xml:space="preserve"> N=65, </w:t>
      </w:r>
      <w:r w:rsidR="00FD5353">
        <w:rPr>
          <w:bCs/>
        </w:rPr>
        <w:t>5-year</w:t>
      </w:r>
      <w:r w:rsidR="00884423" w:rsidRPr="00CE4E1F">
        <w:rPr>
          <w:bCs/>
        </w:rPr>
        <w:t xml:space="preserve"> LFFR 22.0%), Baylor College of Medicine (Frozen N=116</w:t>
      </w:r>
      <w:r w:rsidR="00FD5353">
        <w:rPr>
          <w:bCs/>
        </w:rPr>
        <w:t>;</w:t>
      </w:r>
      <w:r w:rsidR="00884423" w:rsidRPr="00CE4E1F">
        <w:rPr>
          <w:bCs/>
        </w:rPr>
        <w:t xml:space="preserve"> </w:t>
      </w:r>
      <w:r w:rsidR="00FD5353">
        <w:rPr>
          <w:bCs/>
        </w:rPr>
        <w:t>low risk</w:t>
      </w:r>
      <w:r w:rsidR="00884423" w:rsidRPr="00CE4E1F">
        <w:rPr>
          <w:bCs/>
        </w:rPr>
        <w:t xml:space="preserve"> N=3</w:t>
      </w:r>
      <w:r w:rsidR="004F2EE7">
        <w:rPr>
          <w:bCs/>
        </w:rPr>
        <w:t>5</w:t>
      </w:r>
      <w:r w:rsidR="00884423" w:rsidRPr="00CE4E1F">
        <w:rPr>
          <w:bCs/>
        </w:rPr>
        <w:t xml:space="preserve">, </w:t>
      </w:r>
      <w:r w:rsidR="00FD5353">
        <w:rPr>
          <w:bCs/>
        </w:rPr>
        <w:t>5-year</w:t>
      </w:r>
      <w:r w:rsidR="00884423" w:rsidRPr="00CE4E1F">
        <w:rPr>
          <w:bCs/>
        </w:rPr>
        <w:t xml:space="preserve"> LFFR 90.0%</w:t>
      </w:r>
      <w:r w:rsidR="00FD5353">
        <w:rPr>
          <w:bCs/>
        </w:rPr>
        <w:t>; intermediate risk</w:t>
      </w:r>
      <w:r w:rsidR="00884423" w:rsidRPr="00CE4E1F">
        <w:rPr>
          <w:bCs/>
        </w:rPr>
        <w:t xml:space="preserve"> N=61, </w:t>
      </w:r>
      <w:r w:rsidR="00FD5353">
        <w:rPr>
          <w:bCs/>
        </w:rPr>
        <w:t>5-year</w:t>
      </w:r>
      <w:r w:rsidR="00884423" w:rsidRPr="00CE4E1F">
        <w:rPr>
          <w:bCs/>
        </w:rPr>
        <w:t xml:space="preserve"> LFFR 63.0%</w:t>
      </w:r>
      <w:r w:rsidR="00FD5353">
        <w:rPr>
          <w:bCs/>
        </w:rPr>
        <w:t>;</w:t>
      </w:r>
      <w:r w:rsidR="00884423" w:rsidRPr="00CE4E1F">
        <w:rPr>
          <w:bCs/>
        </w:rPr>
        <w:t xml:space="preserve"> </w:t>
      </w:r>
      <w:r w:rsidR="00FD5353">
        <w:rPr>
          <w:bCs/>
        </w:rPr>
        <w:t>high risk</w:t>
      </w:r>
      <w:r w:rsidR="00884423" w:rsidRPr="00CE4E1F">
        <w:rPr>
          <w:bCs/>
        </w:rPr>
        <w:t xml:space="preserve"> N=</w:t>
      </w:r>
      <w:r w:rsidR="004F2EE7">
        <w:rPr>
          <w:bCs/>
        </w:rPr>
        <w:t>20</w:t>
      </w:r>
      <w:r w:rsidR="00884423" w:rsidRPr="00CE4E1F">
        <w:rPr>
          <w:bCs/>
        </w:rPr>
        <w:t xml:space="preserve">, </w:t>
      </w:r>
      <w:r w:rsidR="00FD5353">
        <w:rPr>
          <w:bCs/>
        </w:rPr>
        <w:t>5-year</w:t>
      </w:r>
      <w:r w:rsidR="00884423" w:rsidRPr="00CE4E1F">
        <w:rPr>
          <w:bCs/>
        </w:rPr>
        <w:t xml:space="preserve"> LFFR 0.0%), </w:t>
      </w:r>
      <w:r w:rsidR="00555CF9">
        <w:rPr>
          <w:bCs/>
        </w:rPr>
        <w:t xml:space="preserve">and </w:t>
      </w:r>
      <w:r w:rsidR="00024A81" w:rsidRPr="00CE4E1F">
        <w:rPr>
          <w:bCs/>
        </w:rPr>
        <w:t xml:space="preserve">Heidelberg University </w:t>
      </w:r>
      <w:r w:rsidR="00474186">
        <w:rPr>
          <w:bCs/>
        </w:rPr>
        <w:t xml:space="preserve">plus the Medical University of Vienna </w:t>
      </w:r>
      <w:r w:rsidR="00024A81" w:rsidRPr="00CE4E1F">
        <w:rPr>
          <w:bCs/>
        </w:rPr>
        <w:t>(FFPE N=61 with LFFR data</w:t>
      </w:r>
      <w:r w:rsidR="00FD5353">
        <w:rPr>
          <w:bCs/>
        </w:rPr>
        <w:t>;</w:t>
      </w:r>
      <w:r w:rsidR="00024A81" w:rsidRPr="00CE4E1F">
        <w:rPr>
          <w:bCs/>
        </w:rPr>
        <w:t xml:space="preserve"> </w:t>
      </w:r>
      <w:r w:rsidR="00FD5353">
        <w:rPr>
          <w:bCs/>
        </w:rPr>
        <w:t>low risk</w:t>
      </w:r>
      <w:r w:rsidR="00024A81" w:rsidRPr="00CE4E1F">
        <w:rPr>
          <w:bCs/>
        </w:rPr>
        <w:t xml:space="preserve"> N=24, </w:t>
      </w:r>
      <w:r w:rsidR="00FD5353">
        <w:rPr>
          <w:bCs/>
        </w:rPr>
        <w:t>5-year</w:t>
      </w:r>
      <w:r w:rsidR="00024A81" w:rsidRPr="00CE4E1F">
        <w:rPr>
          <w:bCs/>
        </w:rPr>
        <w:t xml:space="preserve"> LFFR 80.4%</w:t>
      </w:r>
      <w:r w:rsidR="00FD5353">
        <w:rPr>
          <w:bCs/>
        </w:rPr>
        <w:t>;</w:t>
      </w:r>
      <w:r w:rsidR="00024A81" w:rsidRPr="00CE4E1F">
        <w:rPr>
          <w:bCs/>
        </w:rPr>
        <w:t xml:space="preserve"> </w:t>
      </w:r>
      <w:r w:rsidR="00FD5353">
        <w:rPr>
          <w:bCs/>
        </w:rPr>
        <w:t>intermediate risk</w:t>
      </w:r>
      <w:r w:rsidR="00024A81" w:rsidRPr="00CE4E1F">
        <w:rPr>
          <w:bCs/>
        </w:rPr>
        <w:t xml:space="preserve"> N=23, </w:t>
      </w:r>
      <w:r w:rsidR="00FD5353">
        <w:rPr>
          <w:bCs/>
        </w:rPr>
        <w:t>5-year</w:t>
      </w:r>
      <w:r w:rsidR="00024A81" w:rsidRPr="00CE4E1F">
        <w:rPr>
          <w:bCs/>
        </w:rPr>
        <w:t xml:space="preserve"> LFFR 48.1%</w:t>
      </w:r>
      <w:r w:rsidR="00FD5353">
        <w:rPr>
          <w:bCs/>
        </w:rPr>
        <w:t>;</w:t>
      </w:r>
      <w:r w:rsidR="00024A81" w:rsidRPr="00CE4E1F">
        <w:rPr>
          <w:bCs/>
        </w:rPr>
        <w:t xml:space="preserve"> </w:t>
      </w:r>
      <w:r w:rsidR="00FD5353">
        <w:rPr>
          <w:bCs/>
        </w:rPr>
        <w:t>high risk</w:t>
      </w:r>
      <w:r w:rsidR="00024A81" w:rsidRPr="00CE4E1F">
        <w:rPr>
          <w:bCs/>
        </w:rPr>
        <w:t xml:space="preserve"> N=14, </w:t>
      </w:r>
      <w:r w:rsidR="00FD5353">
        <w:rPr>
          <w:bCs/>
        </w:rPr>
        <w:t>5-year</w:t>
      </w:r>
      <w:r w:rsidR="00024A81" w:rsidRPr="00CE4E1F">
        <w:rPr>
          <w:bCs/>
        </w:rPr>
        <w:t xml:space="preserve"> LFFR 19.3%).</w:t>
      </w:r>
      <w:r w:rsidR="00901826" w:rsidRPr="00CE4E1F">
        <w:rPr>
          <w:bCs/>
        </w:rPr>
        <w:t xml:space="preserve"> The gene expression risk score remained well calibrated across multiple independent </w:t>
      </w:r>
      <w:r w:rsidR="00FD5353">
        <w:rPr>
          <w:bCs/>
        </w:rPr>
        <w:t xml:space="preserve">clinical </w:t>
      </w:r>
      <w:r w:rsidR="00901826" w:rsidRPr="00CE4E1F">
        <w:rPr>
          <w:bCs/>
        </w:rPr>
        <w:t>validation cohorts</w:t>
      </w:r>
      <w:r w:rsidR="000F1024">
        <w:rPr>
          <w:bCs/>
        </w:rPr>
        <w:t xml:space="preserve"> comprising </w:t>
      </w:r>
      <w:r w:rsidR="00A6688D" w:rsidRPr="00CE4E1F">
        <w:rPr>
          <w:bCs/>
        </w:rPr>
        <w:t xml:space="preserve">both frozen and FFPE </w:t>
      </w:r>
      <w:r w:rsidR="000F1024">
        <w:rPr>
          <w:bCs/>
        </w:rPr>
        <w:t>meningiomas</w:t>
      </w:r>
      <w:r w:rsidR="00901826" w:rsidRPr="00CE4E1F">
        <w:rPr>
          <w:bCs/>
        </w:rPr>
        <w:t>.</w:t>
      </w:r>
      <w:r w:rsidR="00DB07EE" w:rsidRPr="00CE4E1F">
        <w:rPr>
          <w:bCs/>
        </w:rPr>
        <w:t xml:space="preserve"> </w:t>
      </w:r>
      <w:r w:rsidR="000C3053">
        <w:rPr>
          <w:bCs/>
        </w:rPr>
        <w:t xml:space="preserve">When assessed separately within each independent retrospective cohort site, the gene expression risk score remained independently prognostic in multivariate analysis combining the risk score with WHO 2016 grade (P&lt;0.001 in all cases). </w:t>
      </w:r>
      <w:r w:rsidR="000239D5">
        <w:rPr>
          <w:bCs/>
        </w:rPr>
        <w:t xml:space="preserve">Panel B shows </w:t>
      </w:r>
      <w:r w:rsidR="00DB07EE" w:rsidRPr="00CE4E1F">
        <w:rPr>
          <w:bCs/>
        </w:rPr>
        <w:t>Kaplan Mei</w:t>
      </w:r>
      <w:r w:rsidR="000F1024">
        <w:rPr>
          <w:bCs/>
        </w:rPr>
        <w:t>e</w:t>
      </w:r>
      <w:r w:rsidR="00DB07EE" w:rsidRPr="00CE4E1F">
        <w:rPr>
          <w:bCs/>
        </w:rPr>
        <w:t xml:space="preserve">r </w:t>
      </w:r>
      <w:r w:rsidR="000239D5">
        <w:rPr>
          <w:bCs/>
        </w:rPr>
        <w:t xml:space="preserve">curves </w:t>
      </w:r>
      <w:r w:rsidR="000239D5" w:rsidRPr="00CE4E1F">
        <w:rPr>
          <w:bCs/>
        </w:rPr>
        <w:t>for local freedom from recurrence</w:t>
      </w:r>
      <w:r w:rsidR="000239D5" w:rsidRPr="000473C4">
        <w:rPr>
          <w:bCs/>
        </w:rPr>
        <w:t xml:space="preserve"> </w:t>
      </w:r>
      <w:r w:rsidR="000239D5">
        <w:rPr>
          <w:bCs/>
        </w:rPr>
        <w:t xml:space="preserve">in clinical validation cohort meningiomas </w:t>
      </w:r>
      <w:r w:rsidR="000239D5" w:rsidRPr="00CE4E1F">
        <w:rPr>
          <w:bCs/>
        </w:rPr>
        <w:t xml:space="preserve">stratified by gene expression risk score </w:t>
      </w:r>
      <w:r w:rsidR="00284F38">
        <w:rPr>
          <w:bCs/>
        </w:rPr>
        <w:t>within</w:t>
      </w:r>
      <w:r w:rsidR="00D97687" w:rsidRPr="00CE4E1F">
        <w:rPr>
          <w:bCs/>
        </w:rPr>
        <w:t xml:space="preserve"> </w:t>
      </w:r>
      <w:r w:rsidR="00DB07EE" w:rsidRPr="00CE4E1F">
        <w:rPr>
          <w:bCs/>
        </w:rPr>
        <w:t>WHO 2021 grade</w:t>
      </w:r>
      <w:r w:rsidR="00D97687">
        <w:rPr>
          <w:bCs/>
        </w:rPr>
        <w:t>s</w:t>
      </w:r>
      <w:r w:rsidR="00DB07EE" w:rsidRPr="00CE4E1F">
        <w:rPr>
          <w:bCs/>
        </w:rPr>
        <w:t xml:space="preserve">, </w:t>
      </w:r>
      <w:r w:rsidR="000239D5">
        <w:rPr>
          <w:bCs/>
        </w:rPr>
        <w:t>demonstrating</w:t>
      </w:r>
      <w:r w:rsidR="000239D5" w:rsidRPr="00CE4E1F">
        <w:rPr>
          <w:bCs/>
        </w:rPr>
        <w:t xml:space="preserve"> </w:t>
      </w:r>
      <w:r w:rsidR="00DB07EE" w:rsidRPr="00CE4E1F">
        <w:rPr>
          <w:bCs/>
        </w:rPr>
        <w:t xml:space="preserve">that the gene expression biomarker </w:t>
      </w:r>
      <w:r w:rsidR="005D5E14">
        <w:rPr>
          <w:bCs/>
        </w:rPr>
        <w:t>remained</w:t>
      </w:r>
      <w:r w:rsidR="00DB07EE" w:rsidRPr="00CE4E1F">
        <w:rPr>
          <w:bCs/>
        </w:rPr>
        <w:t xml:space="preserve"> discriminatory across WHO 2021 grade 1 (</w:t>
      </w:r>
      <w:r w:rsidR="00FD5353">
        <w:rPr>
          <w:bCs/>
        </w:rPr>
        <w:t>low risk</w:t>
      </w:r>
      <w:r w:rsidR="00DB07EE" w:rsidRPr="00CE4E1F">
        <w:rPr>
          <w:bCs/>
        </w:rPr>
        <w:t xml:space="preserve"> N=114, </w:t>
      </w:r>
      <w:r w:rsidR="00FD5353">
        <w:rPr>
          <w:bCs/>
        </w:rPr>
        <w:t>intermediate risk</w:t>
      </w:r>
      <w:r w:rsidR="00DB07EE" w:rsidRPr="00CE4E1F">
        <w:rPr>
          <w:bCs/>
        </w:rPr>
        <w:t xml:space="preserve"> N=127, </w:t>
      </w:r>
      <w:r w:rsidR="00FD5353">
        <w:rPr>
          <w:bCs/>
        </w:rPr>
        <w:t>high risk</w:t>
      </w:r>
      <w:r w:rsidR="00DB07EE" w:rsidRPr="00CE4E1F">
        <w:rPr>
          <w:bCs/>
        </w:rPr>
        <w:t xml:space="preserve"> </w:t>
      </w:r>
      <w:r w:rsidR="00FD5353">
        <w:rPr>
          <w:bCs/>
        </w:rPr>
        <w:t>N=</w:t>
      </w:r>
      <w:r w:rsidR="00DB07EE" w:rsidRPr="00CE4E1F">
        <w:rPr>
          <w:bCs/>
        </w:rPr>
        <w:t>26), WHO 2021 grade 2 (</w:t>
      </w:r>
      <w:r w:rsidR="00FD5353">
        <w:rPr>
          <w:bCs/>
        </w:rPr>
        <w:t>low risk</w:t>
      </w:r>
      <w:r w:rsidR="00DB07EE" w:rsidRPr="00CE4E1F">
        <w:rPr>
          <w:bCs/>
        </w:rPr>
        <w:t xml:space="preserve"> N=7, </w:t>
      </w:r>
      <w:r w:rsidR="00FD5353">
        <w:rPr>
          <w:bCs/>
        </w:rPr>
        <w:t>intermediate risk</w:t>
      </w:r>
      <w:r w:rsidR="00DB07EE" w:rsidRPr="00CE4E1F">
        <w:rPr>
          <w:bCs/>
        </w:rPr>
        <w:t xml:space="preserve"> N=17, </w:t>
      </w:r>
      <w:r w:rsidR="00FD5353">
        <w:rPr>
          <w:bCs/>
        </w:rPr>
        <w:t>high risk</w:t>
      </w:r>
      <w:r w:rsidR="00DB07EE" w:rsidRPr="00CE4E1F">
        <w:rPr>
          <w:bCs/>
        </w:rPr>
        <w:t xml:space="preserve"> N=26), and WHO 2021 grade 3 </w:t>
      </w:r>
      <w:r w:rsidR="00FD5353">
        <w:rPr>
          <w:bCs/>
        </w:rPr>
        <w:t xml:space="preserve">meningiomas </w:t>
      </w:r>
      <w:r w:rsidR="00DB07EE" w:rsidRPr="00CE4E1F">
        <w:rPr>
          <w:bCs/>
        </w:rPr>
        <w:t>(</w:t>
      </w:r>
      <w:r w:rsidR="00FD5353">
        <w:rPr>
          <w:bCs/>
        </w:rPr>
        <w:t>low risk</w:t>
      </w:r>
      <w:r w:rsidR="00DB07EE" w:rsidRPr="00CE4E1F">
        <w:rPr>
          <w:bCs/>
        </w:rPr>
        <w:t xml:space="preserve"> N=2, </w:t>
      </w:r>
      <w:r w:rsidR="00FD5353">
        <w:rPr>
          <w:bCs/>
        </w:rPr>
        <w:t>intermediate risk</w:t>
      </w:r>
      <w:r w:rsidR="00DB07EE" w:rsidRPr="00CE4E1F">
        <w:rPr>
          <w:bCs/>
        </w:rPr>
        <w:t xml:space="preserve"> N=46, </w:t>
      </w:r>
      <w:r w:rsidR="00FD5353">
        <w:rPr>
          <w:bCs/>
        </w:rPr>
        <w:t>high risk</w:t>
      </w:r>
      <w:r w:rsidR="00DB07EE" w:rsidRPr="00CE4E1F">
        <w:rPr>
          <w:bCs/>
        </w:rPr>
        <w:t xml:space="preserve"> N=9</w:t>
      </w:r>
      <w:r w:rsidR="006D0C55">
        <w:rPr>
          <w:bCs/>
        </w:rPr>
        <w:t>8</w:t>
      </w:r>
      <w:r w:rsidR="00DB07EE" w:rsidRPr="00CE4E1F">
        <w:rPr>
          <w:bCs/>
        </w:rPr>
        <w:t xml:space="preserve">). </w:t>
      </w:r>
      <w:r w:rsidR="000239D5">
        <w:rPr>
          <w:bCs/>
        </w:rPr>
        <w:t>Panel C shows forest plots</w:t>
      </w:r>
      <w:r w:rsidR="0067349A">
        <w:rPr>
          <w:bCs/>
        </w:rPr>
        <w:t xml:space="preserve"> of hazard ratios </w:t>
      </w:r>
      <w:r w:rsidR="00AA2CC7">
        <w:rPr>
          <w:bCs/>
        </w:rPr>
        <w:t xml:space="preserve">(HR) </w:t>
      </w:r>
      <w:r w:rsidR="0067349A">
        <w:rPr>
          <w:bCs/>
        </w:rPr>
        <w:t xml:space="preserve">with 95% confidence intervals </w:t>
      </w:r>
      <w:r w:rsidR="00AA2CC7">
        <w:rPr>
          <w:bCs/>
        </w:rPr>
        <w:t xml:space="preserve">(CI) </w:t>
      </w:r>
      <w:r w:rsidR="0067349A">
        <w:rPr>
          <w:bCs/>
        </w:rPr>
        <w:t xml:space="preserve">for local recurrence (left) </w:t>
      </w:r>
      <w:r w:rsidR="00AA2CC7">
        <w:rPr>
          <w:bCs/>
        </w:rPr>
        <w:t xml:space="preserve">or </w:t>
      </w:r>
      <w:r w:rsidR="0067349A">
        <w:rPr>
          <w:bCs/>
        </w:rPr>
        <w:t xml:space="preserve">death (right) for each 0.1 increase in </w:t>
      </w:r>
      <w:r w:rsidR="00AA2CC7">
        <w:rPr>
          <w:bCs/>
        </w:rPr>
        <w:t xml:space="preserve">gene expression </w:t>
      </w:r>
      <w:r w:rsidR="0067349A">
        <w:rPr>
          <w:bCs/>
        </w:rPr>
        <w:t xml:space="preserve">risk score. The gene expression </w:t>
      </w:r>
      <w:r w:rsidR="00AA2CC7">
        <w:rPr>
          <w:bCs/>
        </w:rPr>
        <w:t>biomarker</w:t>
      </w:r>
      <w:r w:rsidR="0067349A">
        <w:rPr>
          <w:bCs/>
        </w:rPr>
        <w:t xml:space="preserve"> was prognostic across all molecular classification systems tested for both recurrence and survival</w:t>
      </w:r>
      <w:r w:rsidR="00AA2CC7">
        <w:rPr>
          <w:bCs/>
        </w:rPr>
        <w:t xml:space="preserve">. HRs according to gene expression risk score across meningioma settings, </w:t>
      </w:r>
      <w:r w:rsidR="005D5E14">
        <w:rPr>
          <w:bCs/>
        </w:rPr>
        <w:t>extent of resection (EOR)</w:t>
      </w:r>
      <w:r w:rsidR="00AA2CC7">
        <w:rPr>
          <w:bCs/>
        </w:rPr>
        <w:t xml:space="preserve">, and WHO grades from Figure 2B are re-presented for ease of comparison </w:t>
      </w:r>
      <w:r w:rsidR="00AD6DD6">
        <w:rPr>
          <w:bCs/>
        </w:rPr>
        <w:t>to HRs in</w:t>
      </w:r>
      <w:r w:rsidR="00AA2CC7">
        <w:rPr>
          <w:bCs/>
        </w:rPr>
        <w:t xml:space="preserve"> molecular classification syst</w:t>
      </w:r>
      <w:r w:rsidR="00AA2CC7" w:rsidRPr="009C1654">
        <w:rPr>
          <w:bCs/>
        </w:rPr>
        <w:t xml:space="preserve">ems. </w:t>
      </w:r>
      <w:r w:rsidR="009C1654" w:rsidRPr="00490A6D">
        <w:rPr>
          <w:color w:val="000000"/>
        </w:rPr>
        <w:t>LFFR concordance index</w:t>
      </w:r>
      <w:r w:rsidR="009C1654">
        <w:rPr>
          <w:color w:val="000000"/>
        </w:rPr>
        <w:t xml:space="preserve"> (c-index)</w:t>
      </w:r>
      <w:r w:rsidR="009C1654" w:rsidRPr="00490A6D">
        <w:rPr>
          <w:color w:val="000000"/>
        </w:rPr>
        <w:t xml:space="preserve"> for the gene expression biomarker was 0.78, while </w:t>
      </w:r>
      <w:r w:rsidR="009C1654">
        <w:rPr>
          <w:color w:val="000000"/>
        </w:rPr>
        <w:t>LFFR c-index</w:t>
      </w:r>
      <w:r w:rsidR="009C1654" w:rsidRPr="00490A6D">
        <w:rPr>
          <w:color w:val="000000"/>
        </w:rPr>
        <w:t xml:space="preserve"> was 0.68 for WHO 2016 grade, 0.72 for WHO 2021 grade, 0.72 for integrated score, 0.72 for integrated grade, 0.68 for DNA methylation groups, 0.69 for DNA methylation subgroups, 0.74 for DNA methylation probes, and 0.70 for gene expression type. OS </w:t>
      </w:r>
      <w:r w:rsidR="009C1654">
        <w:rPr>
          <w:color w:val="000000"/>
        </w:rPr>
        <w:t>c-</w:t>
      </w:r>
      <w:r w:rsidR="009C1654" w:rsidRPr="00490A6D">
        <w:rPr>
          <w:color w:val="000000"/>
        </w:rPr>
        <w:t xml:space="preserve">index for the gene expression biomarker was 0.78, while </w:t>
      </w:r>
      <w:r w:rsidR="009C1654">
        <w:rPr>
          <w:color w:val="000000"/>
        </w:rPr>
        <w:t>OS c-index</w:t>
      </w:r>
      <w:r w:rsidR="009C1654" w:rsidRPr="00490A6D">
        <w:rPr>
          <w:color w:val="000000"/>
        </w:rPr>
        <w:t xml:space="preserve"> was 0.72 for WHO 2016 grade, 0.74 for WHO 2021 grade, 0.73 for integrated score, 0.75 for integrated grade, 0.66 for DNA methylation groups, 0.68 for DNA methylation subgroups, 0.73 for DNA methylation probes, and 0.70 for gene expression type.</w:t>
      </w:r>
      <w:r w:rsidR="009C1654" w:rsidRPr="00CE4E1F">
        <w:rPr>
          <w:bCs/>
        </w:rPr>
        <w:t xml:space="preserve"> </w:t>
      </w:r>
      <w:r w:rsidR="0061654D" w:rsidRPr="00CE4E1F">
        <w:rPr>
          <w:bCs/>
        </w:rPr>
        <w:br w:type="page"/>
      </w:r>
    </w:p>
    <w:p w14:paraId="53889748" w14:textId="7278F629" w:rsidR="00352C36" w:rsidRPr="00CE4E1F" w:rsidRDefault="00352C36" w:rsidP="00742F09">
      <w:pPr>
        <w:spacing w:line="360" w:lineRule="auto"/>
        <w:contextualSpacing/>
        <w:jc w:val="both"/>
        <w:rPr>
          <w:b/>
          <w:bCs/>
        </w:rPr>
      </w:pPr>
      <w:r w:rsidRPr="00CE4E1F">
        <w:rPr>
          <w:b/>
          <w:bCs/>
        </w:rPr>
        <w:lastRenderedPageBreak/>
        <w:t xml:space="preserve">Figure S6. </w:t>
      </w:r>
      <w:r w:rsidR="00825AF7" w:rsidRPr="00CE4E1F">
        <w:rPr>
          <w:b/>
          <w:bCs/>
        </w:rPr>
        <w:t>Molecular c</w:t>
      </w:r>
      <w:r w:rsidRPr="00CE4E1F">
        <w:rPr>
          <w:b/>
          <w:bCs/>
        </w:rPr>
        <w:t>lassification comparison</w:t>
      </w:r>
      <w:r w:rsidR="00825AF7" w:rsidRPr="00CE4E1F">
        <w:rPr>
          <w:b/>
          <w:bCs/>
        </w:rPr>
        <w:t>s</w:t>
      </w:r>
      <w:r w:rsidRPr="00CE4E1F">
        <w:rPr>
          <w:b/>
          <w:bCs/>
        </w:rPr>
        <w:t xml:space="preserve"> in </w:t>
      </w:r>
      <w:r w:rsidR="00825AF7" w:rsidRPr="00CE4E1F">
        <w:rPr>
          <w:b/>
          <w:bCs/>
        </w:rPr>
        <w:t xml:space="preserve">the clinical </w:t>
      </w:r>
      <w:r w:rsidRPr="00CE4E1F">
        <w:rPr>
          <w:b/>
          <w:bCs/>
        </w:rPr>
        <w:t xml:space="preserve">validation cohort. </w:t>
      </w:r>
    </w:p>
    <w:p w14:paraId="31A84D0A" w14:textId="7C88E29B" w:rsidR="00352C36" w:rsidRPr="00CE4E1F" w:rsidRDefault="000431A0" w:rsidP="00742F09">
      <w:pPr>
        <w:spacing w:line="360" w:lineRule="auto"/>
        <w:contextualSpacing/>
        <w:jc w:val="both"/>
        <w:rPr>
          <w:b/>
          <w:bCs/>
        </w:rPr>
      </w:pPr>
      <w:r w:rsidRPr="00CE4E1F">
        <w:rPr>
          <w:b/>
          <w:bCs/>
          <w:noProof/>
        </w:rPr>
        <w:drawing>
          <wp:inline distT="0" distB="0" distL="0" distR="0" wp14:anchorId="2A6A4F31" wp14:editId="1E15FBC4">
            <wp:extent cx="5943600" cy="4005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6.png"/>
                    <pic:cNvPicPr/>
                  </pic:nvPicPr>
                  <pic:blipFill>
                    <a:blip r:embed="rId14"/>
                    <a:stretch>
                      <a:fillRect/>
                    </a:stretch>
                  </pic:blipFill>
                  <pic:spPr>
                    <a:xfrm>
                      <a:off x="0" y="0"/>
                      <a:ext cx="5943600" cy="4005580"/>
                    </a:xfrm>
                    <a:prstGeom prst="rect">
                      <a:avLst/>
                    </a:prstGeom>
                  </pic:spPr>
                </pic:pic>
              </a:graphicData>
            </a:graphic>
          </wp:inline>
        </w:drawing>
      </w:r>
    </w:p>
    <w:p w14:paraId="7E7A59BB" w14:textId="727B0EC8" w:rsidR="00352C36" w:rsidRPr="00CE4E1F" w:rsidRDefault="00030214" w:rsidP="00742F09">
      <w:pPr>
        <w:spacing w:line="360" w:lineRule="auto"/>
        <w:contextualSpacing/>
        <w:jc w:val="both"/>
        <w:rPr>
          <w:b/>
          <w:bCs/>
        </w:rPr>
      </w:pPr>
      <w:r w:rsidRPr="00CE4E1F">
        <w:rPr>
          <w:bCs/>
        </w:rPr>
        <w:t>Kaplan Meier curves are shown for local freedom from recurrence</w:t>
      </w:r>
      <w:r w:rsidR="00353D4A">
        <w:rPr>
          <w:bCs/>
        </w:rPr>
        <w:t xml:space="preserve"> in clinical validation cohort meningiomas</w:t>
      </w:r>
      <w:r w:rsidRPr="00CE4E1F">
        <w:rPr>
          <w:bCs/>
        </w:rPr>
        <w:t xml:space="preserve"> stratified by </w:t>
      </w:r>
      <w:r w:rsidR="00284F38">
        <w:rPr>
          <w:bCs/>
        </w:rPr>
        <w:t>molecular</w:t>
      </w:r>
      <w:r w:rsidRPr="00CE4E1F">
        <w:rPr>
          <w:bCs/>
        </w:rPr>
        <w:t xml:space="preserve"> risk </w:t>
      </w:r>
      <w:r w:rsidR="00284F38">
        <w:rPr>
          <w:bCs/>
        </w:rPr>
        <w:t>groups</w:t>
      </w:r>
      <w:r w:rsidR="00AD6DD6" w:rsidRPr="00CE4E1F">
        <w:rPr>
          <w:bCs/>
        </w:rPr>
        <w:t xml:space="preserve"> </w:t>
      </w:r>
      <w:r w:rsidR="00353D4A" w:rsidRPr="00CE4E1F">
        <w:rPr>
          <w:bCs/>
        </w:rPr>
        <w:t>(blue</w:t>
      </w:r>
      <w:r w:rsidR="00284F38">
        <w:rPr>
          <w:bCs/>
        </w:rPr>
        <w:t xml:space="preserve"> lines</w:t>
      </w:r>
      <w:r w:rsidR="00353D4A">
        <w:rPr>
          <w:bCs/>
        </w:rPr>
        <w:t>, low risk;</w:t>
      </w:r>
      <w:r w:rsidR="00353D4A" w:rsidRPr="00CE4E1F">
        <w:rPr>
          <w:bCs/>
        </w:rPr>
        <w:t xml:space="preserve"> purple</w:t>
      </w:r>
      <w:r w:rsidR="00284F38">
        <w:rPr>
          <w:bCs/>
        </w:rPr>
        <w:t xml:space="preserve"> lines</w:t>
      </w:r>
      <w:r w:rsidR="00353D4A">
        <w:rPr>
          <w:bCs/>
        </w:rPr>
        <w:t>, intermediate risk;</w:t>
      </w:r>
      <w:r w:rsidR="00353D4A" w:rsidRPr="00CE4E1F">
        <w:rPr>
          <w:bCs/>
        </w:rPr>
        <w:t xml:space="preserve"> red</w:t>
      </w:r>
      <w:r w:rsidR="00284F38">
        <w:rPr>
          <w:bCs/>
        </w:rPr>
        <w:t xml:space="preserve"> lines</w:t>
      </w:r>
      <w:r w:rsidR="00353D4A">
        <w:rPr>
          <w:bCs/>
        </w:rPr>
        <w:t>, high risk</w:t>
      </w:r>
      <w:r w:rsidR="00353D4A" w:rsidRPr="00CE4E1F">
        <w:rPr>
          <w:bCs/>
        </w:rPr>
        <w:t>)</w:t>
      </w:r>
      <w:r w:rsidRPr="00CE4E1F">
        <w:rPr>
          <w:bCs/>
        </w:rPr>
        <w:t xml:space="preserve"> </w:t>
      </w:r>
      <w:r w:rsidR="00284F38">
        <w:rPr>
          <w:bCs/>
        </w:rPr>
        <w:t xml:space="preserve">using the gene expression biomarker in Panel A, or </w:t>
      </w:r>
      <w:r w:rsidR="00353D4A">
        <w:rPr>
          <w:bCs/>
        </w:rPr>
        <w:t>2</w:t>
      </w:r>
      <w:r w:rsidR="00353D4A" w:rsidRPr="00CE4E1F">
        <w:rPr>
          <w:bCs/>
        </w:rPr>
        <w:t xml:space="preserve"> </w:t>
      </w:r>
      <w:r w:rsidRPr="00CE4E1F">
        <w:rPr>
          <w:bCs/>
        </w:rPr>
        <w:t xml:space="preserve">contemporary supervised meningioma classification systems based </w:t>
      </w:r>
      <w:r w:rsidR="00AD6DD6">
        <w:rPr>
          <w:bCs/>
        </w:rPr>
        <w:t>on</w:t>
      </w:r>
      <w:r w:rsidR="00AD6DD6" w:rsidRPr="00CE4E1F">
        <w:rPr>
          <w:bCs/>
        </w:rPr>
        <w:t xml:space="preserve"> </w:t>
      </w:r>
      <w:r w:rsidR="00E01169" w:rsidRPr="00CE4E1F">
        <w:rPr>
          <w:bCs/>
        </w:rPr>
        <w:t xml:space="preserve">combined </w:t>
      </w:r>
      <w:r w:rsidRPr="00CE4E1F">
        <w:rPr>
          <w:bCs/>
        </w:rPr>
        <w:t>molecular and clinical features: integrated grade</w:t>
      </w:r>
      <w:r w:rsidR="004A197A" w:rsidRPr="00CE4E1F">
        <w:rPr>
          <w:bCs/>
        </w:rPr>
        <w:fldChar w:fldCharType="begin" w:fldLock="1"/>
      </w:r>
      <w:r w:rsidR="000F4EF5">
        <w:rPr>
          <w:bCs/>
        </w:rPr>
        <w:instrText>ADDIN CSL_CITATION {"citationItems":[{"id":"ITEM-1","itemData":{"DOI":"10.1093/neuonc/noab213","ISSN":"15235866","PMID":"34508644","abstract":"Background: Meningiomas are the most common primary intracranial tumor in adults. Clinical care is currently guided by the World Health Organization (WHO) grade assigned to meningiomas, a 3-tiered grading system based on histopathology features, as well as extent of surgical resection. Clinical behavior, however, often fails to conform to the WHO grade. Additional prognostic information is needed to optimize patient management. Methods: We evaluated whether chromosomal copy-number data improved prediction of time-to-recurrence for patients with meningioma who were treated with surgery, relative to the WHO schema. The models were developed using Cox proportional hazards, random survival forest, and gradient boosting in a discovery cohort of 527 meningioma patients and validated in 2 independent cohorts of 172 meningioma patients characterized by orthogonal genomic platforms. Results: We developed a 3-tiered grading scheme (Integrated Grades 1-3), which incorporated mitotic count and loss of chromosome 1p, 3p, 4, 6, 10, 14q, 18, 19, or CDKN2A. 32% of meningiomas reclassified to either a lower-risk or higher-risk Integrated Grade compared to their assigned WHO grade. The Integrated Grade more accurately identified meningioma patients at risk for recurrence, relative to the WHO grade, as determined by time-dependent area under the curve, average precision, and the Brier score. Conclusion: We propose a molecularly integrated grading scheme for meningiomas that significantly improves upon the current WHO grading system in prediction of progression-free survival. This framework can be broadly adopted by clinicians with relative ease using widely available genomic technologies and presents an advance in the care of meningioma patients.","author":[{"dropping-particle":"","family":"Driver","given":"Joseph","non-dropping-particle":"","parse-names":false,"suffix":""},{"dropping-particle":"","family":"Hoffman","given":"Samantha E.","non-dropping-particle":"","parse-names":false,"suffix":""},{"dropping-particle":"","family":"Tavakol","given":"Sherwin","non-dropping-particle":"","parse-names":false,"suffix":""},{"dropping-particle":"","family":"Woodward","given":"Eleanor","non-dropping-particle":"","parse-names":false,"suffix":""},{"dropping-particle":"","family":"Maury","given":"Eduardo A.","non-dropping-particle":"","parse-names":false,"suffix":""},{"dropping-particle":"","family":"Bhave","given":"Varun","non-dropping-particle":"","parse-names":false,"suffix":""},{"dropping-particle":"","family":"Greenwald","given":"Noah F.","non-dropping-particle":"","parse-names":false,"suffix":""},{"dropping-particle":"","family":"Nassiri","given":"Farshad","non-dropping-particle":"","parse-names":false,"suffix":""},{"dropping-particle":"","family":"Aldape","given":"Kenneth","non-dropping-particle":"","parse-names":false,"suffix":""},{"dropping-particle":"","family":"Zadeh","given":"Gelareh","non-dropping-particle":"","parse-names":false,"suffix":""},{"dropping-particle":"","family":"Choudhury","given":"Abrar","non-dropping-particle":"","parse-names":false,"suffix":""},{"dropping-particle":"","family":"Vasudevan","given":"Harish N.","non-dropping-particle":"","parse-names":false,"suffix":""},{"dropping-particle":"","family":"Magill","given":"Stephen T.","non-dropping-particle":"","parse-names":false,"suffix":""},{"dropping-particle":"","family":"Raleigh","given":"David R.","non-dropping-particle":"","parse-names":false,"suffix":""},{"dropping-particle":"","family":"Abedalthagafi","given":"Malak","non-dropping-particle":"","parse-names":false,"suffix":""},{"dropping-particle":"","family":"Aizer","given":"Ayal A.","non-dropping-particle":"","parse-names":false,"suffix":""},{"dropping-particle":"","family":"Alexander","given":"Brian M.","non-dropping-particle":"","parse-names":false,"suffix":""},{"dropping-particle":"","family":"Ligon","given":"Keith L.","non-dropping-particle":"","parse-names":false,"suffix":""},{"dropping-particle":"","family":"Reardon","given":"David A.","non-dropping-particle":"","parse-names":false,"suffix":""},{"dropping-particle":"","family":"Wen","given":"Patrick Y.","non-dropping-particle":"","parse-names":false,"suffix":""},{"dropping-particle":"","family":"Al-Mefty","given":"Ossama","non-dropping-particle":"","parse-names":false,"suffix":""},{"dropping-particle":"","family":"Ligon","given":"Azra H.","non-dropping-particle":"","parse-names":false,"suffix":""},{"dropping-particle":"","family":"Dubuc","given":"Adrian M.","non-dropping-particle":"","parse-names":false,"suffix":""},{"dropping-particle":"","family":"Beroukhim","given":"Rameen","non-dropping-particle":"","parse-names":false,"suffix":""},{"dropping-particle":"","family":"Claus","given":"Elizabeth B.","non-dropping-particle":"","parse-names":false,"suffix":""},{"dropping-particle":"","family":"Dunn","given":"Ian F.","non-dropping-particle":"","parse-names":false,"suffix":""},{"dropping-particle":"","family":"Santagata","given":"Sandro","non-dropping-particle":"","parse-names":false,"suffix":""},{"dropping-particle":"","family":"Linda Bi","given":"Wenya","non-dropping-particle":"","parse-names":false,"suffix":""}],"container-title":"Neuro-Oncology","id":"ITEM-1","issue":"5","issued":{"date-parts":[["2022"]]},"page":"796-808","title":"A molecularly integrated grade for meningioma","type":"article-journal","volume":"24"},"uris":["http://www.mendeley.com/documents/?uuid=f72755aa-a178-497c-a922-146804374b2e"]}],"mendeley":{"formattedCitation":"&lt;sup&gt;18&lt;/sup&gt;","plainTextFormattedCitation":"18","previouslyFormattedCitation":"&lt;sup&gt;18&lt;/sup&gt;"},"properties":{"noteIndex":0},"schema":"https://github.com/citation-style-language/schema/raw/master/csl-citation.json"}</w:instrText>
      </w:r>
      <w:r w:rsidR="004A197A" w:rsidRPr="00CE4E1F">
        <w:rPr>
          <w:bCs/>
        </w:rPr>
        <w:fldChar w:fldCharType="separate"/>
      </w:r>
      <w:r w:rsidR="000F4EF5" w:rsidRPr="000F4EF5">
        <w:rPr>
          <w:bCs/>
          <w:noProof/>
          <w:vertAlign w:val="superscript"/>
        </w:rPr>
        <w:t>18</w:t>
      </w:r>
      <w:r w:rsidR="004A197A" w:rsidRPr="00CE4E1F">
        <w:rPr>
          <w:bCs/>
        </w:rPr>
        <w:fldChar w:fldCharType="end"/>
      </w:r>
      <w:r w:rsidRPr="00CE4E1F">
        <w:rPr>
          <w:bCs/>
        </w:rPr>
        <w:t xml:space="preserve"> based on </w:t>
      </w:r>
      <w:r w:rsidR="00AD6DD6">
        <w:rPr>
          <w:bCs/>
        </w:rPr>
        <w:t>CNVs</w:t>
      </w:r>
      <w:r w:rsidRPr="00CE4E1F">
        <w:rPr>
          <w:bCs/>
        </w:rPr>
        <w:t xml:space="preserve"> and mitoses</w:t>
      </w:r>
      <w:r w:rsidR="00284F38">
        <w:rPr>
          <w:bCs/>
        </w:rPr>
        <w:t xml:space="preserve"> in Panel B</w:t>
      </w:r>
      <w:r w:rsidRPr="00CE4E1F">
        <w:rPr>
          <w:bCs/>
        </w:rPr>
        <w:t xml:space="preserve">, </w:t>
      </w:r>
      <w:r w:rsidR="00353D4A">
        <w:rPr>
          <w:bCs/>
        </w:rPr>
        <w:t>or</w:t>
      </w:r>
      <w:r w:rsidR="00353D4A" w:rsidRPr="00CE4E1F">
        <w:rPr>
          <w:bCs/>
        </w:rPr>
        <w:t xml:space="preserve"> </w:t>
      </w:r>
      <w:r w:rsidRPr="00CE4E1F">
        <w:rPr>
          <w:bCs/>
        </w:rPr>
        <w:t>integrated score</w:t>
      </w:r>
      <w:r w:rsidR="004A197A" w:rsidRPr="00CE4E1F">
        <w:rPr>
          <w:bCs/>
        </w:rPr>
        <w:fldChar w:fldCharType="begin" w:fldLock="1"/>
      </w:r>
      <w:r w:rsidR="000F4EF5">
        <w:rPr>
          <w:bCs/>
        </w:rPr>
        <w:instrText>ADDIN CSL_CITATION {"citationItems":[{"id":"ITEM-1","itemData":{"DOI":"10.1200/JCO.21.00784","ISSN":"15277755","PMID":"34618539","abstract":"PURPOSE Meningiomas are the most frequent primary intracranial tumors. Patient outcome varies widely from benign to highly aggressive, ultimately fatal courses. Reliable identification of risk of progression for individual patients is of pivotal importance. However, only biomarkers for highly aggressive tumors are established (CDKN2A/B and TERT), whereas no molecularly based stratification exists for the broad spectrum of patients with low- and intermediate-risk meningioma. METHODS DNA methylation data and copy-number information were generated for 3,031 meningiomas (2,868 patients), and mutation data for 858 samples. DNA methylation subgroups, copy-number variations (CNVs), mutations, and WHO grading were analyzed. Prediction power for outcome was assessed in a retrospective cohort of 514 patients, validated on a retrospective cohort of 184, and on a prospective cohort of 287 multicenter cases. RESULTS Both CNV- and methylation family–based subgrouping independently resulted in increased prediction accuracy of risk of recurrence compared with the WHO classification (c-indexes WHO 2016, CNV, and methylation family 0.699, 0.706, and 0.721, respectively). Merging all risk stratification approaches into an integrated molecular-morphologic score resulted in further substantial increase in accuracy (c-index 0.744). This integrated score consistently provided superior accuracy in all three cohorts, significantly outperforming WHO grading (c-index difference P 5 .005). Besides the overall stratification advantage, the integrated score separates more precisely for risk of progression at the diagnostically challenging interface of WHO grade 1 and grade 2 tumors (hazard ratio 4.34 [2.48-7.57] and 3.34 [1.28-8.72] retrospective and prospective validation cohorts, respectively). CONCLUSION Merging these layers of histologic and molecular data into an integrated, three-tiered score significantly improves the precision in meningioma stratification. Implementation into diagnostic routine informs clinical decision making for patients with meningioma on the basis of robust outcome prediction.","author":[{"dropping-particle":"","family":"Maas","given":"Sybren L.N.","non-dropping-particle":"","parse-names":false,"suffix":""},{"dropping-particle":"","family":"Stichel","given":"Damian","non-dropping-particle":"","parse-names":false,"suffix":""},{"dropping-particle":"","family":"Hielscher","given":"Thomas","non-dropping-particle":"","parse-names":false,"suffix":""},{"dropping-particle":"","family":"Sievers","given":"Philipp","non-dropping-particle":"","parse-names":false,"suffix":""},{"dropping-particle":"","family":"Berghoff","given":"Anna S.","non-dropping-particle":"","parse-names":false,"suffix":""},{"dropping-particle":"","family":"Schrimpf","given":"Daniel","non-dropping-particle":"","parse-names":false,"suffix":""},{"dropping-particle":"","family":"Sill","given":"Martin","non-dropping-particle":"","parse-names":false,"suffix":""},{"dropping-particle":"","family":"Euskirchen","given":"Philipp","non-dropping-particle":"","parse-names":false,"suffix":""},{"dropping-particle":"","family":"Blume","given":"Christina","non-dropping-particle":"","parse-names":false,"suffix":""},{"dropping-particle":"","family":"Patel","given":"Areeba","non-dropping-particle":"","parse-names":false,"suffix":""},{"dropping-particle":"","family":"Dogan","given":"Helin","non-dropping-particle":"","parse-names":false,"suffix":""},{"dropping-particle":"","family":"Reuss","given":"David","non-dropping-particle":"","parse-names":false,"suffix":""},{"dropping-particle":"","family":"Dohmen","given":"Hildegard","non-dropping-particle":"","parse-names":false,"suffix":""},{"dropping-particle":"","family":"Stein","given":"Marco","non-dropping-particle":"","parse-names":false,"suffix":""},{"dropping-particle":"","family":"Reinhardt","given":"Annekathrin","non-dropping-particle":"","parse-names":false,"suffix":""},{"dropping-particle":"","family":"Suwala","given":"Abigail K.","non-dropping-particle":"","parse-names":false,"suffix":""},{"dropping-particle":"","family":"Wefers","given":"Annika K.","non-dropping-particle":"","parse-names":false,"suffix":""},{"dropping-particle":"","family":"Baumgarten","given":"Peter","non-dropping-particle":"","parse-names":false,"suffix":""},{"dropping-particle":"","family":"Ricklefs","given":"Franz","non-dropping-particle":"","parse-names":false,"suffix":""},{"dropping-particle":"","family":"Rushing","given":"Elisabeth J.","non-dropping-particle":"","parse-names":false,"suffix":""},{"dropping-particle":"","family":"Bewerunge-Hudler","given":"Melanie","non-dropping-particle":"","parse-names":false,"suffix":""},{"dropping-particle":"","family":"Ketter","given":"Ralf","non-dropping-particle":"","parse-names":false,"suffix":""},{"dropping-particle":"","family":"Schittenhelm","given":"Jens","non-dropping-particle":"","parse-names":false,"suffix":""},{"dropping-particle":"","family":"Jaunmuktane","given":"Zane","non-dropping-particle":"","parse-names":false,"suffix":""},{"dropping-particle":"","family":"Leu","given":"Severina","non-dropping-particle":"","parse-names":false,"suffix":""},{"dropping-particle":"","family":"Greenway","given":"Fay E.A.","non-dropping-particle":"","parse-names":false,"suffix":""},{"dropping-particle":"","family":"Bridges","given":"Leslie R.","non-dropping-particle":"","parse-names":false,"suffix":""},{"dropping-particle":"","family":"Jones","given":"Timothy","non-dropping-particle":"","parse-names":false,"suffix":""},{"dropping-particle":"","family":"Grady","given":"Conor","non-dropping-particle":"","parse-names":false,"suffix":""},{"dropping-particle":"","family":"Serrano","given":"Jonathan","non-dropping-particle":"","parse-names":false,"suffix":""},{"dropping-particle":"","family":"Golfinos","given":"John","non-dropping-particle":"","parse-names":false,"suffix":""},{"dropping-particle":"","family":"Sen","given":"Chandra","non-dropping-particle":"","parse-names":false,"suffix":""},{"dropping-particle":"","family":"Mawrin","given":"Christian","non-dropping-particle":"","parse-names":false,"suffix":""},{"dropping-particle":"","family":"Jungk","given":"Christine","non-dropping-particle":"","parse-names":false,"suffix":""},{"dropping-particle":"","family":"Hänggi","given":"Daniel","non-dropping-particle":"","parse-names":false,"suffix":""},{"dropping-particle":"","family":"Westphal","given":"Manfred","non-dropping-particle":"","parse-names":false,"suffix":""},{"dropping-particle":"","family":"Lamszus","given":"Katrin","non-dropping-particle":"","parse-names":false,"suffix":""},{"dropping-particle":"","family":"Etminan","given":"Nima","non-dropping-particle":"","parse-names":false,"suffix":""},{"dropping-particle":"","family":"Jungwirth","given":"Gerhard","non-dropping-particle":"","parse-names":false,"suffix":""},{"dropping-particle":"","family":"Herold-Mende","given":"Christel","non-dropping-particle":"","parse-names":false,"suffix":""},{"dropping-particle":"","family":"Unterberg","given":"Andreas","non-dropping-particle":"","parse-names":false,"suffix":""},{"dropping-particle":"","family":"Harter","given":"Patrick N.","non-dropping-particle":"","parse-names":false,"suffix":""},{"dropping-particle":"","family":"Wirsching","given":"Hans Georg","non-dropping-particle":"","parse-names":false,"suffix":""},{"dropping-particle":"","family":"Neidert","given":"Marian C.","non-dropping-particle":"","parse-names":false,"suffix":""},{"dropping-particle":"","family":"Ratliff","given":"Miriam","non-dropping-particle":"","parse-names":false,"suffix":""},{"dropping-particle":"","family":"Platten","given":"Michael","non-dropping-particle":"","parse-names":false,"suffix":""},{"dropping-particle":"","family":"Snuderl","given":"Matija","non-dropping-particle":"","parse-names":false,"suffix":""},{"dropping-particle":"","family":"Aldape","given":"Kenneth D.","non-dropping-particle":"","parse-names":false,"suffix":""},{"dropping-particle":"","family":"Brandner","given":"Sebastian","non-dropping-particle":"","parse-names":false,"suffix":""},{"dropping-particle":"","family":"Hench","given":"Jürgen","non-dropping-particle":"","parse-names":false,"suffix":""},{"dropping-particle":"","family":"Frank","given":"Stephan","non-dropping-particle":"","parse-names":false,"suffix":""},{"dropping-particle":"","family":"Pfister","given":"Stefan M.","non-dropping-particle":"","parse-names":false,"suffix":""},{"dropping-particle":"","family":"Jones","given":"David T.W.","non-dropping-particle":"","parse-names":false,"suffix":""},{"dropping-particle":"","family":"Reifenberger","given":"Guido","non-dropping-particle":"","parse-names":false,"suffix":""},{"dropping-particle":"","family":"Acker","given":"Till","non-dropping-particle":"","parse-names":false,"suffix":""},{"dropping-particle":"","family":"Wick","given":"Wolfgang","non-dropping-particle":"","parse-names":false,"suffix":""},{"dropping-particle":"","family":"Weller","given":"Michael","non-dropping-particle":"","parse-names":false,"suffix":""},{"dropping-particle":"","family":"Preusser","given":"Matthias","non-dropping-particle":"","parse-names":false,"suffix":""},{"dropping-particle":"","family":"Deimling","given":"Andreas","non-dropping-particle":"von","parse-names":false,"suffix":""},{"dropping-particle":"","family":"Sahm","given":"Felix","non-dropping-particle":"","parse-names":false,"suffix":""}],"container-title":"Journal of Clinical Oncology","id":"ITEM-1","issue":"34","issued":{"date-parts":[["2021"]]},"page":"3839-3852","title":"Integrated Molecular-Morphologic Meningioma Classification: A Multicenter Retrospective Analysis, Retrospectively and Prospectively Validated","type":"article-journal","volume":"39"},"uris":["http://www.mendeley.com/documents/?uuid=e2dece48-a886-43e5-8b02-ba8c8c168310"]}],"mendeley":{"formattedCitation":"&lt;sup&gt;17&lt;/sup&gt;","plainTextFormattedCitation":"17","previouslyFormattedCitation":"&lt;sup&gt;17&lt;/sup&gt;"},"properties":{"noteIndex":0},"schema":"https://github.com/citation-style-language/schema/raw/master/csl-citation.json"}</w:instrText>
      </w:r>
      <w:r w:rsidR="004A197A" w:rsidRPr="00CE4E1F">
        <w:rPr>
          <w:bCs/>
        </w:rPr>
        <w:fldChar w:fldCharType="separate"/>
      </w:r>
      <w:r w:rsidR="000F4EF5" w:rsidRPr="000F4EF5">
        <w:rPr>
          <w:bCs/>
          <w:noProof/>
          <w:vertAlign w:val="superscript"/>
        </w:rPr>
        <w:t>17</w:t>
      </w:r>
      <w:r w:rsidR="004A197A" w:rsidRPr="00CE4E1F">
        <w:rPr>
          <w:bCs/>
        </w:rPr>
        <w:fldChar w:fldCharType="end"/>
      </w:r>
      <w:r w:rsidR="00353D4A">
        <w:rPr>
          <w:bCs/>
        </w:rPr>
        <w:t xml:space="preserve"> </w:t>
      </w:r>
      <w:r w:rsidRPr="00CE4E1F">
        <w:rPr>
          <w:bCs/>
        </w:rPr>
        <w:t xml:space="preserve">based on </w:t>
      </w:r>
      <w:r w:rsidR="00AD6DD6">
        <w:rPr>
          <w:bCs/>
        </w:rPr>
        <w:t xml:space="preserve">CNVs, </w:t>
      </w:r>
      <w:r w:rsidRPr="00CE4E1F">
        <w:rPr>
          <w:bCs/>
        </w:rPr>
        <w:t xml:space="preserve">DNA methylation </w:t>
      </w:r>
      <w:r w:rsidR="00353D4A">
        <w:rPr>
          <w:bCs/>
        </w:rPr>
        <w:t>families</w:t>
      </w:r>
      <w:r w:rsidR="00622F70">
        <w:rPr>
          <w:bCs/>
        </w:rPr>
        <w:fldChar w:fldCharType="begin" w:fldLock="1"/>
      </w:r>
      <w:r w:rsidR="000F4EF5">
        <w:rPr>
          <w:bCs/>
        </w:rPr>
        <w:instrText>ADDIN CSL_CITATION {"citationItems":[{"id":"ITEM-1","itemData":{"DOI":"10.1016/S1470-2045(17)30155-9","ISBN":"1470-2045","ISSN":"14745488","PMID":"28314689","abstract":"Background The WHO classification of brain tumours describes 15 subtypes of meningioma. Nine of these subtypes are allotted to WHO grade I, and three each to grade II and grade III. Grading is based solely on histology, with an absence of molecular markers. Although the existing classification and grading approach is of prognostic value, it harbours shortcomings such as ill-defined parameters for subtypes and grading criteria prone to arbitrary judgment. In this study, we aimed for a comprehensive characterisation of the entire molecular genetic landscape of meningioma to identify biologically and clinically relevant subgroups. Methods In this multicentre, retrospective analysis, we investigated genome-wide DNA methylation patterns of meningiomas from ten European academic neuro-oncology centres to identify distinct methylation classes of meningiomas. The methylation classes were further characterised by DNA copy number analysis, mutational profiling, and RNA sequencing. Methylation classes were analysed for progression-free survival outcomes by the Kaplan-Meier method. The DNA methylation-based and WHO classification schema were compared using the Brier prediction score, analysed in an independent cohort with WHO grading, progression-free survival, and disease-specific survival data available, collected at the Medical University Vienna (Vienna, Austria), assessing methylation patterns with an alternative methylation chip. Findings We retrospectively collected 497 meningiomas along with 309 samples of other extra-axial skull tumours that might histologically mimic meningioma variants. Unsupervised clustering of DNA methylation data clearly segregated all meningiomas from other skull tumours. We generated genome-wide DNA methylation profiles from all 497 meningioma samples. DNA methylation profiling distinguished six distinct clinically relevant methylation classes associated with typical mutational, cytogenetic, and gene expression patterns. Compared with WHO grading, classification by individual and combined methylation classes more accurately identifies patients at high risk of disease progression in tumours with WHO grade I histology, and patients at lower risk of recurrence among WHO grade II tumours (p=0·0096) from the Brier prediction test). We validated this finding in our independent cohort of 140 patients with meningioma. Interpretation DNA methylation-based meningioma classification captures clinically more homogenous groups and has a higher p…","author":[{"dropping-particle":"","family":"Sahm","given":"Felix","non-dropping-particle":"","parse-names":false,"suffix":""},{"dropping-particle":"","family":"Schrimpf","given":"Daniel","non-dropping-particle":"","parse-names":false,"suffix":""},{"dropping-particle":"","family":"Stichel","given":"Damian","non-dropping-particle":"","parse-names":false,"suffix":""},{"dropping-particle":"","family":"Jones","given":"David T.W.","non-dropping-particle":"","parse-names":false,"suffix":""},{"dropping-particle":"","family":"Hielscher","given":"Thomas","non-dropping-particle":"","parse-names":false,"suffix":""},{"dropping-particle":"","family":"Schefzyk","given":"Sebastian","non-dropping-particle":"","parse-names":false,"suffix":""},{"dropping-particle":"","family":"Okonechnikov","given":"Konstantin","non-dropping-particle":"","parse-names":false,"suffix":""},{"dropping-particle":"","family":"Koelsche","given":"Christian","non-dropping-particle":"","parse-names":false,"suffix":""},{"dropping-particle":"","family":"Reuss","given":"David E.","non-dropping-particle":"","parse-names":false,"suffix":""},{"dropping-particle":"","family":"Capper","given":"David","non-dropping-particle":"","parse-names":false,"suffix":""},{"dropping-particle":"","family":"Sturm","given":"Dominik","non-dropping-particle":"","parse-names":false,"suffix":""},{"dropping-particle":"","family":"Wirsching","given":"Hans Georg","non-dropping-particle":"","parse-names":false,"suffix":""},{"dropping-particle":"","family":"Berghoff","given":"Anna Sophie","non-dropping-particle":"","parse-names":false,"suffix":""},{"dropping-particle":"","family":"Baumgarten","given":"Peter","non-dropping-particle":"","parse-names":false,"suffix":""},{"dropping-particle":"","family":"Kratz","given":"Annekathrin","non-dropping-particle":"","parse-names":false,"suffix":""},{"dropping-particle":"","family":"Huang","given":"Kristin","non-dropping-particle":"","parse-names":false,"suffix":""},{"dropping-particle":"","family":"Wefers","given":"Annika K.","non-dropping-particle":"","parse-names":false,"suffix":""},{"dropping-particle":"","family":"Hovestadt","given":"Volker","non-dropping-particle":"","parse-names":false,"suffix":""},{"dropping-particle":"","family":"Sill","given":"Martin","non-dropping-particle":"","parse-names":false,"suffix":""},{"dropping-particle":"","family":"Ellis","given":"Hayley P.","non-dropping-particle":"","parse-names":false,"suffix":""},{"dropping-particle":"","family":"Kurian","given":"Kathreena M.","non-dropping-particle":"","parse-names":false,"suffix":""},{"dropping-particle":"","family":"Okuducu","given":"Ali Fuat","non-dropping-particle":"","parse-names":false,"suffix":""},{"dropping-particle":"","family":"Jungk","given":"Christine","non-dropping-particle":"","parse-names":false,"suffix":""},{"dropping-particle":"","family":"Drueschler","given":"Katharina","non-dropping-particle":"","parse-names":false,"suffix":""},{"dropping-particle":"","family":"Schick","given":"Matthias","non-dropping-particle":"","parse-names":false,"suffix":""},{"dropping-particle":"","family":"Bewerunge-Hudler","given":"Melanie","non-dropping-particle":"","parse-names":false,"suffix":""},{"dropping-particle":"","family":"Mawrin","given":"Christian","non-dropping-particle":"","parse-names":false,"suffix":""},{"dropping-particle":"","family":"Seiz-Rosenhagen","given":"Marcel","non-dropping-particle":"","parse-names":false,"suffix":""},{"dropping-particle":"","family":"Ketter","given":"Ralf","non-dropping-particle":"","parse-names":false,"suffix":""},{"dropping-particle":"","family":"Simon","given":"Matthias","non-dropping-particle":"","parse-names":false,"suffix":""},{"dropping-particle":"","family":"Westphal","given":"Manfred","non-dropping-particle":"","parse-names":false,"suffix":""},{"dropping-particle":"","family":"Lamszus","given":"Katrin","non-dropping-particle":"","parse-names":false,"suffix":""},{"dropping-particle":"","family":"Becker","given":"Albert","non-dropping-particle":"","parse-names":false,"suffix":""},{"dropping-particle":"","family":"Koch","given":"Arend","non-dropping-particle":"","parse-names":false,"suffix":""},{"dropping-particle":"","family":"Schittenhelm","given":"Jens","non-dropping-particle":"","parse-names":false,"suffix":""},{"dropping-particle":"","family":"Rushing","given":"Elisabeth J.","non-dropping-particle":"","parse-names":false,"suffix":""},{"dropping-particle":"","family":"Collins","given":"V. Peter","non-dropping-particle":"","parse-names":false,"suffix":""},{"dropping-particle":"","family":"Brehmer","given":"Stefanie","non-dropping-particle":"","parse-names":false,"suffix":""},{"dropping-particle":"","family":"Chavez","given":"Lukas","non-dropping-particle":"","parse-names":false,"suffix":""},{"dropping-particle":"","family":"Platten","given":"Michael","non-dropping-particle":"","parse-names":false,"suffix":""},{"dropping-particle":"","family":"Hänggi","given":"Daniel","non-dropping-particle":"","parse-names":false,"suffix":""},{"dropping-particle":"","family":"Unterberg","given":"Andreas","non-dropping-particle":"","parse-names":false,"suffix":""},{"dropping-particle":"","family":"Paulus","given":"Werner","non-dropping-particle":"","parse-names":false,"suffix":""},{"dropping-particle":"","family":"Wick","given":"Wolfgang","non-dropping-particle":"","parse-names":false,"suffix":""},{"dropping-particle":"","family":"Pfister","given":"Stefan M.","non-dropping-particle":"","parse-names":false,"suffix":""},{"dropping-particle":"","family":"Mittelbronn","given":"Michel","non-dropping-particle":"","parse-names":false,"suffix":""},{"dropping-particle":"","family":"Preusser","given":"Matthias","non-dropping-particle":"","parse-names":false,"suffix":""},{"dropping-particle":"","family":"Herold-Mende","given":"Christel","non-dropping-particle":"","parse-names":false,"suffix":""},{"dropping-particle":"","family":"Weller","given":"Michael","non-dropping-particle":"","parse-names":false,"suffix":""},{"dropping-particle":"","family":"Deimling","given":"Andreas","non-dropping-particle":"von","parse-names":false,"suffix":""}],"container-title":"The Lancet Oncology","id":"ITEM-1","issue":"5","issued":{"date-parts":[["2017"]]},"page":"682-694","title":"DNA methylation-based classification and grading system for meningioma: a multicentre, retrospective analysis","type":"article-journal","volume":"18"},"uris":["http://www.mendeley.com/documents/?uuid=b1eebdea-c9de-4a56-96fb-5329a3405c3d"]}],"mendeley":{"formattedCitation":"&lt;sup&gt;16&lt;/sup&gt;","plainTextFormattedCitation":"16","previouslyFormattedCitation":"&lt;sup&gt;16&lt;/sup&gt;"},"properties":{"noteIndex":0},"schema":"https://github.com/citation-style-language/schema/raw/master/csl-citation.json"}</w:instrText>
      </w:r>
      <w:r w:rsidR="00622F70">
        <w:rPr>
          <w:bCs/>
        </w:rPr>
        <w:fldChar w:fldCharType="separate"/>
      </w:r>
      <w:r w:rsidR="000F4EF5" w:rsidRPr="000F4EF5">
        <w:rPr>
          <w:bCs/>
          <w:noProof/>
          <w:vertAlign w:val="superscript"/>
        </w:rPr>
        <w:t>16</w:t>
      </w:r>
      <w:r w:rsidR="00622F70">
        <w:rPr>
          <w:bCs/>
        </w:rPr>
        <w:fldChar w:fldCharType="end"/>
      </w:r>
      <w:r w:rsidRPr="00CE4E1F">
        <w:rPr>
          <w:bCs/>
        </w:rPr>
        <w:t xml:space="preserve">, </w:t>
      </w:r>
      <w:r w:rsidR="00AD6DD6">
        <w:rPr>
          <w:bCs/>
        </w:rPr>
        <w:t xml:space="preserve">and </w:t>
      </w:r>
      <w:r w:rsidRPr="00CE4E1F">
        <w:rPr>
          <w:bCs/>
        </w:rPr>
        <w:t xml:space="preserve">WHO </w:t>
      </w:r>
      <w:r w:rsidR="00353D4A">
        <w:rPr>
          <w:bCs/>
        </w:rPr>
        <w:t xml:space="preserve">2016 </w:t>
      </w:r>
      <w:r w:rsidRPr="00CE4E1F">
        <w:rPr>
          <w:bCs/>
        </w:rPr>
        <w:t>grade</w:t>
      </w:r>
      <w:r w:rsidR="00284F38">
        <w:rPr>
          <w:bCs/>
        </w:rPr>
        <w:t xml:space="preserve"> in Panel C</w:t>
      </w:r>
      <w:r w:rsidRPr="00CE4E1F">
        <w:rPr>
          <w:bCs/>
        </w:rPr>
        <w:t xml:space="preserve">. In Panel A, the gene expression biomarker </w:t>
      </w:r>
      <w:r w:rsidR="00160D52">
        <w:rPr>
          <w:bCs/>
        </w:rPr>
        <w:t>remained</w:t>
      </w:r>
      <w:r w:rsidR="00160D52" w:rsidRPr="00CE4E1F">
        <w:rPr>
          <w:bCs/>
        </w:rPr>
        <w:t xml:space="preserve"> </w:t>
      </w:r>
      <w:r w:rsidRPr="00CE4E1F">
        <w:rPr>
          <w:bCs/>
        </w:rPr>
        <w:t>robust</w:t>
      </w:r>
      <w:r w:rsidR="00160D52">
        <w:rPr>
          <w:bCs/>
        </w:rPr>
        <w:t>ly</w:t>
      </w:r>
      <w:r w:rsidRPr="00CE4E1F">
        <w:rPr>
          <w:bCs/>
        </w:rPr>
        <w:t xml:space="preserve"> discriminatory </w:t>
      </w:r>
      <w:r w:rsidR="00160D52">
        <w:rPr>
          <w:bCs/>
        </w:rPr>
        <w:t xml:space="preserve">across </w:t>
      </w:r>
      <w:r w:rsidR="00353D4A">
        <w:rPr>
          <w:bCs/>
        </w:rPr>
        <w:t xml:space="preserve">integrated grade or integrated score </w:t>
      </w:r>
      <w:r w:rsidRPr="00CE4E1F">
        <w:rPr>
          <w:bCs/>
        </w:rPr>
        <w:t>risk groups, concordant with the independent prognostic value of the gene expression risk score on multivariate analys</w:t>
      </w:r>
      <w:r w:rsidR="00160D52">
        <w:rPr>
          <w:bCs/>
        </w:rPr>
        <w:t>e</w:t>
      </w:r>
      <w:r w:rsidRPr="00CE4E1F">
        <w:rPr>
          <w:bCs/>
        </w:rPr>
        <w:t>s (Table</w:t>
      </w:r>
      <w:r w:rsidR="00406C23">
        <w:rPr>
          <w:bCs/>
        </w:rPr>
        <w:t>s</w:t>
      </w:r>
      <w:r w:rsidRPr="00CE4E1F">
        <w:rPr>
          <w:bCs/>
        </w:rPr>
        <w:t xml:space="preserve"> S1</w:t>
      </w:r>
      <w:r w:rsidR="00291296">
        <w:rPr>
          <w:bCs/>
        </w:rPr>
        <w:t>0</w:t>
      </w:r>
      <w:r w:rsidR="00700F7F">
        <w:rPr>
          <w:bCs/>
        </w:rPr>
        <w:t xml:space="preserve"> and S1</w:t>
      </w:r>
      <w:r w:rsidR="00291296">
        <w:rPr>
          <w:bCs/>
        </w:rPr>
        <w:t>1</w:t>
      </w:r>
      <w:r w:rsidRPr="00CE4E1F">
        <w:rPr>
          <w:bCs/>
        </w:rPr>
        <w:t xml:space="preserve">) and within </w:t>
      </w:r>
      <w:r w:rsidR="00353D4A">
        <w:rPr>
          <w:bCs/>
        </w:rPr>
        <w:t xml:space="preserve">groups from </w:t>
      </w:r>
      <w:r w:rsidR="00160D52">
        <w:rPr>
          <w:bCs/>
        </w:rPr>
        <w:t xml:space="preserve">the 6 </w:t>
      </w:r>
      <w:r w:rsidR="00353D4A">
        <w:rPr>
          <w:bCs/>
        </w:rPr>
        <w:t>other molecular and/or histological classification systems</w:t>
      </w:r>
      <w:r w:rsidR="00353D4A" w:rsidRPr="00CE4E1F">
        <w:rPr>
          <w:bCs/>
        </w:rPr>
        <w:t xml:space="preserve"> </w:t>
      </w:r>
      <w:r w:rsidR="00160D52">
        <w:rPr>
          <w:bCs/>
        </w:rPr>
        <w:t xml:space="preserve">tested </w:t>
      </w:r>
      <w:r w:rsidRPr="00CE4E1F">
        <w:rPr>
          <w:bCs/>
        </w:rPr>
        <w:t xml:space="preserve">(Figure </w:t>
      </w:r>
      <w:r w:rsidR="00160D52">
        <w:rPr>
          <w:bCs/>
        </w:rPr>
        <w:t>3A</w:t>
      </w:r>
      <w:r w:rsidRPr="00CE4E1F">
        <w:rPr>
          <w:bCs/>
        </w:rPr>
        <w:t>). The converse was examined</w:t>
      </w:r>
      <w:r w:rsidR="00F81A0F">
        <w:rPr>
          <w:bCs/>
        </w:rPr>
        <w:t xml:space="preserve"> in Panel</w:t>
      </w:r>
      <w:r w:rsidR="00406C23">
        <w:rPr>
          <w:bCs/>
        </w:rPr>
        <w:t>s</w:t>
      </w:r>
      <w:r w:rsidR="00F81A0F">
        <w:rPr>
          <w:bCs/>
        </w:rPr>
        <w:t xml:space="preserve"> B</w:t>
      </w:r>
      <w:r w:rsidR="00406C23">
        <w:rPr>
          <w:bCs/>
        </w:rPr>
        <w:t xml:space="preserve"> and C</w:t>
      </w:r>
      <w:r w:rsidR="00F81A0F">
        <w:rPr>
          <w:bCs/>
        </w:rPr>
        <w:t>, where</w:t>
      </w:r>
      <w:r w:rsidRPr="00CE4E1F">
        <w:rPr>
          <w:bCs/>
        </w:rPr>
        <w:t xml:space="preserve"> integrated grade was unable to discriminate outcomes </w:t>
      </w:r>
      <w:r w:rsidR="00284F38">
        <w:rPr>
          <w:bCs/>
        </w:rPr>
        <w:t>across</w:t>
      </w:r>
      <w:r w:rsidRPr="00CE4E1F">
        <w:rPr>
          <w:bCs/>
        </w:rPr>
        <w:t xml:space="preserve"> gene expression risk score</w:t>
      </w:r>
      <w:r w:rsidR="00E81919" w:rsidRPr="00CE4E1F">
        <w:rPr>
          <w:bCs/>
        </w:rPr>
        <w:t xml:space="preserve"> </w:t>
      </w:r>
      <w:r w:rsidR="00284F38">
        <w:rPr>
          <w:bCs/>
        </w:rPr>
        <w:t>groups</w:t>
      </w:r>
      <w:r w:rsidRPr="00CE4E1F">
        <w:rPr>
          <w:bCs/>
        </w:rPr>
        <w:t xml:space="preserve">, </w:t>
      </w:r>
      <w:r w:rsidR="00406C23">
        <w:rPr>
          <w:bCs/>
        </w:rPr>
        <w:t>and</w:t>
      </w:r>
      <w:r w:rsidR="00406C23" w:rsidRPr="00CE4E1F">
        <w:rPr>
          <w:bCs/>
        </w:rPr>
        <w:t xml:space="preserve"> </w:t>
      </w:r>
      <w:r w:rsidRPr="00CE4E1F">
        <w:rPr>
          <w:bCs/>
        </w:rPr>
        <w:t xml:space="preserve">integrated score </w:t>
      </w:r>
      <w:r w:rsidR="00284F38">
        <w:rPr>
          <w:bCs/>
        </w:rPr>
        <w:t>had</w:t>
      </w:r>
      <w:r w:rsidRPr="00CE4E1F">
        <w:rPr>
          <w:bCs/>
        </w:rPr>
        <w:t xml:space="preserve"> limited discriminatory power for intermediate and </w:t>
      </w:r>
      <w:r w:rsidR="00FD5353">
        <w:rPr>
          <w:bCs/>
        </w:rPr>
        <w:t xml:space="preserve">high </w:t>
      </w:r>
      <w:r w:rsidR="00406C23" w:rsidRPr="00CE4E1F">
        <w:rPr>
          <w:bCs/>
        </w:rPr>
        <w:t xml:space="preserve">gene expression risk </w:t>
      </w:r>
      <w:r w:rsidR="00406C23">
        <w:rPr>
          <w:bCs/>
        </w:rPr>
        <w:t xml:space="preserve">score </w:t>
      </w:r>
      <w:r w:rsidR="00284F38">
        <w:rPr>
          <w:bCs/>
        </w:rPr>
        <w:t xml:space="preserve">groups and </w:t>
      </w:r>
      <w:r w:rsidRPr="00CE4E1F">
        <w:rPr>
          <w:bCs/>
        </w:rPr>
        <w:t xml:space="preserve">was not discriminatory for </w:t>
      </w:r>
      <w:r w:rsidR="00406C23">
        <w:rPr>
          <w:bCs/>
        </w:rPr>
        <w:t xml:space="preserve">low </w:t>
      </w:r>
      <w:r w:rsidRPr="00CE4E1F">
        <w:rPr>
          <w:bCs/>
        </w:rPr>
        <w:t xml:space="preserve">gene expression </w:t>
      </w:r>
      <w:r w:rsidR="00FD5353">
        <w:rPr>
          <w:bCs/>
        </w:rPr>
        <w:t>low risk</w:t>
      </w:r>
      <w:r w:rsidRPr="00CE4E1F">
        <w:rPr>
          <w:bCs/>
        </w:rPr>
        <w:t xml:space="preserve"> </w:t>
      </w:r>
      <w:r w:rsidR="00284F38">
        <w:rPr>
          <w:bCs/>
        </w:rPr>
        <w:t>groups</w:t>
      </w:r>
      <w:r w:rsidRPr="00CE4E1F">
        <w:rPr>
          <w:bCs/>
        </w:rPr>
        <w:t xml:space="preserve">. </w:t>
      </w:r>
    </w:p>
    <w:p w14:paraId="3B4C9A82" w14:textId="05C64491" w:rsidR="00352C36" w:rsidRPr="00CE4E1F" w:rsidRDefault="00406C23" w:rsidP="00742F09">
      <w:pPr>
        <w:spacing w:line="360" w:lineRule="auto"/>
        <w:contextualSpacing/>
        <w:jc w:val="both"/>
        <w:rPr>
          <w:b/>
          <w:bCs/>
        </w:rPr>
      </w:pPr>
      <w:r>
        <w:rPr>
          <w:b/>
          <w:bCs/>
        </w:rPr>
        <w:br w:type="column"/>
      </w:r>
      <w:r w:rsidR="00352C36" w:rsidRPr="00CE4E1F">
        <w:rPr>
          <w:b/>
          <w:bCs/>
        </w:rPr>
        <w:lastRenderedPageBreak/>
        <w:t xml:space="preserve">Figure S7. Gene expression </w:t>
      </w:r>
      <w:r w:rsidR="006C12DD">
        <w:rPr>
          <w:b/>
        </w:rPr>
        <w:t>biomarker</w:t>
      </w:r>
      <w:r w:rsidR="006C12DD" w:rsidRPr="00CE4E1F">
        <w:rPr>
          <w:b/>
        </w:rPr>
        <w:t xml:space="preserve"> </w:t>
      </w:r>
      <w:r w:rsidR="00352C36" w:rsidRPr="00CE4E1F">
        <w:rPr>
          <w:b/>
          <w:bCs/>
        </w:rPr>
        <w:t>nomograms for meningioma outcomes</w:t>
      </w:r>
    </w:p>
    <w:p w14:paraId="5BE6D2D7" w14:textId="64A9BFE4" w:rsidR="00352C36" w:rsidRPr="00CE4E1F" w:rsidRDefault="00352C36" w:rsidP="00742F09">
      <w:pPr>
        <w:spacing w:line="360" w:lineRule="auto"/>
        <w:contextualSpacing/>
        <w:jc w:val="both"/>
        <w:rPr>
          <w:b/>
          <w:bCs/>
        </w:rPr>
      </w:pPr>
      <w:r w:rsidRPr="00CE4E1F">
        <w:rPr>
          <w:b/>
          <w:bCs/>
          <w:noProof/>
        </w:rPr>
        <w:drawing>
          <wp:inline distT="0" distB="0" distL="0" distR="0" wp14:anchorId="202AB5A9" wp14:editId="593D548A">
            <wp:extent cx="5943600" cy="1748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7.png"/>
                    <pic:cNvPicPr/>
                  </pic:nvPicPr>
                  <pic:blipFill>
                    <a:blip r:embed="rId15"/>
                    <a:stretch>
                      <a:fillRect/>
                    </a:stretch>
                  </pic:blipFill>
                  <pic:spPr>
                    <a:xfrm>
                      <a:off x="0" y="0"/>
                      <a:ext cx="5943600" cy="1748155"/>
                    </a:xfrm>
                    <a:prstGeom prst="rect">
                      <a:avLst/>
                    </a:prstGeom>
                  </pic:spPr>
                </pic:pic>
              </a:graphicData>
            </a:graphic>
          </wp:inline>
        </w:drawing>
      </w:r>
    </w:p>
    <w:p w14:paraId="5F337201" w14:textId="378E866D" w:rsidR="00352C36" w:rsidRPr="00CE4E1F" w:rsidRDefault="00E81919" w:rsidP="00742F09">
      <w:pPr>
        <w:spacing w:line="360" w:lineRule="auto"/>
        <w:contextualSpacing/>
        <w:jc w:val="both"/>
        <w:rPr>
          <w:bCs/>
        </w:rPr>
      </w:pPr>
      <w:r w:rsidRPr="00CE4E1F">
        <w:rPr>
          <w:bCs/>
        </w:rPr>
        <w:t xml:space="preserve">Nomograms are shown for prediction of 5-year </w:t>
      </w:r>
      <w:r w:rsidR="00825AF7" w:rsidRPr="00CE4E1F">
        <w:rPr>
          <w:bCs/>
        </w:rPr>
        <w:t xml:space="preserve">local </w:t>
      </w:r>
      <w:r w:rsidRPr="00CE4E1F">
        <w:rPr>
          <w:bCs/>
        </w:rPr>
        <w:t xml:space="preserve">freedom from recurrence </w:t>
      </w:r>
      <w:r w:rsidR="00825AF7" w:rsidRPr="00CE4E1F">
        <w:rPr>
          <w:bCs/>
        </w:rPr>
        <w:t xml:space="preserve">or </w:t>
      </w:r>
      <w:r w:rsidRPr="00CE4E1F">
        <w:rPr>
          <w:bCs/>
        </w:rPr>
        <w:t>overall survival based on gene expression risk score</w:t>
      </w:r>
      <w:r w:rsidR="00825AF7" w:rsidRPr="00CE4E1F">
        <w:rPr>
          <w:bCs/>
        </w:rPr>
        <w:t>, extent of resection, setting</w:t>
      </w:r>
      <w:r w:rsidR="00444FFC">
        <w:rPr>
          <w:bCs/>
        </w:rPr>
        <w:t xml:space="preserve">, </w:t>
      </w:r>
      <w:r w:rsidRPr="00CE4E1F">
        <w:rPr>
          <w:bCs/>
        </w:rPr>
        <w:t xml:space="preserve">and WHO 2016 </w:t>
      </w:r>
      <w:r w:rsidR="00825AF7" w:rsidRPr="00CE4E1F">
        <w:rPr>
          <w:bCs/>
        </w:rPr>
        <w:t xml:space="preserve">histologic </w:t>
      </w:r>
      <w:r w:rsidRPr="00CE4E1F">
        <w:rPr>
          <w:bCs/>
        </w:rPr>
        <w:t xml:space="preserve">grade. </w:t>
      </w:r>
      <w:r w:rsidR="00352C36" w:rsidRPr="00CE4E1F">
        <w:rPr>
          <w:bCs/>
        </w:rPr>
        <w:br w:type="page"/>
      </w:r>
    </w:p>
    <w:p w14:paraId="7ED21824" w14:textId="5ADF600C" w:rsidR="00352C36" w:rsidRPr="00CE4E1F" w:rsidRDefault="00352C36" w:rsidP="00742F09">
      <w:pPr>
        <w:spacing w:line="360" w:lineRule="auto"/>
        <w:ind w:left="1440" w:hanging="1440"/>
        <w:contextualSpacing/>
        <w:jc w:val="both"/>
        <w:rPr>
          <w:b/>
        </w:rPr>
      </w:pPr>
      <w:r w:rsidRPr="00CE4E1F">
        <w:rPr>
          <w:b/>
          <w:bCs/>
        </w:rPr>
        <w:lastRenderedPageBreak/>
        <w:t xml:space="preserve">Figure S8. </w:t>
      </w:r>
      <w:r w:rsidRPr="00CE4E1F">
        <w:rPr>
          <w:b/>
        </w:rPr>
        <w:t xml:space="preserve">Molecular classification systems and </w:t>
      </w:r>
      <w:r w:rsidR="00825AF7" w:rsidRPr="00CE4E1F">
        <w:rPr>
          <w:b/>
        </w:rPr>
        <w:t>response to treatment</w:t>
      </w:r>
      <w:r w:rsidRPr="00CE4E1F">
        <w:rPr>
          <w:b/>
        </w:rPr>
        <w:t>.</w:t>
      </w:r>
    </w:p>
    <w:p w14:paraId="6F7FCE55" w14:textId="07A679F1" w:rsidR="00352C36" w:rsidRPr="00CE4E1F" w:rsidRDefault="00654B68" w:rsidP="00742F09">
      <w:pPr>
        <w:spacing w:line="360" w:lineRule="auto"/>
        <w:contextualSpacing/>
        <w:jc w:val="both"/>
        <w:rPr>
          <w:b/>
          <w:bCs/>
        </w:rPr>
      </w:pPr>
      <w:r>
        <w:rPr>
          <w:b/>
          <w:bCs/>
          <w:noProof/>
        </w:rPr>
        <w:drawing>
          <wp:inline distT="0" distB="0" distL="0" distR="0" wp14:anchorId="18A0C43B" wp14:editId="28A40CDF">
            <wp:extent cx="5943600" cy="56515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stretch>
                      <a:fillRect/>
                    </a:stretch>
                  </pic:blipFill>
                  <pic:spPr>
                    <a:xfrm>
                      <a:off x="0" y="0"/>
                      <a:ext cx="5943600" cy="5651500"/>
                    </a:xfrm>
                    <a:prstGeom prst="rect">
                      <a:avLst/>
                    </a:prstGeom>
                  </pic:spPr>
                </pic:pic>
              </a:graphicData>
            </a:graphic>
          </wp:inline>
        </w:drawing>
      </w:r>
    </w:p>
    <w:p w14:paraId="1D863FBB" w14:textId="47D5103B" w:rsidR="00745249" w:rsidRDefault="00DF442C" w:rsidP="00742F09">
      <w:pPr>
        <w:spacing w:line="360" w:lineRule="auto"/>
        <w:contextualSpacing/>
        <w:jc w:val="both"/>
        <w:rPr>
          <w:bCs/>
        </w:rPr>
      </w:pPr>
      <w:r w:rsidRPr="00CE4E1F">
        <w:rPr>
          <w:bCs/>
        </w:rPr>
        <w:t>Kaplan Meier curves are shown for local freedom from recurrence</w:t>
      </w:r>
      <w:r>
        <w:rPr>
          <w:bCs/>
        </w:rPr>
        <w:t xml:space="preserve"> or overall survival in retrospective clinical validation cohort meningiomas or prospective RTOG 0539 meningiomas</w:t>
      </w:r>
      <w:r w:rsidRPr="00CE4E1F">
        <w:rPr>
          <w:bCs/>
        </w:rPr>
        <w:t xml:space="preserve">, stratified by gene expression risk </w:t>
      </w:r>
      <w:r w:rsidR="00BD1D40">
        <w:rPr>
          <w:bCs/>
        </w:rPr>
        <w:t>score</w:t>
      </w:r>
      <w:r w:rsidRPr="00CE4E1F">
        <w:rPr>
          <w:bCs/>
        </w:rPr>
        <w:t xml:space="preserve"> (blue</w:t>
      </w:r>
      <w:r w:rsidR="00017BB1">
        <w:rPr>
          <w:bCs/>
        </w:rPr>
        <w:t xml:space="preserve"> lines</w:t>
      </w:r>
      <w:r>
        <w:rPr>
          <w:bCs/>
        </w:rPr>
        <w:t>, low risk;</w:t>
      </w:r>
      <w:r w:rsidRPr="00CE4E1F">
        <w:rPr>
          <w:bCs/>
        </w:rPr>
        <w:t xml:space="preserve"> purple</w:t>
      </w:r>
      <w:r>
        <w:rPr>
          <w:bCs/>
        </w:rPr>
        <w:t>, intermediate risk</w:t>
      </w:r>
      <w:r w:rsidR="00017BB1">
        <w:rPr>
          <w:bCs/>
        </w:rPr>
        <w:t xml:space="preserve"> lines</w:t>
      </w:r>
      <w:r>
        <w:rPr>
          <w:bCs/>
        </w:rPr>
        <w:t>;</w:t>
      </w:r>
      <w:r w:rsidRPr="00CE4E1F">
        <w:rPr>
          <w:bCs/>
        </w:rPr>
        <w:t xml:space="preserve"> red</w:t>
      </w:r>
      <w:r w:rsidR="00017BB1">
        <w:rPr>
          <w:bCs/>
        </w:rPr>
        <w:t xml:space="preserve"> lines</w:t>
      </w:r>
      <w:r>
        <w:rPr>
          <w:bCs/>
        </w:rPr>
        <w:t>, high risk</w:t>
      </w:r>
      <w:r w:rsidRPr="00CE4E1F">
        <w:rPr>
          <w:bCs/>
        </w:rPr>
        <w:t>)</w:t>
      </w:r>
      <w:r>
        <w:rPr>
          <w:bCs/>
        </w:rPr>
        <w:t>, extent of resection, postoperative observation</w:t>
      </w:r>
      <w:r w:rsidR="005D34E8">
        <w:rPr>
          <w:bCs/>
        </w:rPr>
        <w:t xml:space="preserve"> (Obs)</w:t>
      </w:r>
      <w:r w:rsidR="00017BB1">
        <w:rPr>
          <w:bCs/>
        </w:rPr>
        <w:t xml:space="preserve">, </w:t>
      </w:r>
      <w:r>
        <w:rPr>
          <w:bCs/>
        </w:rPr>
        <w:t>or postoperative radiotherapy</w:t>
      </w:r>
      <w:r w:rsidR="005D34E8">
        <w:rPr>
          <w:bCs/>
        </w:rPr>
        <w:t xml:space="preserve"> (RT)</w:t>
      </w:r>
      <w:r>
        <w:rPr>
          <w:bCs/>
        </w:rPr>
        <w:t>. Panel</w:t>
      </w:r>
      <w:r w:rsidR="00677B0F" w:rsidRPr="00CE4E1F">
        <w:rPr>
          <w:bCs/>
        </w:rPr>
        <w:t xml:space="preserve"> A shows </w:t>
      </w:r>
      <w:r w:rsidR="002601FC">
        <w:rPr>
          <w:bCs/>
        </w:rPr>
        <w:t>primary</w:t>
      </w:r>
      <w:r w:rsidR="009E579D">
        <w:rPr>
          <w:bCs/>
        </w:rPr>
        <w:t xml:space="preserve"> </w:t>
      </w:r>
      <w:r>
        <w:rPr>
          <w:bCs/>
        </w:rPr>
        <w:t>retrospective clinical validation cohort meningiomas</w:t>
      </w:r>
      <w:r w:rsidRPr="00CE4E1F">
        <w:rPr>
          <w:bCs/>
        </w:rPr>
        <w:t xml:space="preserve"> </w:t>
      </w:r>
      <w:r w:rsidR="00677B0F" w:rsidRPr="00CE4E1F">
        <w:rPr>
          <w:bCs/>
        </w:rPr>
        <w:t>receiving postoperative external beam radiotherapy (N=</w:t>
      </w:r>
      <w:r w:rsidR="009E579D">
        <w:rPr>
          <w:bCs/>
        </w:rPr>
        <w:t>89</w:t>
      </w:r>
      <w:r w:rsidR="00677B0F" w:rsidRPr="00CE4E1F">
        <w:rPr>
          <w:bCs/>
        </w:rPr>
        <w:t>) stratified by gene expression risk score (</w:t>
      </w:r>
      <w:r>
        <w:rPr>
          <w:bCs/>
        </w:rPr>
        <w:t>l</w:t>
      </w:r>
      <w:r w:rsidR="00FD5353">
        <w:rPr>
          <w:bCs/>
        </w:rPr>
        <w:t>ow risk</w:t>
      </w:r>
      <w:r w:rsidR="00677B0F" w:rsidRPr="00CE4E1F">
        <w:rPr>
          <w:bCs/>
        </w:rPr>
        <w:t xml:space="preserve"> N=14, </w:t>
      </w:r>
      <w:r>
        <w:rPr>
          <w:bCs/>
        </w:rPr>
        <w:t>i</w:t>
      </w:r>
      <w:r w:rsidR="00FD5353">
        <w:rPr>
          <w:bCs/>
        </w:rPr>
        <w:t>ntermediate risk</w:t>
      </w:r>
      <w:r w:rsidR="00677B0F" w:rsidRPr="00CE4E1F">
        <w:rPr>
          <w:bCs/>
        </w:rPr>
        <w:t xml:space="preserve"> N=</w:t>
      </w:r>
      <w:r w:rsidR="009E579D">
        <w:rPr>
          <w:bCs/>
        </w:rPr>
        <w:t>45</w:t>
      </w:r>
      <w:r>
        <w:rPr>
          <w:bCs/>
        </w:rPr>
        <w:t>, high</w:t>
      </w:r>
      <w:r w:rsidR="00FD5353">
        <w:rPr>
          <w:bCs/>
        </w:rPr>
        <w:t xml:space="preserve"> risk</w:t>
      </w:r>
      <w:r w:rsidR="00677B0F" w:rsidRPr="00CE4E1F">
        <w:rPr>
          <w:bCs/>
        </w:rPr>
        <w:t xml:space="preserve"> N=</w:t>
      </w:r>
      <w:r w:rsidR="009E579D">
        <w:rPr>
          <w:bCs/>
        </w:rPr>
        <w:t>30</w:t>
      </w:r>
      <w:r w:rsidR="00677B0F" w:rsidRPr="00CE4E1F">
        <w:rPr>
          <w:bCs/>
        </w:rPr>
        <w:t>)</w:t>
      </w:r>
      <w:r w:rsidR="00EC71FC">
        <w:rPr>
          <w:bCs/>
        </w:rPr>
        <w:t xml:space="preserve">, revealing the </w:t>
      </w:r>
      <w:r>
        <w:rPr>
          <w:bCs/>
        </w:rPr>
        <w:t xml:space="preserve">gene expression </w:t>
      </w:r>
      <w:r w:rsidR="00EC71FC">
        <w:rPr>
          <w:bCs/>
        </w:rPr>
        <w:t>biomarker</w:t>
      </w:r>
      <w:r w:rsidR="00677B0F" w:rsidRPr="00CE4E1F">
        <w:rPr>
          <w:bCs/>
        </w:rPr>
        <w:t xml:space="preserve"> </w:t>
      </w:r>
      <w:r w:rsidR="00EC71FC">
        <w:rPr>
          <w:bCs/>
        </w:rPr>
        <w:t>remained</w:t>
      </w:r>
      <w:r w:rsidR="00677B0F" w:rsidRPr="00CE4E1F">
        <w:rPr>
          <w:bCs/>
        </w:rPr>
        <w:t xml:space="preserve"> prognostic among patients receiving </w:t>
      </w:r>
      <w:r>
        <w:rPr>
          <w:bCs/>
        </w:rPr>
        <w:t xml:space="preserve">postoperative </w:t>
      </w:r>
      <w:r w:rsidR="00677B0F" w:rsidRPr="00CE4E1F">
        <w:rPr>
          <w:bCs/>
        </w:rPr>
        <w:t xml:space="preserve">radiotherapy. </w:t>
      </w:r>
      <w:r w:rsidR="00745249">
        <w:rPr>
          <w:bCs/>
        </w:rPr>
        <w:t xml:space="preserve">Panel B shows </w:t>
      </w:r>
      <w:r w:rsidR="00745249" w:rsidRPr="00CE4E1F">
        <w:rPr>
          <w:bCs/>
        </w:rPr>
        <w:t xml:space="preserve">primary </w:t>
      </w:r>
      <w:r w:rsidR="00745249" w:rsidRPr="00CE4E1F">
        <w:rPr>
          <w:bCs/>
        </w:rPr>
        <w:lastRenderedPageBreak/>
        <w:t xml:space="preserve">WHO </w:t>
      </w:r>
      <w:r w:rsidR="008B4A3D">
        <w:rPr>
          <w:bCs/>
        </w:rPr>
        <w:t xml:space="preserve">2016 </w:t>
      </w:r>
      <w:r w:rsidR="00745249" w:rsidRPr="00CE4E1F">
        <w:rPr>
          <w:bCs/>
        </w:rPr>
        <w:t xml:space="preserve">grade 2 meningiomas </w:t>
      </w:r>
      <w:r w:rsidR="00745249">
        <w:rPr>
          <w:bCs/>
        </w:rPr>
        <w:t>with GTR from the retrospective clinical validation cohort stratified by gene expression risk score</w:t>
      </w:r>
      <w:r w:rsidR="00D7220C">
        <w:rPr>
          <w:bCs/>
        </w:rPr>
        <w:t xml:space="preserve"> (N=2</w:t>
      </w:r>
      <w:r w:rsidR="008B4A3D">
        <w:rPr>
          <w:bCs/>
        </w:rPr>
        <w:t xml:space="preserve">1 </w:t>
      </w:r>
      <w:r w:rsidR="00D7220C">
        <w:rPr>
          <w:bCs/>
        </w:rPr>
        <w:t>low risk, N=63 intermediate risk, N=18 high risk)</w:t>
      </w:r>
      <w:r w:rsidR="001D0270">
        <w:rPr>
          <w:bCs/>
        </w:rPr>
        <w:t>.</w:t>
      </w:r>
      <w:r w:rsidR="00294ED2">
        <w:rPr>
          <w:bCs/>
        </w:rPr>
        <w:t xml:space="preserve"> </w:t>
      </w:r>
      <w:r w:rsidR="004231D3">
        <w:rPr>
          <w:bCs/>
        </w:rPr>
        <w:t>The g</w:t>
      </w:r>
      <w:r w:rsidR="004231D3" w:rsidRPr="004231D3">
        <w:rPr>
          <w:bCs/>
        </w:rPr>
        <w:t>ene expression risk score remain</w:t>
      </w:r>
      <w:r w:rsidR="004231D3">
        <w:rPr>
          <w:bCs/>
        </w:rPr>
        <w:t>ed</w:t>
      </w:r>
      <w:r w:rsidR="004231D3" w:rsidRPr="004231D3">
        <w:rPr>
          <w:bCs/>
        </w:rPr>
        <w:t xml:space="preserve"> prognostic among gross totally resected primary WHO grade 2 meningiomas (N=1</w:t>
      </w:r>
      <w:r w:rsidR="005247B8">
        <w:rPr>
          <w:bCs/>
        </w:rPr>
        <w:t>02</w:t>
      </w:r>
      <w:r w:rsidR="004231D3" w:rsidRPr="004231D3">
        <w:rPr>
          <w:bCs/>
        </w:rPr>
        <w:t xml:space="preserve">, HR for local recurrence of </w:t>
      </w:r>
      <w:r w:rsidR="003460EB">
        <w:rPr>
          <w:bCs/>
        </w:rPr>
        <w:t>1.75</w:t>
      </w:r>
      <w:r w:rsidR="004231D3" w:rsidRPr="004231D3">
        <w:rPr>
          <w:bCs/>
        </w:rPr>
        <w:t xml:space="preserve"> per 0.1 increase, 95% CI 1.</w:t>
      </w:r>
      <w:r w:rsidR="003460EB">
        <w:rPr>
          <w:bCs/>
        </w:rPr>
        <w:t>18</w:t>
      </w:r>
      <w:r w:rsidR="004231D3" w:rsidRPr="004231D3">
        <w:rPr>
          <w:bCs/>
        </w:rPr>
        <w:t>-2.</w:t>
      </w:r>
      <w:r w:rsidR="003460EB">
        <w:rPr>
          <w:bCs/>
        </w:rPr>
        <w:t>59</w:t>
      </w:r>
      <w:r w:rsidR="004231D3" w:rsidRPr="004231D3">
        <w:rPr>
          <w:bCs/>
        </w:rPr>
        <w:t>, P=</w:t>
      </w:r>
      <w:r w:rsidR="003460EB">
        <w:rPr>
          <w:bCs/>
        </w:rPr>
        <w:t>0.0057</w:t>
      </w:r>
      <w:r w:rsidR="004231D3" w:rsidRPr="004231D3">
        <w:rPr>
          <w:bCs/>
        </w:rPr>
        <w:t xml:space="preserve">). </w:t>
      </w:r>
      <w:r w:rsidR="00C25FBC" w:rsidRPr="00CE4E1F">
        <w:rPr>
          <w:bCs/>
        </w:rPr>
        <w:t xml:space="preserve">Panel </w:t>
      </w:r>
      <w:r w:rsidR="00745249">
        <w:rPr>
          <w:bCs/>
        </w:rPr>
        <w:t>C</w:t>
      </w:r>
      <w:r w:rsidR="00745249" w:rsidRPr="00CE4E1F">
        <w:rPr>
          <w:bCs/>
        </w:rPr>
        <w:t xml:space="preserve"> </w:t>
      </w:r>
      <w:r w:rsidR="00C25FBC" w:rsidRPr="00CE4E1F">
        <w:rPr>
          <w:bCs/>
        </w:rPr>
        <w:t xml:space="preserve">shows </w:t>
      </w:r>
      <w:r w:rsidR="000D11A5" w:rsidRPr="00CE4E1F">
        <w:rPr>
          <w:bCs/>
        </w:rPr>
        <w:t xml:space="preserve">primary WHO grade 2 meningiomas </w:t>
      </w:r>
      <w:r w:rsidR="00E352EE">
        <w:rPr>
          <w:bCs/>
        </w:rPr>
        <w:t>with</w:t>
      </w:r>
      <w:r>
        <w:rPr>
          <w:bCs/>
        </w:rPr>
        <w:t xml:space="preserve"> GTR </w:t>
      </w:r>
      <w:r w:rsidR="00745249">
        <w:rPr>
          <w:bCs/>
        </w:rPr>
        <w:t xml:space="preserve">from the retrospective clinical validation cohort stratified  by </w:t>
      </w:r>
      <w:r>
        <w:rPr>
          <w:bCs/>
        </w:rPr>
        <w:t>postoperative</w:t>
      </w:r>
      <w:r w:rsidR="000D11A5" w:rsidRPr="00CE4E1F">
        <w:rPr>
          <w:bCs/>
        </w:rPr>
        <w:t xml:space="preserve"> radiotherapy</w:t>
      </w:r>
      <w:r w:rsidR="0054686D" w:rsidRPr="00CE4E1F">
        <w:rPr>
          <w:bCs/>
        </w:rPr>
        <w:t xml:space="preserve"> (N=2</w:t>
      </w:r>
      <w:r w:rsidR="005247B8">
        <w:rPr>
          <w:bCs/>
        </w:rPr>
        <w:t>8</w:t>
      </w:r>
      <w:r w:rsidR="0054686D" w:rsidRPr="00CE4E1F">
        <w:rPr>
          <w:bCs/>
        </w:rPr>
        <w:t>)</w:t>
      </w:r>
      <w:r w:rsidR="000D11A5" w:rsidRPr="00CE4E1F">
        <w:rPr>
          <w:bCs/>
        </w:rPr>
        <w:t xml:space="preserve"> or observation</w:t>
      </w:r>
      <w:r w:rsidR="0054686D" w:rsidRPr="00CE4E1F">
        <w:rPr>
          <w:bCs/>
        </w:rPr>
        <w:t xml:space="preserve"> (N=7</w:t>
      </w:r>
      <w:r w:rsidR="005247B8">
        <w:rPr>
          <w:bCs/>
        </w:rPr>
        <w:t>4</w:t>
      </w:r>
      <w:r w:rsidR="0054686D" w:rsidRPr="00CE4E1F">
        <w:rPr>
          <w:bCs/>
        </w:rPr>
        <w:t>)</w:t>
      </w:r>
      <w:r w:rsidR="000D11A5" w:rsidRPr="00CE4E1F">
        <w:rPr>
          <w:bCs/>
        </w:rPr>
        <w:t xml:space="preserve">. </w:t>
      </w:r>
      <w:r>
        <w:rPr>
          <w:bCs/>
        </w:rPr>
        <w:t xml:space="preserve">Patients with meningiomas meeting these criteria are eligible for 2 </w:t>
      </w:r>
      <w:r w:rsidR="000D11A5" w:rsidRPr="00CE4E1F">
        <w:rPr>
          <w:bCs/>
        </w:rPr>
        <w:t xml:space="preserve">ongoing Phase III randomized </w:t>
      </w:r>
      <w:r>
        <w:rPr>
          <w:bCs/>
        </w:rPr>
        <w:t xml:space="preserve">multi-institutional </w:t>
      </w:r>
      <w:r w:rsidR="000D11A5" w:rsidRPr="00CE4E1F">
        <w:rPr>
          <w:bCs/>
        </w:rPr>
        <w:t xml:space="preserve">trials </w:t>
      </w:r>
      <w:r w:rsidR="006A70BA" w:rsidRPr="00CE4E1F">
        <w:rPr>
          <w:bCs/>
        </w:rPr>
        <w:t xml:space="preserve">(BN003 and ROAM-EORTC 1308) </w:t>
      </w:r>
      <w:r w:rsidR="000D11A5" w:rsidRPr="00CE4E1F">
        <w:rPr>
          <w:bCs/>
        </w:rPr>
        <w:t>examin</w:t>
      </w:r>
      <w:r w:rsidR="00E352EE">
        <w:rPr>
          <w:bCs/>
        </w:rPr>
        <w:t>ing</w:t>
      </w:r>
      <w:r>
        <w:rPr>
          <w:bCs/>
        </w:rPr>
        <w:t xml:space="preserve"> clinical outcomes with</w:t>
      </w:r>
      <w:r w:rsidR="000D11A5" w:rsidRPr="00CE4E1F">
        <w:rPr>
          <w:bCs/>
        </w:rPr>
        <w:t xml:space="preserve"> </w:t>
      </w:r>
      <w:r>
        <w:rPr>
          <w:bCs/>
        </w:rPr>
        <w:t xml:space="preserve">postoperative </w:t>
      </w:r>
      <w:r w:rsidR="000D11A5" w:rsidRPr="00CE4E1F">
        <w:rPr>
          <w:bCs/>
        </w:rPr>
        <w:t xml:space="preserve">radiotherapy </w:t>
      </w:r>
      <w:r>
        <w:rPr>
          <w:bCs/>
        </w:rPr>
        <w:t>versus observation</w:t>
      </w:r>
      <w:r w:rsidR="000D11A5" w:rsidRPr="00CE4E1F">
        <w:rPr>
          <w:bCs/>
        </w:rPr>
        <w:t xml:space="preserve">. </w:t>
      </w:r>
      <w:r w:rsidR="00E352EE">
        <w:rPr>
          <w:bCs/>
        </w:rPr>
        <w:t>Postoperative r</w:t>
      </w:r>
      <w:r>
        <w:rPr>
          <w:bCs/>
        </w:rPr>
        <w:t xml:space="preserve">adiotherapy </w:t>
      </w:r>
      <w:r w:rsidR="00E352EE">
        <w:rPr>
          <w:bCs/>
        </w:rPr>
        <w:t xml:space="preserve">did not </w:t>
      </w:r>
      <w:r>
        <w:rPr>
          <w:bCs/>
        </w:rPr>
        <w:t>offer</w:t>
      </w:r>
      <w:r w:rsidR="00E352EE">
        <w:rPr>
          <w:bCs/>
        </w:rPr>
        <w:t xml:space="preserve"> a</w:t>
      </w:r>
      <w:r>
        <w:rPr>
          <w:bCs/>
        </w:rPr>
        <w:t xml:space="preserve"> benefit </w:t>
      </w:r>
      <w:r w:rsidR="00E352EE">
        <w:rPr>
          <w:bCs/>
        </w:rPr>
        <w:t xml:space="preserve">to </w:t>
      </w:r>
      <w:r w:rsidR="00745249">
        <w:rPr>
          <w:bCs/>
        </w:rPr>
        <w:t xml:space="preserve">patients with </w:t>
      </w:r>
      <w:r>
        <w:rPr>
          <w:bCs/>
        </w:rPr>
        <w:t xml:space="preserve">meningiomas meeting these criteria in </w:t>
      </w:r>
      <w:r w:rsidR="00745249">
        <w:rPr>
          <w:bCs/>
        </w:rPr>
        <w:t xml:space="preserve">the </w:t>
      </w:r>
      <w:r>
        <w:rPr>
          <w:bCs/>
        </w:rPr>
        <w:t xml:space="preserve">retrospective clinical validation cohort. </w:t>
      </w:r>
      <w:r w:rsidR="00294ED2">
        <w:rPr>
          <w:bCs/>
        </w:rPr>
        <w:t xml:space="preserve">Panel D shows retrospective clinical validation cohort meningiomas </w:t>
      </w:r>
      <w:r w:rsidR="00294ED2" w:rsidRPr="00CE4E1F">
        <w:rPr>
          <w:bCs/>
        </w:rPr>
        <w:t>stratified by gene expression risk score across RTOG 0539 clinical risk groups</w:t>
      </w:r>
      <w:r w:rsidR="00294ED2">
        <w:rPr>
          <w:bCs/>
        </w:rPr>
        <w:t xml:space="preserve"> (low clinical risk, primary WHO grade 1 meningiomas; intermediate clinical risk, recurrent WHO grade 1 meningiomas or primary WHO grade 2 meningiomas status post GTR; high clinical risk, recurrent or STR WHO grade 2 meningiomas or WHO grade 3 meningiomas after any resection). The gene expression biomarker</w:t>
      </w:r>
      <w:r w:rsidR="00294ED2" w:rsidRPr="00CE4E1F">
        <w:rPr>
          <w:bCs/>
        </w:rPr>
        <w:t xml:space="preserve"> </w:t>
      </w:r>
      <w:r w:rsidR="00294ED2">
        <w:rPr>
          <w:bCs/>
        </w:rPr>
        <w:t>remained</w:t>
      </w:r>
      <w:r w:rsidR="00294ED2" w:rsidRPr="00CE4E1F">
        <w:rPr>
          <w:bCs/>
        </w:rPr>
        <w:t xml:space="preserve"> prognostic </w:t>
      </w:r>
      <w:r w:rsidR="00294ED2">
        <w:rPr>
          <w:bCs/>
        </w:rPr>
        <w:t xml:space="preserve">across </w:t>
      </w:r>
      <w:r w:rsidR="00294ED2" w:rsidRPr="00CE4E1F">
        <w:rPr>
          <w:bCs/>
        </w:rPr>
        <w:t>RTOG 0539 low clinical risk (</w:t>
      </w:r>
      <w:r w:rsidR="00294ED2">
        <w:rPr>
          <w:bCs/>
        </w:rPr>
        <w:t>gene expression risk score low risk</w:t>
      </w:r>
      <w:r w:rsidR="00294ED2" w:rsidRPr="00CE4E1F">
        <w:rPr>
          <w:bCs/>
        </w:rPr>
        <w:t xml:space="preserve"> N=17</w:t>
      </w:r>
      <w:r w:rsidR="00314F63">
        <w:rPr>
          <w:bCs/>
        </w:rPr>
        <w:t>3</w:t>
      </w:r>
      <w:r w:rsidR="00294ED2" w:rsidRPr="00CE4E1F">
        <w:rPr>
          <w:bCs/>
        </w:rPr>
        <w:t xml:space="preserve">, </w:t>
      </w:r>
      <w:r w:rsidR="00294ED2">
        <w:rPr>
          <w:bCs/>
        </w:rPr>
        <w:t>intermediate risk</w:t>
      </w:r>
      <w:r w:rsidR="00294ED2" w:rsidRPr="00CE4E1F">
        <w:rPr>
          <w:bCs/>
        </w:rPr>
        <w:t xml:space="preserve"> N=224, </w:t>
      </w:r>
      <w:r w:rsidR="00294ED2">
        <w:rPr>
          <w:bCs/>
        </w:rPr>
        <w:t>high risk</w:t>
      </w:r>
      <w:r w:rsidR="00294ED2" w:rsidRPr="00CE4E1F">
        <w:rPr>
          <w:bCs/>
        </w:rPr>
        <w:t xml:space="preserve"> N=27), RTOG 0539 intermediate clinical risk (</w:t>
      </w:r>
      <w:r w:rsidR="00294ED2">
        <w:rPr>
          <w:bCs/>
        </w:rPr>
        <w:t>gene expression risk score low risk</w:t>
      </w:r>
      <w:r w:rsidR="00294ED2" w:rsidRPr="00CE4E1F">
        <w:rPr>
          <w:bCs/>
        </w:rPr>
        <w:t xml:space="preserve"> N=</w:t>
      </w:r>
      <w:r w:rsidR="00314F63">
        <w:rPr>
          <w:bCs/>
        </w:rPr>
        <w:t>32</w:t>
      </w:r>
      <w:r w:rsidR="00294ED2" w:rsidRPr="00CE4E1F">
        <w:rPr>
          <w:bCs/>
        </w:rPr>
        <w:t xml:space="preserve">, </w:t>
      </w:r>
      <w:r w:rsidR="00294ED2">
        <w:rPr>
          <w:bCs/>
        </w:rPr>
        <w:t>intermediate risk</w:t>
      </w:r>
      <w:r w:rsidR="00294ED2" w:rsidRPr="00CE4E1F">
        <w:rPr>
          <w:bCs/>
        </w:rPr>
        <w:t xml:space="preserve"> N=</w:t>
      </w:r>
      <w:r w:rsidR="00314F63">
        <w:rPr>
          <w:bCs/>
        </w:rPr>
        <w:t>80</w:t>
      </w:r>
      <w:r w:rsidR="00294ED2" w:rsidRPr="00CE4E1F">
        <w:rPr>
          <w:bCs/>
        </w:rPr>
        <w:t xml:space="preserve">, </w:t>
      </w:r>
      <w:r w:rsidR="00294ED2">
        <w:rPr>
          <w:bCs/>
        </w:rPr>
        <w:t>high risk</w:t>
      </w:r>
      <w:r w:rsidR="00294ED2" w:rsidRPr="00CE4E1F">
        <w:rPr>
          <w:bCs/>
        </w:rPr>
        <w:t xml:space="preserve"> N=</w:t>
      </w:r>
      <w:r w:rsidR="00314F63">
        <w:rPr>
          <w:bCs/>
        </w:rPr>
        <w:t>38</w:t>
      </w:r>
      <w:r w:rsidR="00294ED2" w:rsidRPr="00CE4E1F">
        <w:rPr>
          <w:bCs/>
        </w:rPr>
        <w:t>), and RTOG 0539 high clinical risk</w:t>
      </w:r>
      <w:r w:rsidR="00294ED2">
        <w:rPr>
          <w:bCs/>
        </w:rPr>
        <w:t xml:space="preserve"> groups</w:t>
      </w:r>
      <w:r w:rsidR="00294ED2" w:rsidRPr="00CE4E1F">
        <w:rPr>
          <w:bCs/>
        </w:rPr>
        <w:t xml:space="preserve"> (</w:t>
      </w:r>
      <w:r w:rsidR="00294ED2">
        <w:rPr>
          <w:bCs/>
        </w:rPr>
        <w:t>gene expression risk score low risk</w:t>
      </w:r>
      <w:r w:rsidR="00294ED2" w:rsidRPr="00CE4E1F">
        <w:rPr>
          <w:bCs/>
        </w:rPr>
        <w:t xml:space="preserve"> N=1</w:t>
      </w:r>
      <w:r w:rsidR="00314F63">
        <w:rPr>
          <w:bCs/>
        </w:rPr>
        <w:t>6</w:t>
      </w:r>
      <w:r w:rsidR="00294ED2" w:rsidRPr="00CE4E1F">
        <w:rPr>
          <w:bCs/>
        </w:rPr>
        <w:t xml:space="preserve">, </w:t>
      </w:r>
      <w:r w:rsidR="00294ED2">
        <w:rPr>
          <w:bCs/>
        </w:rPr>
        <w:t>intermediate risk</w:t>
      </w:r>
      <w:r w:rsidR="00294ED2" w:rsidRPr="00CE4E1F">
        <w:rPr>
          <w:bCs/>
        </w:rPr>
        <w:t xml:space="preserve"> N=</w:t>
      </w:r>
      <w:r w:rsidR="00314F63">
        <w:rPr>
          <w:bCs/>
        </w:rPr>
        <w:t>75</w:t>
      </w:r>
      <w:r w:rsidR="00294ED2" w:rsidRPr="00CE4E1F">
        <w:rPr>
          <w:bCs/>
        </w:rPr>
        <w:t xml:space="preserve">, </w:t>
      </w:r>
      <w:r w:rsidR="00294ED2">
        <w:rPr>
          <w:bCs/>
        </w:rPr>
        <w:t xml:space="preserve">high risk </w:t>
      </w:r>
      <w:r w:rsidR="00294ED2" w:rsidRPr="00CE4E1F">
        <w:rPr>
          <w:bCs/>
        </w:rPr>
        <w:t>N=</w:t>
      </w:r>
      <w:r w:rsidR="00314F63">
        <w:rPr>
          <w:bCs/>
        </w:rPr>
        <w:t>128</w:t>
      </w:r>
      <w:r w:rsidR="00294ED2" w:rsidRPr="00CE4E1F">
        <w:rPr>
          <w:bCs/>
        </w:rPr>
        <w:t>).</w:t>
      </w:r>
      <w:r w:rsidR="00294ED2">
        <w:rPr>
          <w:bCs/>
        </w:rPr>
        <w:t xml:space="preserve"> Panel E shows </w:t>
      </w:r>
      <w:r w:rsidR="00294ED2" w:rsidRPr="00CE4E1F">
        <w:rPr>
          <w:bCs/>
        </w:rPr>
        <w:t xml:space="preserve">primary WHO grade </w:t>
      </w:r>
      <w:r w:rsidR="00294ED2">
        <w:rPr>
          <w:bCs/>
        </w:rPr>
        <w:t>1</w:t>
      </w:r>
      <w:r w:rsidR="00294ED2" w:rsidRPr="00CE4E1F">
        <w:rPr>
          <w:bCs/>
        </w:rPr>
        <w:t xml:space="preserve"> meningiomas </w:t>
      </w:r>
      <w:r w:rsidR="00294ED2">
        <w:rPr>
          <w:bCs/>
        </w:rPr>
        <w:t xml:space="preserve">from the retrospective clinical validation cohort stratified </w:t>
      </w:r>
      <w:r w:rsidR="00E27651">
        <w:rPr>
          <w:bCs/>
        </w:rPr>
        <w:t xml:space="preserve">(equivalent to </w:t>
      </w:r>
      <w:r w:rsidR="00E27651" w:rsidRPr="00CE4E1F">
        <w:rPr>
          <w:bCs/>
        </w:rPr>
        <w:t xml:space="preserve">RTOG 0539 low clinical risk </w:t>
      </w:r>
      <w:r w:rsidR="00E27651">
        <w:rPr>
          <w:bCs/>
        </w:rPr>
        <w:t>meningiomas)</w:t>
      </w:r>
      <w:r w:rsidR="005D61D6">
        <w:rPr>
          <w:bCs/>
        </w:rPr>
        <w:t xml:space="preserve"> </w:t>
      </w:r>
      <w:r w:rsidR="00294ED2">
        <w:rPr>
          <w:bCs/>
        </w:rPr>
        <w:t>stratified by gene expression risk score</w:t>
      </w:r>
      <w:r w:rsidR="00D7220C">
        <w:rPr>
          <w:bCs/>
        </w:rPr>
        <w:t xml:space="preserve"> (N=17</w:t>
      </w:r>
      <w:r w:rsidR="009E579D">
        <w:rPr>
          <w:bCs/>
        </w:rPr>
        <w:t>3</w:t>
      </w:r>
      <w:r w:rsidR="00D7220C">
        <w:rPr>
          <w:bCs/>
        </w:rPr>
        <w:t xml:space="preserve"> low risk, N=</w:t>
      </w:r>
      <w:r w:rsidR="00E27651">
        <w:rPr>
          <w:bCs/>
        </w:rPr>
        <w:t xml:space="preserve">224 </w:t>
      </w:r>
      <w:r w:rsidR="00D7220C">
        <w:rPr>
          <w:bCs/>
        </w:rPr>
        <w:t>intermediate risk, N=2</w:t>
      </w:r>
      <w:r w:rsidR="00726DE4">
        <w:rPr>
          <w:bCs/>
        </w:rPr>
        <w:t>7</w:t>
      </w:r>
      <w:r w:rsidR="00D7220C">
        <w:rPr>
          <w:bCs/>
        </w:rPr>
        <w:t xml:space="preserve"> high risk</w:t>
      </w:r>
      <w:r w:rsidR="009E579D">
        <w:rPr>
          <w:bCs/>
        </w:rPr>
        <w:t xml:space="preserve">, </w:t>
      </w:r>
      <w:r w:rsidR="009E579D" w:rsidRPr="009E579D">
        <w:rPr>
          <w:bCs/>
        </w:rPr>
        <w:t>5-year LFFR 92.7%, 77.3%, and 43.0% for low, intermediate, or high risk meningiomas, respectively</w:t>
      </w:r>
      <w:r w:rsidR="00D7220C">
        <w:rPr>
          <w:bCs/>
        </w:rPr>
        <w:t>).</w:t>
      </w:r>
      <w:r w:rsidR="00294ED2">
        <w:rPr>
          <w:bCs/>
        </w:rPr>
        <w:t xml:space="preserve"> Panels</w:t>
      </w:r>
      <w:r w:rsidR="00294ED2" w:rsidRPr="00CE4E1F">
        <w:rPr>
          <w:bCs/>
        </w:rPr>
        <w:t xml:space="preserve"> F</w:t>
      </w:r>
      <w:r w:rsidR="00294ED2">
        <w:rPr>
          <w:bCs/>
        </w:rPr>
        <w:t xml:space="preserve"> and </w:t>
      </w:r>
      <w:r w:rsidR="00294ED2" w:rsidRPr="00CE4E1F">
        <w:rPr>
          <w:bCs/>
        </w:rPr>
        <w:t xml:space="preserve">G show </w:t>
      </w:r>
      <w:r w:rsidR="00294ED2">
        <w:rPr>
          <w:bCs/>
        </w:rPr>
        <w:t xml:space="preserve">prospective validation cohort </w:t>
      </w:r>
      <w:r w:rsidR="00294ED2" w:rsidRPr="00CE4E1F">
        <w:rPr>
          <w:bCs/>
        </w:rPr>
        <w:t xml:space="preserve">meningiomas from RTOG 0539 identified as </w:t>
      </w:r>
      <w:r w:rsidR="00294ED2">
        <w:rPr>
          <w:bCs/>
        </w:rPr>
        <w:t>low risk</w:t>
      </w:r>
      <w:r w:rsidR="00294ED2" w:rsidRPr="00CE4E1F">
        <w:rPr>
          <w:bCs/>
        </w:rPr>
        <w:t xml:space="preserve"> by </w:t>
      </w:r>
      <w:r w:rsidR="00294ED2">
        <w:rPr>
          <w:bCs/>
        </w:rPr>
        <w:t xml:space="preserve">the </w:t>
      </w:r>
      <w:r w:rsidR="00294ED2" w:rsidRPr="00CE4E1F">
        <w:rPr>
          <w:bCs/>
        </w:rPr>
        <w:t xml:space="preserve">gene expression </w:t>
      </w:r>
      <w:r w:rsidR="00294ED2">
        <w:rPr>
          <w:bCs/>
        </w:rPr>
        <w:t xml:space="preserve">biomarker </w:t>
      </w:r>
      <w:r w:rsidR="00294ED2" w:rsidRPr="00CE4E1F">
        <w:rPr>
          <w:bCs/>
        </w:rPr>
        <w:t xml:space="preserve">stratified by </w:t>
      </w:r>
      <w:r w:rsidR="00294ED2">
        <w:rPr>
          <w:bCs/>
        </w:rPr>
        <w:t>postoperative</w:t>
      </w:r>
      <w:r w:rsidR="00294ED2" w:rsidRPr="00CE4E1F">
        <w:rPr>
          <w:bCs/>
        </w:rPr>
        <w:t xml:space="preserve"> radiotherapy </w:t>
      </w:r>
      <w:r w:rsidR="00294ED2">
        <w:rPr>
          <w:bCs/>
        </w:rPr>
        <w:t xml:space="preserve">(N=12 WHO 2016 grade 2 or 3 or recurrent WHO 2016 grade 1 meningiomas) or observation </w:t>
      </w:r>
      <w:r w:rsidR="00294ED2" w:rsidRPr="00CE4E1F">
        <w:rPr>
          <w:bCs/>
        </w:rPr>
        <w:t>(N=27</w:t>
      </w:r>
      <w:r w:rsidR="00294ED2">
        <w:rPr>
          <w:bCs/>
        </w:rPr>
        <w:t xml:space="preserve"> primary WHO 2016 grade 1 meningiomas). These analyses </w:t>
      </w:r>
      <w:r w:rsidR="00294ED2" w:rsidRPr="00CE4E1F">
        <w:rPr>
          <w:bCs/>
        </w:rPr>
        <w:t>show</w:t>
      </w:r>
      <w:r w:rsidR="00294ED2">
        <w:rPr>
          <w:bCs/>
        </w:rPr>
        <w:t>ed</w:t>
      </w:r>
      <w:r w:rsidR="00294ED2" w:rsidRPr="00CE4E1F">
        <w:rPr>
          <w:bCs/>
        </w:rPr>
        <w:t xml:space="preserve"> favorable outcomes</w:t>
      </w:r>
      <w:r w:rsidR="00294ED2">
        <w:rPr>
          <w:bCs/>
        </w:rPr>
        <w:t xml:space="preserve"> for prospective</w:t>
      </w:r>
      <w:r w:rsidR="00BF5D74">
        <w:rPr>
          <w:bCs/>
        </w:rPr>
        <w:t>ly collected</w:t>
      </w:r>
      <w:r w:rsidR="00294ED2">
        <w:rPr>
          <w:bCs/>
        </w:rPr>
        <w:t xml:space="preserve"> meningiomas with low gene expression risk scores across clinical risk strata, </w:t>
      </w:r>
      <w:r w:rsidR="00294ED2" w:rsidRPr="00CE4E1F">
        <w:rPr>
          <w:bCs/>
        </w:rPr>
        <w:t>consistent with findings from retrospective</w:t>
      </w:r>
      <w:r w:rsidR="00294ED2">
        <w:rPr>
          <w:bCs/>
        </w:rPr>
        <w:t xml:space="preserve"> clinical </w:t>
      </w:r>
      <w:r w:rsidR="00294ED2" w:rsidRPr="00CE4E1F">
        <w:rPr>
          <w:bCs/>
        </w:rPr>
        <w:t xml:space="preserve">validation </w:t>
      </w:r>
      <w:r w:rsidR="00294ED2">
        <w:rPr>
          <w:bCs/>
        </w:rPr>
        <w:t xml:space="preserve">cohort meningiomas. More broadly, these data </w:t>
      </w:r>
      <w:r w:rsidR="00294ED2" w:rsidRPr="00CE4E1F">
        <w:rPr>
          <w:bCs/>
        </w:rPr>
        <w:t xml:space="preserve">support the </w:t>
      </w:r>
      <w:r w:rsidR="00294ED2">
        <w:rPr>
          <w:bCs/>
        </w:rPr>
        <w:t>hypothesis</w:t>
      </w:r>
      <w:r w:rsidR="00294ED2" w:rsidRPr="00CE4E1F">
        <w:rPr>
          <w:bCs/>
        </w:rPr>
        <w:t xml:space="preserve"> that </w:t>
      </w:r>
      <w:r w:rsidR="00294ED2">
        <w:rPr>
          <w:bCs/>
        </w:rPr>
        <w:t xml:space="preserve">the </w:t>
      </w:r>
      <w:r w:rsidR="00294ED2" w:rsidRPr="00CE4E1F">
        <w:rPr>
          <w:bCs/>
        </w:rPr>
        <w:t xml:space="preserve">gene expression </w:t>
      </w:r>
      <w:r w:rsidR="00294ED2">
        <w:rPr>
          <w:bCs/>
        </w:rPr>
        <w:t xml:space="preserve">biomarker may be useful for </w:t>
      </w:r>
      <w:r w:rsidR="0071348A">
        <w:rPr>
          <w:bCs/>
        </w:rPr>
        <w:t>identifying</w:t>
      </w:r>
      <w:r w:rsidR="00294ED2">
        <w:rPr>
          <w:bCs/>
        </w:rPr>
        <w:t xml:space="preserve"> </w:t>
      </w:r>
      <w:r w:rsidR="00294ED2" w:rsidRPr="00CE4E1F">
        <w:rPr>
          <w:bCs/>
        </w:rPr>
        <w:t xml:space="preserve">meningiomas </w:t>
      </w:r>
      <w:r w:rsidR="00294ED2">
        <w:rPr>
          <w:bCs/>
        </w:rPr>
        <w:t>where</w:t>
      </w:r>
      <w:r w:rsidR="00294ED2" w:rsidRPr="00CE4E1F">
        <w:rPr>
          <w:bCs/>
        </w:rPr>
        <w:t xml:space="preserve"> </w:t>
      </w:r>
      <w:r w:rsidR="00294ED2">
        <w:rPr>
          <w:bCs/>
        </w:rPr>
        <w:t xml:space="preserve">postoperative </w:t>
      </w:r>
      <w:r w:rsidR="00294ED2" w:rsidRPr="00CE4E1F">
        <w:rPr>
          <w:bCs/>
        </w:rPr>
        <w:t xml:space="preserve">radiotherapy </w:t>
      </w:r>
      <w:r w:rsidR="00294ED2">
        <w:rPr>
          <w:bCs/>
        </w:rPr>
        <w:t>could</w:t>
      </w:r>
      <w:r w:rsidR="00294ED2" w:rsidRPr="00CE4E1F">
        <w:rPr>
          <w:bCs/>
        </w:rPr>
        <w:t xml:space="preserve"> be </w:t>
      </w:r>
      <w:r w:rsidR="00294ED2">
        <w:rPr>
          <w:bCs/>
        </w:rPr>
        <w:t xml:space="preserve">safely </w:t>
      </w:r>
      <w:r w:rsidR="00294ED2" w:rsidRPr="00CE4E1F">
        <w:rPr>
          <w:bCs/>
        </w:rPr>
        <w:t>omitted</w:t>
      </w:r>
      <w:r w:rsidR="00294ED2">
        <w:rPr>
          <w:bCs/>
        </w:rPr>
        <w:t xml:space="preserve">, even in the setting of </w:t>
      </w:r>
      <w:r w:rsidR="00294ED2">
        <w:rPr>
          <w:bCs/>
        </w:rPr>
        <w:lastRenderedPageBreak/>
        <w:t>conventionally high risk clinical features</w:t>
      </w:r>
      <w:r w:rsidR="00294ED2" w:rsidRPr="00CE4E1F">
        <w:rPr>
          <w:bCs/>
        </w:rPr>
        <w:t xml:space="preserve">. </w:t>
      </w:r>
      <w:r w:rsidR="000D11A5" w:rsidRPr="00CE4E1F">
        <w:rPr>
          <w:bCs/>
        </w:rPr>
        <w:t xml:space="preserve">Panel </w:t>
      </w:r>
      <w:r w:rsidR="00745249">
        <w:rPr>
          <w:bCs/>
        </w:rPr>
        <w:t>H</w:t>
      </w:r>
      <w:r w:rsidR="00745249" w:rsidRPr="00CE4E1F">
        <w:rPr>
          <w:bCs/>
        </w:rPr>
        <w:t xml:space="preserve"> </w:t>
      </w:r>
      <w:r w:rsidR="000D11A5" w:rsidRPr="00CE4E1F">
        <w:rPr>
          <w:bCs/>
        </w:rPr>
        <w:t xml:space="preserve">shows </w:t>
      </w:r>
      <w:r w:rsidR="000223D1">
        <w:rPr>
          <w:bCs/>
        </w:rPr>
        <w:t xml:space="preserve">meningiomas </w:t>
      </w:r>
      <w:r w:rsidR="00E777F8">
        <w:rPr>
          <w:bCs/>
        </w:rPr>
        <w:t xml:space="preserve">treated with </w:t>
      </w:r>
      <w:r w:rsidR="00CC3171">
        <w:rPr>
          <w:bCs/>
        </w:rPr>
        <w:t>surgical monotherapy</w:t>
      </w:r>
      <w:r w:rsidR="00E777F8">
        <w:rPr>
          <w:bCs/>
        </w:rPr>
        <w:t xml:space="preserve"> </w:t>
      </w:r>
      <w:r w:rsidR="00745249">
        <w:rPr>
          <w:bCs/>
        </w:rPr>
        <w:t xml:space="preserve">from the retrospective clinical validation cohort stratified </w:t>
      </w:r>
      <w:r w:rsidR="00E777F8">
        <w:rPr>
          <w:bCs/>
        </w:rPr>
        <w:t xml:space="preserve">by </w:t>
      </w:r>
      <w:r w:rsidR="000D11A5" w:rsidRPr="00CE4E1F">
        <w:rPr>
          <w:bCs/>
        </w:rPr>
        <w:t>integrated score</w:t>
      </w:r>
      <w:r w:rsidR="004A197A" w:rsidRPr="00CE4E1F">
        <w:rPr>
          <w:bCs/>
        </w:rPr>
        <w:fldChar w:fldCharType="begin" w:fldLock="1"/>
      </w:r>
      <w:r w:rsidR="000F4EF5">
        <w:rPr>
          <w:bCs/>
        </w:rPr>
        <w:instrText>ADDIN CSL_CITATION {"citationItems":[{"id":"ITEM-1","itemData":{"DOI":"10.1200/JCO.21.00784","ISSN":"15277755","PMID":"34618539","abstract":"PURPOSE Meningiomas are the most frequent primary intracranial tumors. Patient outcome varies widely from benign to highly aggressive, ultimately fatal courses. Reliable identification of risk of progression for individual patients is of pivotal importance. However, only biomarkers for highly aggressive tumors are established (CDKN2A/B and TERT), whereas no molecularly based stratification exists for the broad spectrum of patients with low- and intermediate-risk meningioma. METHODS DNA methylation data and copy-number information were generated for 3,031 meningiomas (2,868 patients), and mutation data for 858 samples. DNA methylation subgroups, copy-number variations (CNVs), mutations, and WHO grading were analyzed. Prediction power for outcome was assessed in a retrospective cohort of 514 patients, validated on a retrospective cohort of 184, and on a prospective cohort of 287 multicenter cases. RESULTS Both CNV- and methylation family–based subgrouping independently resulted in increased prediction accuracy of risk of recurrence compared with the WHO classification (c-indexes WHO 2016, CNV, and methylation family 0.699, 0.706, and 0.721, respectively). Merging all risk stratification approaches into an integrated molecular-morphologic score resulted in further substantial increase in accuracy (c-index 0.744). This integrated score consistently provided superior accuracy in all three cohorts, significantly outperforming WHO grading (c-index difference P 5 .005). Besides the overall stratification advantage, the integrated score separates more precisely for risk of progression at the diagnostically challenging interface of WHO grade 1 and grade 2 tumors (hazard ratio 4.34 [2.48-7.57] and 3.34 [1.28-8.72] retrospective and prospective validation cohorts, respectively). CONCLUSION Merging these layers of histologic and molecular data into an integrated, three-tiered score significantly improves the precision in meningioma stratification. Implementation into diagnostic routine informs clinical decision making for patients with meningioma on the basis of robust outcome prediction.","author":[{"dropping-particle":"","family":"Maas","given":"Sybren L.N.","non-dropping-particle":"","parse-names":false,"suffix":""},{"dropping-particle":"","family":"Stichel","given":"Damian","non-dropping-particle":"","parse-names":false,"suffix":""},{"dropping-particle":"","family":"Hielscher","given":"Thomas","non-dropping-particle":"","parse-names":false,"suffix":""},{"dropping-particle":"","family":"Sievers","given":"Philipp","non-dropping-particle":"","parse-names":false,"suffix":""},{"dropping-particle":"","family":"Berghoff","given":"Anna S.","non-dropping-particle":"","parse-names":false,"suffix":""},{"dropping-particle":"","family":"Schrimpf","given":"Daniel","non-dropping-particle":"","parse-names":false,"suffix":""},{"dropping-particle":"","family":"Sill","given":"Martin","non-dropping-particle":"","parse-names":false,"suffix":""},{"dropping-particle":"","family":"Euskirchen","given":"Philipp","non-dropping-particle":"","parse-names":false,"suffix":""},{"dropping-particle":"","family":"Blume","given":"Christina","non-dropping-particle":"","parse-names":false,"suffix":""},{"dropping-particle":"","family":"Patel","given":"Areeba","non-dropping-particle":"","parse-names":false,"suffix":""},{"dropping-particle":"","family":"Dogan","given":"Helin","non-dropping-particle":"","parse-names":false,"suffix":""},{"dropping-particle":"","family":"Reuss","given":"David","non-dropping-particle":"","parse-names":false,"suffix":""},{"dropping-particle":"","family":"Dohmen","given":"Hildegard","non-dropping-particle":"","parse-names":false,"suffix":""},{"dropping-particle":"","family":"Stein","given":"Marco","non-dropping-particle":"","parse-names":false,"suffix":""},{"dropping-particle":"","family":"Reinhardt","given":"Annekathrin","non-dropping-particle":"","parse-names":false,"suffix":""},{"dropping-particle":"","family":"Suwala","given":"Abigail K.","non-dropping-particle":"","parse-names":false,"suffix":""},{"dropping-particle":"","family":"Wefers","given":"Annika K.","non-dropping-particle":"","parse-names":false,"suffix":""},{"dropping-particle":"","family":"Baumgarten","given":"Peter","non-dropping-particle":"","parse-names":false,"suffix":""},{"dropping-particle":"","family":"Ricklefs","given":"Franz","non-dropping-particle":"","parse-names":false,"suffix":""},{"dropping-particle":"","family":"Rushing","given":"Elisabeth J.","non-dropping-particle":"","parse-names":false,"suffix":""},{"dropping-particle":"","family":"Bewerunge-Hudler","given":"Melanie","non-dropping-particle":"","parse-names":false,"suffix":""},{"dropping-particle":"","family":"Ketter","given":"Ralf","non-dropping-particle":"","parse-names":false,"suffix":""},{"dropping-particle":"","family":"Schittenhelm","given":"Jens","non-dropping-particle":"","parse-names":false,"suffix":""},{"dropping-particle":"","family":"Jaunmuktane","given":"Zane","non-dropping-particle":"","parse-names":false,"suffix":""},{"dropping-particle":"","family":"Leu","given":"Severina","non-dropping-particle":"","parse-names":false,"suffix":""},{"dropping-particle":"","family":"Greenway","given":"Fay E.A.","non-dropping-particle":"","parse-names":false,"suffix":""},{"dropping-particle":"","family":"Bridges","given":"Leslie R.","non-dropping-particle":"","parse-names":false,"suffix":""},{"dropping-particle":"","family":"Jones","given":"Timothy","non-dropping-particle":"","parse-names":false,"suffix":""},{"dropping-particle":"","family":"Grady","given":"Conor","non-dropping-particle":"","parse-names":false,"suffix":""},{"dropping-particle":"","family":"Serrano","given":"Jonathan","non-dropping-particle":"","parse-names":false,"suffix":""},{"dropping-particle":"","family":"Golfinos","given":"John","non-dropping-particle":"","parse-names":false,"suffix":""},{"dropping-particle":"","family":"Sen","given":"Chandra","non-dropping-particle":"","parse-names":false,"suffix":""},{"dropping-particle":"","family":"Mawrin","given":"Christian","non-dropping-particle":"","parse-names":false,"suffix":""},{"dropping-particle":"","family":"Jungk","given":"Christine","non-dropping-particle":"","parse-names":false,"suffix":""},{"dropping-particle":"","family":"Hänggi","given":"Daniel","non-dropping-particle":"","parse-names":false,"suffix":""},{"dropping-particle":"","family":"Westphal","given":"Manfred","non-dropping-particle":"","parse-names":false,"suffix":""},{"dropping-particle":"","family":"Lamszus","given":"Katrin","non-dropping-particle":"","parse-names":false,"suffix":""},{"dropping-particle":"","family":"Etminan","given":"Nima","non-dropping-particle":"","parse-names":false,"suffix":""},{"dropping-particle":"","family":"Jungwirth","given":"Gerhard","non-dropping-particle":"","parse-names":false,"suffix":""},{"dropping-particle":"","family":"Herold-Mende","given":"Christel","non-dropping-particle":"","parse-names":false,"suffix":""},{"dropping-particle":"","family":"Unterberg","given":"Andreas","non-dropping-particle":"","parse-names":false,"suffix":""},{"dropping-particle":"","family":"Harter","given":"Patrick N.","non-dropping-particle":"","parse-names":false,"suffix":""},{"dropping-particle":"","family":"Wirsching","given":"Hans Georg","non-dropping-particle":"","parse-names":false,"suffix":""},{"dropping-particle":"","family":"Neidert","given":"Marian C.","non-dropping-particle":"","parse-names":false,"suffix":""},{"dropping-particle":"","family":"Ratliff","given":"Miriam","non-dropping-particle":"","parse-names":false,"suffix":""},{"dropping-particle":"","family":"Platten","given":"Michael","non-dropping-particle":"","parse-names":false,"suffix":""},{"dropping-particle":"","family":"Snuderl","given":"Matija","non-dropping-particle":"","parse-names":false,"suffix":""},{"dropping-particle":"","family":"Aldape","given":"Kenneth D.","non-dropping-particle":"","parse-names":false,"suffix":""},{"dropping-particle":"","family":"Brandner","given":"Sebastian","non-dropping-particle":"","parse-names":false,"suffix":""},{"dropping-particle":"","family":"Hench","given":"Jürgen","non-dropping-particle":"","parse-names":false,"suffix":""},{"dropping-particle":"","family":"Frank","given":"Stephan","non-dropping-particle":"","parse-names":false,"suffix":""},{"dropping-particle":"","family":"Pfister","given":"Stefan M.","non-dropping-particle":"","parse-names":false,"suffix":""},{"dropping-particle":"","family":"Jones","given":"David T.W.","non-dropping-particle":"","parse-names":false,"suffix":""},{"dropping-particle":"","family":"Reifenberger","given":"Guido","non-dropping-particle":"","parse-names":false,"suffix":""},{"dropping-particle":"","family":"Acker","given":"Till","non-dropping-particle":"","parse-names":false,"suffix":""},{"dropping-particle":"","family":"Wick","given":"Wolfgang","non-dropping-particle":"","parse-names":false,"suffix":""},{"dropping-particle":"","family":"Weller","given":"Michael","non-dropping-particle":"","parse-names":false,"suffix":""},{"dropping-particle":"","family":"Preusser","given":"Matthias","non-dropping-particle":"","parse-names":false,"suffix":""},{"dropping-particle":"","family":"Deimling","given":"Andreas","non-dropping-particle":"von","parse-names":false,"suffix":""},{"dropping-particle":"","family":"Sahm","given":"Felix","non-dropping-particle":"","parse-names":false,"suffix":""}],"container-title":"Journal of Clinical Oncology","id":"ITEM-1","issue":"34","issued":{"date-parts":[["2021"]]},"page":"3839-3852","title":"Integrated Molecular-Morphologic Meningioma Classification: A Multicenter Retrospective Analysis, Retrospectively and Prospectively Validated","type":"article-journal","volume":"39"},"uris":["http://www.mendeley.com/documents/?uuid=e2dece48-a886-43e5-8b02-ba8c8c168310"]}],"mendeley":{"formattedCitation":"&lt;sup&gt;17&lt;/sup&gt;","plainTextFormattedCitation":"17","previouslyFormattedCitation":"&lt;sup&gt;17&lt;/sup&gt;"},"properties":{"noteIndex":0},"schema":"https://github.com/citation-style-language/schema/raw/master/csl-citation.json"}</w:instrText>
      </w:r>
      <w:r w:rsidR="004A197A" w:rsidRPr="00CE4E1F">
        <w:rPr>
          <w:bCs/>
        </w:rPr>
        <w:fldChar w:fldCharType="separate"/>
      </w:r>
      <w:r w:rsidR="000F4EF5" w:rsidRPr="000F4EF5">
        <w:rPr>
          <w:bCs/>
          <w:noProof/>
          <w:vertAlign w:val="superscript"/>
        </w:rPr>
        <w:t>17</w:t>
      </w:r>
      <w:r w:rsidR="004A197A" w:rsidRPr="00CE4E1F">
        <w:rPr>
          <w:bCs/>
        </w:rPr>
        <w:fldChar w:fldCharType="end"/>
      </w:r>
      <w:r w:rsidR="00E777F8">
        <w:rPr>
          <w:bCs/>
        </w:rPr>
        <w:t xml:space="preserve"> </w:t>
      </w:r>
      <w:r w:rsidR="005F119D">
        <w:rPr>
          <w:bCs/>
        </w:rPr>
        <w:t xml:space="preserve">(the only contemporary molecular classification system potentially providing additional prognostic information for LFFR within gene expression biomarker strata, Figure S6C) </w:t>
      </w:r>
      <w:r w:rsidR="00745249">
        <w:rPr>
          <w:bCs/>
        </w:rPr>
        <w:t>and</w:t>
      </w:r>
      <w:r w:rsidR="00E777F8">
        <w:rPr>
          <w:bCs/>
        </w:rPr>
        <w:t xml:space="preserve"> </w:t>
      </w:r>
      <w:r w:rsidR="000D11A5" w:rsidRPr="00CE4E1F">
        <w:rPr>
          <w:bCs/>
        </w:rPr>
        <w:t xml:space="preserve">extent of resection. </w:t>
      </w:r>
      <w:r w:rsidR="00CC3171">
        <w:rPr>
          <w:bCs/>
        </w:rPr>
        <w:t>F</w:t>
      </w:r>
      <w:r w:rsidR="000D11A5" w:rsidRPr="00CE4E1F">
        <w:rPr>
          <w:bCs/>
        </w:rPr>
        <w:t xml:space="preserve">avorable </w:t>
      </w:r>
      <w:r w:rsidR="00CC3171">
        <w:rPr>
          <w:bCs/>
        </w:rPr>
        <w:t xml:space="preserve">(light blue) </w:t>
      </w:r>
      <w:r w:rsidR="000D11A5" w:rsidRPr="00CE4E1F">
        <w:rPr>
          <w:bCs/>
        </w:rPr>
        <w:t xml:space="preserve">and unfavorable </w:t>
      </w:r>
      <w:r w:rsidR="00CC3171">
        <w:rPr>
          <w:bCs/>
        </w:rPr>
        <w:t xml:space="preserve">(yellow) groups were identified </w:t>
      </w:r>
      <w:r w:rsidR="00F81268">
        <w:rPr>
          <w:bCs/>
        </w:rPr>
        <w:t xml:space="preserve">using </w:t>
      </w:r>
      <w:r w:rsidR="000D11A5" w:rsidRPr="00CE4E1F">
        <w:rPr>
          <w:bCs/>
        </w:rPr>
        <w:t xml:space="preserve">the same </w:t>
      </w:r>
      <w:r w:rsidR="00CC3171">
        <w:rPr>
          <w:bCs/>
        </w:rPr>
        <w:t>criteria</w:t>
      </w:r>
      <w:r w:rsidR="00CC3171" w:rsidRPr="00CE4E1F">
        <w:rPr>
          <w:bCs/>
        </w:rPr>
        <w:t xml:space="preserve"> </w:t>
      </w:r>
      <w:r w:rsidR="00CC3171">
        <w:rPr>
          <w:bCs/>
        </w:rPr>
        <w:t xml:space="preserve">for </w:t>
      </w:r>
      <w:r w:rsidR="00E35E36">
        <w:rPr>
          <w:bCs/>
        </w:rPr>
        <w:t xml:space="preserve">identification of </w:t>
      </w:r>
      <w:r w:rsidR="00745249">
        <w:rPr>
          <w:bCs/>
        </w:rPr>
        <w:t xml:space="preserve">biomarker/surgical </w:t>
      </w:r>
      <w:r w:rsidR="00E35E36">
        <w:rPr>
          <w:bCs/>
        </w:rPr>
        <w:t>strata</w:t>
      </w:r>
      <w:r w:rsidR="00CC3171">
        <w:rPr>
          <w:bCs/>
        </w:rPr>
        <w:t xml:space="preserve"> (</w:t>
      </w:r>
      <w:r w:rsidR="000D11A5" w:rsidRPr="00CE4E1F">
        <w:rPr>
          <w:bCs/>
        </w:rPr>
        <w:t xml:space="preserve">Figure </w:t>
      </w:r>
      <w:r w:rsidR="00745249">
        <w:rPr>
          <w:bCs/>
        </w:rPr>
        <w:t>5A</w:t>
      </w:r>
      <w:r w:rsidR="00CC3171">
        <w:rPr>
          <w:bCs/>
        </w:rPr>
        <w:t>)</w:t>
      </w:r>
      <w:r w:rsidR="000D11A5" w:rsidRPr="00CE4E1F">
        <w:rPr>
          <w:bCs/>
        </w:rPr>
        <w:t xml:space="preserve">. Panel </w:t>
      </w:r>
      <w:r w:rsidR="00294ED2">
        <w:rPr>
          <w:bCs/>
        </w:rPr>
        <w:t xml:space="preserve">I </w:t>
      </w:r>
      <w:r w:rsidR="00CC3171">
        <w:rPr>
          <w:bCs/>
        </w:rPr>
        <w:t>shows</w:t>
      </w:r>
      <w:r w:rsidR="000D11A5" w:rsidRPr="00CE4E1F">
        <w:rPr>
          <w:bCs/>
        </w:rPr>
        <w:t xml:space="preserve"> </w:t>
      </w:r>
      <w:r w:rsidR="00294ED2">
        <w:rPr>
          <w:bCs/>
        </w:rPr>
        <w:t xml:space="preserve">favorable and unfavorable strata based on </w:t>
      </w:r>
      <w:r w:rsidR="000D11A5" w:rsidRPr="00CE4E1F">
        <w:rPr>
          <w:bCs/>
        </w:rPr>
        <w:t xml:space="preserve">integrated score </w:t>
      </w:r>
      <w:r w:rsidR="00294ED2">
        <w:rPr>
          <w:bCs/>
        </w:rPr>
        <w:t>were</w:t>
      </w:r>
      <w:r w:rsidR="00294ED2" w:rsidRPr="00CE4E1F">
        <w:rPr>
          <w:bCs/>
        </w:rPr>
        <w:t xml:space="preserve"> </w:t>
      </w:r>
      <w:r w:rsidR="000D11A5" w:rsidRPr="00CE4E1F">
        <w:rPr>
          <w:bCs/>
        </w:rPr>
        <w:t xml:space="preserve">unable to </w:t>
      </w:r>
      <w:r w:rsidR="00CC3171">
        <w:rPr>
          <w:bCs/>
        </w:rPr>
        <w:t>identify meningiomas benefitting from postoperative</w:t>
      </w:r>
      <w:r w:rsidR="000D11A5" w:rsidRPr="00CE4E1F">
        <w:rPr>
          <w:bCs/>
        </w:rPr>
        <w:t xml:space="preserve"> radiotherapy</w:t>
      </w:r>
      <w:r w:rsidR="00E22CBE" w:rsidRPr="00CE4E1F">
        <w:rPr>
          <w:bCs/>
        </w:rPr>
        <w:t xml:space="preserve"> even after propensity matching</w:t>
      </w:r>
      <w:r w:rsidR="00622F70">
        <w:rPr>
          <w:bCs/>
        </w:rPr>
        <w:t xml:space="preserve"> on integrated score, extent of resection, and WHO 2016 grade</w:t>
      </w:r>
      <w:r w:rsidR="000D11A5" w:rsidRPr="00CE4E1F">
        <w:rPr>
          <w:bCs/>
        </w:rPr>
        <w:t>.</w:t>
      </w:r>
      <w:r w:rsidR="00294ED2">
        <w:rPr>
          <w:bCs/>
        </w:rPr>
        <w:t xml:space="preserve"> </w:t>
      </w:r>
      <w:r w:rsidR="00B25969" w:rsidRPr="00CE4E1F">
        <w:rPr>
          <w:bCs/>
        </w:rPr>
        <w:t xml:space="preserve">Panel </w:t>
      </w:r>
      <w:r w:rsidR="00294ED2">
        <w:rPr>
          <w:bCs/>
        </w:rPr>
        <w:t>J</w:t>
      </w:r>
      <w:r w:rsidR="00294ED2" w:rsidRPr="00CE4E1F">
        <w:rPr>
          <w:bCs/>
        </w:rPr>
        <w:t xml:space="preserve"> </w:t>
      </w:r>
      <w:r w:rsidR="00B25969" w:rsidRPr="00CE4E1F">
        <w:rPr>
          <w:bCs/>
        </w:rPr>
        <w:t xml:space="preserve">shows </w:t>
      </w:r>
      <w:r w:rsidR="00CC3171">
        <w:rPr>
          <w:bCs/>
        </w:rPr>
        <w:t xml:space="preserve">overall survival in </w:t>
      </w:r>
      <w:r w:rsidR="00B25969" w:rsidRPr="00CE4E1F">
        <w:rPr>
          <w:bCs/>
        </w:rPr>
        <w:t xml:space="preserve">the same </w:t>
      </w:r>
      <w:r w:rsidR="00CC3171">
        <w:rPr>
          <w:bCs/>
        </w:rPr>
        <w:t xml:space="preserve">meningiomas as </w:t>
      </w:r>
      <w:r w:rsidR="00B25969" w:rsidRPr="00CE4E1F">
        <w:rPr>
          <w:bCs/>
        </w:rPr>
        <w:t xml:space="preserve">Figure </w:t>
      </w:r>
      <w:r w:rsidR="0029015D">
        <w:rPr>
          <w:bCs/>
        </w:rPr>
        <w:t>5</w:t>
      </w:r>
      <w:r w:rsidR="00BF5D74">
        <w:rPr>
          <w:bCs/>
        </w:rPr>
        <w:t>C</w:t>
      </w:r>
      <w:r w:rsidR="00CC3171">
        <w:rPr>
          <w:bCs/>
        </w:rPr>
        <w:t xml:space="preserve"> (</w:t>
      </w:r>
      <w:r w:rsidR="00B25969" w:rsidRPr="00CE4E1F">
        <w:rPr>
          <w:bCs/>
        </w:rPr>
        <w:t>i.e</w:t>
      </w:r>
      <w:r w:rsidR="00CC3171">
        <w:rPr>
          <w:bCs/>
        </w:rPr>
        <w:t>.</w:t>
      </w:r>
      <w:r w:rsidR="00B25969" w:rsidRPr="00CE4E1F">
        <w:rPr>
          <w:bCs/>
        </w:rPr>
        <w:t xml:space="preserve"> </w:t>
      </w:r>
      <w:r w:rsidR="00BF5D74">
        <w:rPr>
          <w:bCs/>
        </w:rPr>
        <w:t xml:space="preserve">propensity matched </w:t>
      </w:r>
      <w:r w:rsidR="00B25969" w:rsidRPr="00CE4E1F">
        <w:rPr>
          <w:bCs/>
        </w:rPr>
        <w:t xml:space="preserve">favorable and unfavorable </w:t>
      </w:r>
      <w:r w:rsidR="00CC3171">
        <w:rPr>
          <w:bCs/>
        </w:rPr>
        <w:t xml:space="preserve">retrospective clinical validation cohort </w:t>
      </w:r>
      <w:r w:rsidR="00B25969" w:rsidRPr="00CE4E1F">
        <w:rPr>
          <w:bCs/>
        </w:rPr>
        <w:t xml:space="preserve">meningiomas based </w:t>
      </w:r>
      <w:r w:rsidR="00BF5D74">
        <w:rPr>
          <w:bCs/>
        </w:rPr>
        <w:t xml:space="preserve">on </w:t>
      </w:r>
      <w:r w:rsidR="00294ED2">
        <w:rPr>
          <w:bCs/>
        </w:rPr>
        <w:t>biomarker/surgical strata</w:t>
      </w:r>
      <w:r w:rsidR="00CC3171">
        <w:rPr>
          <w:bCs/>
        </w:rPr>
        <w:t>)</w:t>
      </w:r>
      <w:r w:rsidR="00B25969" w:rsidRPr="00CE4E1F">
        <w:rPr>
          <w:bCs/>
        </w:rPr>
        <w:t>, demonstrating a trend towards</w:t>
      </w:r>
      <w:r w:rsidR="00294ED2">
        <w:rPr>
          <w:bCs/>
        </w:rPr>
        <w:t xml:space="preserve"> </w:t>
      </w:r>
      <w:r w:rsidR="00B25969" w:rsidRPr="00CE4E1F">
        <w:rPr>
          <w:bCs/>
        </w:rPr>
        <w:t xml:space="preserve">benefit with </w:t>
      </w:r>
      <w:r w:rsidR="00CC3171">
        <w:rPr>
          <w:bCs/>
        </w:rPr>
        <w:t>postoperative</w:t>
      </w:r>
      <w:r w:rsidR="00B25969" w:rsidRPr="00CE4E1F">
        <w:rPr>
          <w:bCs/>
        </w:rPr>
        <w:t xml:space="preserve"> radiotherapy </w:t>
      </w:r>
      <w:r w:rsidR="00F81268">
        <w:rPr>
          <w:bCs/>
        </w:rPr>
        <w:t>for</w:t>
      </w:r>
      <w:r w:rsidR="00F81268" w:rsidRPr="00CE4E1F">
        <w:rPr>
          <w:bCs/>
        </w:rPr>
        <w:t xml:space="preserve"> </w:t>
      </w:r>
      <w:r w:rsidR="00B25969" w:rsidRPr="00CE4E1F">
        <w:rPr>
          <w:bCs/>
        </w:rPr>
        <w:t xml:space="preserve">unfavorable meningiomas. </w:t>
      </w:r>
    </w:p>
    <w:p w14:paraId="03AF2FD0" w14:textId="444DF6CD" w:rsidR="006A68F3" w:rsidRPr="00CE4E1F" w:rsidRDefault="001615EF" w:rsidP="00742F09">
      <w:pPr>
        <w:spacing w:line="360" w:lineRule="auto"/>
        <w:contextualSpacing/>
        <w:jc w:val="both"/>
        <w:rPr>
          <w:bCs/>
        </w:rPr>
      </w:pPr>
      <w:r w:rsidRPr="00CE4E1F">
        <w:rPr>
          <w:b/>
        </w:rPr>
        <w:br w:type="column"/>
      </w:r>
      <w:r w:rsidR="00BD7064" w:rsidRPr="00CE4E1F">
        <w:rPr>
          <w:b/>
        </w:rPr>
        <w:lastRenderedPageBreak/>
        <w:t xml:space="preserve"> </w:t>
      </w:r>
      <w:r w:rsidR="000B229C" w:rsidRPr="00CE4E1F">
        <w:rPr>
          <w:b/>
        </w:rPr>
        <w:t xml:space="preserve">Table </w:t>
      </w:r>
      <w:r w:rsidR="00DC4DBA" w:rsidRPr="00CE4E1F">
        <w:rPr>
          <w:b/>
        </w:rPr>
        <w:t>S</w:t>
      </w:r>
      <w:r w:rsidR="00BD7064" w:rsidRPr="00CE4E1F">
        <w:rPr>
          <w:b/>
        </w:rPr>
        <w:t>1</w:t>
      </w:r>
      <w:r w:rsidR="006A68F3" w:rsidRPr="00CE4E1F">
        <w:rPr>
          <w:b/>
        </w:rPr>
        <w:t xml:space="preserve">. Targeted gene expression </w:t>
      </w:r>
      <w:r w:rsidR="006C12DD">
        <w:rPr>
          <w:b/>
        </w:rPr>
        <w:t>biomarker</w:t>
      </w:r>
      <w:r w:rsidR="006C12DD" w:rsidRPr="00CE4E1F">
        <w:rPr>
          <w:b/>
        </w:rPr>
        <w:t xml:space="preserve"> </w:t>
      </w:r>
      <w:r w:rsidR="006A68F3" w:rsidRPr="00CE4E1F">
        <w:rPr>
          <w:b/>
        </w:rPr>
        <w:t>discovery panel.</w:t>
      </w:r>
    </w:p>
    <w:tbl>
      <w:tblPr>
        <w:tblW w:w="9360" w:type="dxa"/>
        <w:tblLook w:val="04A0" w:firstRow="1" w:lastRow="0" w:firstColumn="1" w:lastColumn="0" w:noHBand="0" w:noVBand="1"/>
      </w:tblPr>
      <w:tblGrid>
        <w:gridCol w:w="1589"/>
        <w:gridCol w:w="1740"/>
        <w:gridCol w:w="6206"/>
      </w:tblGrid>
      <w:tr w:rsidR="006A68F3" w:rsidRPr="00CE4E1F" w14:paraId="3451C040" w14:textId="77777777" w:rsidTr="000239D5">
        <w:trPr>
          <w:trHeight w:val="63"/>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AB17E" w14:textId="2119AB20" w:rsidR="006A68F3" w:rsidRPr="00CE4E1F" w:rsidRDefault="00583E2C" w:rsidP="00742F09">
            <w:pPr>
              <w:spacing w:line="360" w:lineRule="auto"/>
              <w:contextualSpacing/>
              <w:jc w:val="both"/>
              <w:rPr>
                <w:b/>
                <w:bCs/>
                <w:sz w:val="18"/>
                <w:szCs w:val="18"/>
              </w:rPr>
            </w:pPr>
            <w:r w:rsidRPr="00CE4E1F">
              <w:rPr>
                <w:b/>
                <w:bCs/>
                <w:sz w:val="18"/>
                <w:szCs w:val="18"/>
              </w:rPr>
              <w:t>Context</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3BD7E2D9" w14:textId="77777777" w:rsidR="006A68F3" w:rsidRPr="00CE4E1F" w:rsidRDefault="006A68F3" w:rsidP="00742F09">
            <w:pPr>
              <w:spacing w:line="360" w:lineRule="auto"/>
              <w:contextualSpacing/>
              <w:jc w:val="both"/>
              <w:rPr>
                <w:b/>
                <w:bCs/>
                <w:sz w:val="18"/>
                <w:szCs w:val="18"/>
              </w:rPr>
            </w:pPr>
            <w:r w:rsidRPr="00CE4E1F">
              <w:rPr>
                <w:b/>
                <w:bCs/>
                <w:sz w:val="18"/>
                <w:szCs w:val="18"/>
              </w:rPr>
              <w:t>Gene</w:t>
            </w:r>
          </w:p>
        </w:tc>
        <w:tc>
          <w:tcPr>
            <w:tcW w:w="6206" w:type="dxa"/>
            <w:tcBorders>
              <w:top w:val="single" w:sz="4" w:space="0" w:color="auto"/>
              <w:left w:val="nil"/>
              <w:bottom w:val="single" w:sz="4" w:space="0" w:color="auto"/>
              <w:right w:val="single" w:sz="4" w:space="0" w:color="auto"/>
            </w:tcBorders>
            <w:shd w:val="clear" w:color="auto" w:fill="auto"/>
            <w:noWrap/>
            <w:vAlign w:val="bottom"/>
            <w:hideMark/>
          </w:tcPr>
          <w:p w14:paraId="642681E3" w14:textId="77777777" w:rsidR="006A68F3" w:rsidRPr="00CE4E1F" w:rsidRDefault="006A68F3" w:rsidP="00742F09">
            <w:pPr>
              <w:spacing w:line="360" w:lineRule="auto"/>
              <w:contextualSpacing/>
              <w:jc w:val="both"/>
              <w:rPr>
                <w:b/>
                <w:bCs/>
                <w:sz w:val="18"/>
                <w:szCs w:val="18"/>
              </w:rPr>
            </w:pPr>
            <w:r w:rsidRPr="00CE4E1F">
              <w:rPr>
                <w:b/>
                <w:bCs/>
                <w:sz w:val="18"/>
                <w:szCs w:val="18"/>
              </w:rPr>
              <w:t>NCBI Standard ID (RefSeq)</w:t>
            </w:r>
          </w:p>
        </w:tc>
      </w:tr>
      <w:tr w:rsidR="006A68F3" w:rsidRPr="00CE4E1F" w14:paraId="4FA221E1"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F492879"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4A27FE6" w14:textId="77777777" w:rsidR="006A68F3" w:rsidRPr="00CE4E1F" w:rsidRDefault="006A68F3" w:rsidP="00742F09">
            <w:pPr>
              <w:spacing w:line="360" w:lineRule="auto"/>
              <w:contextualSpacing/>
              <w:jc w:val="both"/>
              <w:rPr>
                <w:i/>
                <w:iCs/>
                <w:sz w:val="18"/>
                <w:szCs w:val="18"/>
              </w:rPr>
            </w:pPr>
            <w:r w:rsidRPr="00CE4E1F">
              <w:rPr>
                <w:i/>
                <w:iCs/>
                <w:sz w:val="18"/>
                <w:szCs w:val="18"/>
              </w:rPr>
              <w:t>APEX2</w:t>
            </w:r>
          </w:p>
        </w:tc>
        <w:tc>
          <w:tcPr>
            <w:tcW w:w="6206" w:type="dxa"/>
            <w:tcBorders>
              <w:top w:val="nil"/>
              <w:left w:val="nil"/>
              <w:bottom w:val="single" w:sz="4" w:space="0" w:color="auto"/>
              <w:right w:val="single" w:sz="4" w:space="0" w:color="auto"/>
            </w:tcBorders>
            <w:shd w:val="clear" w:color="auto" w:fill="auto"/>
            <w:noWrap/>
            <w:vAlign w:val="bottom"/>
            <w:hideMark/>
          </w:tcPr>
          <w:p w14:paraId="19118182" w14:textId="77777777" w:rsidR="006A68F3" w:rsidRPr="00CE4E1F" w:rsidRDefault="006A68F3" w:rsidP="00742F09">
            <w:pPr>
              <w:spacing w:line="360" w:lineRule="auto"/>
              <w:contextualSpacing/>
              <w:jc w:val="both"/>
              <w:rPr>
                <w:sz w:val="18"/>
                <w:szCs w:val="18"/>
              </w:rPr>
            </w:pPr>
            <w:r w:rsidRPr="00CE4E1F">
              <w:rPr>
                <w:sz w:val="18"/>
                <w:szCs w:val="18"/>
              </w:rPr>
              <w:t>NM_014481.3:1990</w:t>
            </w:r>
          </w:p>
        </w:tc>
      </w:tr>
      <w:tr w:rsidR="006A68F3" w:rsidRPr="00CE4E1F" w14:paraId="30CE4DE0"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9FAA3C9"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F6A10D7" w14:textId="77777777" w:rsidR="006A68F3" w:rsidRPr="00CE4E1F" w:rsidRDefault="006A68F3" w:rsidP="00742F09">
            <w:pPr>
              <w:spacing w:line="360" w:lineRule="auto"/>
              <w:contextualSpacing/>
              <w:jc w:val="both"/>
              <w:rPr>
                <w:i/>
                <w:iCs/>
                <w:sz w:val="18"/>
                <w:szCs w:val="18"/>
              </w:rPr>
            </w:pPr>
            <w:r w:rsidRPr="00CE4E1F">
              <w:rPr>
                <w:i/>
                <w:iCs/>
                <w:sz w:val="18"/>
                <w:szCs w:val="18"/>
              </w:rPr>
              <w:t>AREG</w:t>
            </w:r>
          </w:p>
        </w:tc>
        <w:tc>
          <w:tcPr>
            <w:tcW w:w="6206" w:type="dxa"/>
            <w:tcBorders>
              <w:top w:val="nil"/>
              <w:left w:val="nil"/>
              <w:bottom w:val="single" w:sz="4" w:space="0" w:color="auto"/>
              <w:right w:val="single" w:sz="4" w:space="0" w:color="auto"/>
            </w:tcBorders>
            <w:shd w:val="clear" w:color="auto" w:fill="auto"/>
            <w:noWrap/>
            <w:vAlign w:val="bottom"/>
            <w:hideMark/>
          </w:tcPr>
          <w:p w14:paraId="6314D222" w14:textId="77777777" w:rsidR="006A68F3" w:rsidRPr="00CE4E1F" w:rsidRDefault="006A68F3" w:rsidP="00742F09">
            <w:pPr>
              <w:spacing w:line="360" w:lineRule="auto"/>
              <w:contextualSpacing/>
              <w:jc w:val="both"/>
              <w:rPr>
                <w:sz w:val="18"/>
                <w:szCs w:val="18"/>
              </w:rPr>
            </w:pPr>
            <w:r w:rsidRPr="00CE4E1F">
              <w:rPr>
                <w:sz w:val="18"/>
                <w:szCs w:val="18"/>
              </w:rPr>
              <w:t>NM_001657.2:547</w:t>
            </w:r>
          </w:p>
        </w:tc>
      </w:tr>
      <w:tr w:rsidR="006A68F3" w:rsidRPr="00CE4E1F" w14:paraId="45D494B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58E56F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0AA9A8A" w14:textId="77777777" w:rsidR="006A68F3" w:rsidRPr="00CE4E1F" w:rsidRDefault="006A68F3" w:rsidP="00742F09">
            <w:pPr>
              <w:spacing w:line="360" w:lineRule="auto"/>
              <w:contextualSpacing/>
              <w:jc w:val="both"/>
              <w:rPr>
                <w:i/>
                <w:iCs/>
                <w:sz w:val="18"/>
                <w:szCs w:val="18"/>
              </w:rPr>
            </w:pPr>
            <w:r w:rsidRPr="00CE4E1F">
              <w:rPr>
                <w:i/>
                <w:iCs/>
                <w:sz w:val="18"/>
                <w:szCs w:val="18"/>
              </w:rPr>
              <w:t>ARID1B</w:t>
            </w:r>
          </w:p>
        </w:tc>
        <w:tc>
          <w:tcPr>
            <w:tcW w:w="6206" w:type="dxa"/>
            <w:tcBorders>
              <w:top w:val="nil"/>
              <w:left w:val="nil"/>
              <w:bottom w:val="single" w:sz="4" w:space="0" w:color="auto"/>
              <w:right w:val="single" w:sz="4" w:space="0" w:color="auto"/>
            </w:tcBorders>
            <w:shd w:val="clear" w:color="auto" w:fill="auto"/>
            <w:noWrap/>
            <w:vAlign w:val="bottom"/>
            <w:hideMark/>
          </w:tcPr>
          <w:p w14:paraId="5BF7A07C" w14:textId="77777777" w:rsidR="006A68F3" w:rsidRPr="00CE4E1F" w:rsidRDefault="006A68F3" w:rsidP="00742F09">
            <w:pPr>
              <w:spacing w:line="360" w:lineRule="auto"/>
              <w:contextualSpacing/>
              <w:jc w:val="both"/>
              <w:rPr>
                <w:sz w:val="18"/>
                <w:szCs w:val="18"/>
              </w:rPr>
            </w:pPr>
            <w:r w:rsidRPr="00CE4E1F">
              <w:rPr>
                <w:sz w:val="18"/>
                <w:szCs w:val="18"/>
              </w:rPr>
              <w:t>NM_020732.3:6335</w:t>
            </w:r>
          </w:p>
        </w:tc>
      </w:tr>
      <w:tr w:rsidR="006A68F3" w:rsidRPr="00CE4E1F" w14:paraId="433BE9C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75AA20E"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B079794" w14:textId="77777777" w:rsidR="006A68F3" w:rsidRPr="00CE4E1F" w:rsidRDefault="006A68F3" w:rsidP="00742F09">
            <w:pPr>
              <w:spacing w:line="360" w:lineRule="auto"/>
              <w:contextualSpacing/>
              <w:jc w:val="both"/>
              <w:rPr>
                <w:i/>
                <w:iCs/>
                <w:sz w:val="18"/>
                <w:szCs w:val="18"/>
              </w:rPr>
            </w:pPr>
            <w:r w:rsidRPr="00CE4E1F">
              <w:rPr>
                <w:i/>
                <w:iCs/>
                <w:sz w:val="18"/>
                <w:szCs w:val="18"/>
              </w:rPr>
              <w:t>AURKA</w:t>
            </w:r>
          </w:p>
        </w:tc>
        <w:tc>
          <w:tcPr>
            <w:tcW w:w="6206" w:type="dxa"/>
            <w:tcBorders>
              <w:top w:val="nil"/>
              <w:left w:val="nil"/>
              <w:bottom w:val="single" w:sz="4" w:space="0" w:color="auto"/>
              <w:right w:val="single" w:sz="4" w:space="0" w:color="auto"/>
            </w:tcBorders>
            <w:shd w:val="clear" w:color="auto" w:fill="auto"/>
            <w:noWrap/>
            <w:vAlign w:val="bottom"/>
            <w:hideMark/>
          </w:tcPr>
          <w:p w14:paraId="2D4ECDDA" w14:textId="77777777" w:rsidR="006A68F3" w:rsidRPr="00CE4E1F" w:rsidRDefault="006A68F3" w:rsidP="00742F09">
            <w:pPr>
              <w:spacing w:line="360" w:lineRule="auto"/>
              <w:contextualSpacing/>
              <w:jc w:val="both"/>
              <w:rPr>
                <w:sz w:val="18"/>
                <w:szCs w:val="18"/>
              </w:rPr>
            </w:pPr>
            <w:r w:rsidRPr="00CE4E1F">
              <w:rPr>
                <w:sz w:val="18"/>
                <w:szCs w:val="18"/>
              </w:rPr>
              <w:t>NM_003600.2:405</w:t>
            </w:r>
          </w:p>
        </w:tc>
      </w:tr>
      <w:tr w:rsidR="006A68F3" w:rsidRPr="00CE4E1F" w14:paraId="47840D4A"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C8553DB"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1EEF876" w14:textId="77777777" w:rsidR="006A68F3" w:rsidRPr="00CE4E1F" w:rsidRDefault="006A68F3" w:rsidP="00742F09">
            <w:pPr>
              <w:spacing w:line="360" w:lineRule="auto"/>
              <w:contextualSpacing/>
              <w:jc w:val="both"/>
              <w:rPr>
                <w:i/>
                <w:iCs/>
                <w:sz w:val="18"/>
                <w:szCs w:val="18"/>
              </w:rPr>
            </w:pPr>
            <w:r w:rsidRPr="00CE4E1F">
              <w:rPr>
                <w:i/>
                <w:iCs/>
                <w:sz w:val="18"/>
                <w:szCs w:val="18"/>
              </w:rPr>
              <w:t>AURKB</w:t>
            </w:r>
          </w:p>
        </w:tc>
        <w:tc>
          <w:tcPr>
            <w:tcW w:w="6206" w:type="dxa"/>
            <w:tcBorders>
              <w:top w:val="nil"/>
              <w:left w:val="nil"/>
              <w:bottom w:val="single" w:sz="4" w:space="0" w:color="auto"/>
              <w:right w:val="single" w:sz="4" w:space="0" w:color="auto"/>
            </w:tcBorders>
            <w:shd w:val="clear" w:color="auto" w:fill="auto"/>
            <w:noWrap/>
            <w:vAlign w:val="bottom"/>
            <w:hideMark/>
          </w:tcPr>
          <w:p w14:paraId="57BEA31A" w14:textId="77777777" w:rsidR="006A68F3" w:rsidRPr="00CE4E1F" w:rsidRDefault="006A68F3" w:rsidP="00742F09">
            <w:pPr>
              <w:spacing w:line="360" w:lineRule="auto"/>
              <w:contextualSpacing/>
              <w:jc w:val="both"/>
              <w:rPr>
                <w:sz w:val="18"/>
                <w:szCs w:val="18"/>
              </w:rPr>
            </w:pPr>
            <w:r w:rsidRPr="00CE4E1F">
              <w:rPr>
                <w:sz w:val="18"/>
                <w:szCs w:val="18"/>
              </w:rPr>
              <w:t>NM_004217.2:615</w:t>
            </w:r>
          </w:p>
        </w:tc>
      </w:tr>
      <w:tr w:rsidR="006A68F3" w:rsidRPr="00CE4E1F" w14:paraId="53AA059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FFE987D"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52CCD9F" w14:textId="77777777" w:rsidR="006A68F3" w:rsidRPr="00CE4E1F" w:rsidRDefault="006A68F3" w:rsidP="00742F09">
            <w:pPr>
              <w:spacing w:line="360" w:lineRule="auto"/>
              <w:contextualSpacing/>
              <w:jc w:val="both"/>
              <w:rPr>
                <w:i/>
                <w:iCs/>
                <w:sz w:val="18"/>
                <w:szCs w:val="18"/>
              </w:rPr>
            </w:pPr>
            <w:r w:rsidRPr="00CE4E1F">
              <w:rPr>
                <w:i/>
                <w:iCs/>
                <w:sz w:val="18"/>
                <w:szCs w:val="18"/>
              </w:rPr>
              <w:t>BIRC5</w:t>
            </w:r>
          </w:p>
        </w:tc>
        <w:tc>
          <w:tcPr>
            <w:tcW w:w="6206" w:type="dxa"/>
            <w:tcBorders>
              <w:top w:val="nil"/>
              <w:left w:val="nil"/>
              <w:bottom w:val="single" w:sz="4" w:space="0" w:color="auto"/>
              <w:right w:val="single" w:sz="4" w:space="0" w:color="auto"/>
            </w:tcBorders>
            <w:shd w:val="clear" w:color="auto" w:fill="auto"/>
            <w:noWrap/>
            <w:vAlign w:val="bottom"/>
            <w:hideMark/>
          </w:tcPr>
          <w:p w14:paraId="32D94147" w14:textId="77777777" w:rsidR="006A68F3" w:rsidRPr="00CE4E1F" w:rsidRDefault="006A68F3" w:rsidP="00742F09">
            <w:pPr>
              <w:spacing w:line="360" w:lineRule="auto"/>
              <w:contextualSpacing/>
              <w:jc w:val="both"/>
              <w:rPr>
                <w:sz w:val="18"/>
                <w:szCs w:val="18"/>
              </w:rPr>
            </w:pPr>
            <w:r w:rsidRPr="00CE4E1F">
              <w:rPr>
                <w:sz w:val="18"/>
                <w:szCs w:val="18"/>
              </w:rPr>
              <w:t>NM_001168.2:1215</w:t>
            </w:r>
          </w:p>
        </w:tc>
      </w:tr>
      <w:tr w:rsidR="006A68F3" w:rsidRPr="00CE4E1F" w14:paraId="6D9ED44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CA4CEDD"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9A0D4CC" w14:textId="77777777" w:rsidR="006A68F3" w:rsidRPr="00CE4E1F" w:rsidRDefault="006A68F3" w:rsidP="00742F09">
            <w:pPr>
              <w:spacing w:line="360" w:lineRule="auto"/>
              <w:contextualSpacing/>
              <w:jc w:val="both"/>
              <w:rPr>
                <w:i/>
                <w:iCs/>
                <w:sz w:val="18"/>
                <w:szCs w:val="18"/>
              </w:rPr>
            </w:pPr>
            <w:r w:rsidRPr="00CE4E1F">
              <w:rPr>
                <w:i/>
                <w:iCs/>
                <w:sz w:val="18"/>
                <w:szCs w:val="18"/>
              </w:rPr>
              <w:t>BMI1</w:t>
            </w:r>
          </w:p>
        </w:tc>
        <w:tc>
          <w:tcPr>
            <w:tcW w:w="6206" w:type="dxa"/>
            <w:tcBorders>
              <w:top w:val="nil"/>
              <w:left w:val="nil"/>
              <w:bottom w:val="single" w:sz="4" w:space="0" w:color="auto"/>
              <w:right w:val="single" w:sz="4" w:space="0" w:color="auto"/>
            </w:tcBorders>
            <w:shd w:val="clear" w:color="auto" w:fill="auto"/>
            <w:noWrap/>
            <w:vAlign w:val="bottom"/>
            <w:hideMark/>
          </w:tcPr>
          <w:p w14:paraId="4A1047C9" w14:textId="77777777" w:rsidR="006A68F3" w:rsidRPr="00CE4E1F" w:rsidRDefault="006A68F3" w:rsidP="00742F09">
            <w:pPr>
              <w:spacing w:line="360" w:lineRule="auto"/>
              <w:contextualSpacing/>
              <w:jc w:val="both"/>
              <w:rPr>
                <w:sz w:val="18"/>
                <w:szCs w:val="18"/>
              </w:rPr>
            </w:pPr>
            <w:r w:rsidRPr="00CE4E1F">
              <w:rPr>
                <w:sz w:val="18"/>
                <w:szCs w:val="18"/>
              </w:rPr>
              <w:t>NM_005180.5:1145</w:t>
            </w:r>
          </w:p>
        </w:tc>
      </w:tr>
      <w:tr w:rsidR="006A68F3" w:rsidRPr="00CE4E1F" w14:paraId="231E6C79"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1422447"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17656BD" w14:textId="77777777" w:rsidR="006A68F3" w:rsidRPr="00CE4E1F" w:rsidRDefault="006A68F3" w:rsidP="00742F09">
            <w:pPr>
              <w:spacing w:line="360" w:lineRule="auto"/>
              <w:contextualSpacing/>
              <w:jc w:val="both"/>
              <w:rPr>
                <w:i/>
                <w:iCs/>
                <w:sz w:val="18"/>
                <w:szCs w:val="18"/>
              </w:rPr>
            </w:pPr>
            <w:r w:rsidRPr="00CE4E1F">
              <w:rPr>
                <w:i/>
                <w:iCs/>
                <w:sz w:val="18"/>
                <w:szCs w:val="18"/>
              </w:rPr>
              <w:t>BMP4</w:t>
            </w:r>
          </w:p>
        </w:tc>
        <w:tc>
          <w:tcPr>
            <w:tcW w:w="6206" w:type="dxa"/>
            <w:tcBorders>
              <w:top w:val="nil"/>
              <w:left w:val="nil"/>
              <w:bottom w:val="single" w:sz="4" w:space="0" w:color="auto"/>
              <w:right w:val="single" w:sz="4" w:space="0" w:color="auto"/>
            </w:tcBorders>
            <w:shd w:val="clear" w:color="auto" w:fill="auto"/>
            <w:noWrap/>
            <w:vAlign w:val="bottom"/>
            <w:hideMark/>
          </w:tcPr>
          <w:p w14:paraId="13EA6B2D" w14:textId="77777777" w:rsidR="006A68F3" w:rsidRPr="00CE4E1F" w:rsidRDefault="006A68F3" w:rsidP="00742F09">
            <w:pPr>
              <w:spacing w:line="360" w:lineRule="auto"/>
              <w:contextualSpacing/>
              <w:jc w:val="both"/>
              <w:rPr>
                <w:sz w:val="18"/>
                <w:szCs w:val="18"/>
              </w:rPr>
            </w:pPr>
            <w:r w:rsidRPr="00CE4E1F">
              <w:rPr>
                <w:sz w:val="18"/>
                <w:szCs w:val="18"/>
              </w:rPr>
              <w:t>NM_001202.3:659</w:t>
            </w:r>
          </w:p>
        </w:tc>
      </w:tr>
      <w:tr w:rsidR="006A68F3" w:rsidRPr="00CE4E1F" w14:paraId="584F9F1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134309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A396B33" w14:textId="77777777" w:rsidR="006A68F3" w:rsidRPr="00CE4E1F" w:rsidRDefault="006A68F3" w:rsidP="00742F09">
            <w:pPr>
              <w:spacing w:line="360" w:lineRule="auto"/>
              <w:contextualSpacing/>
              <w:jc w:val="both"/>
              <w:rPr>
                <w:i/>
                <w:iCs/>
                <w:sz w:val="18"/>
                <w:szCs w:val="18"/>
              </w:rPr>
            </w:pPr>
            <w:r w:rsidRPr="00CE4E1F">
              <w:rPr>
                <w:i/>
                <w:iCs/>
                <w:sz w:val="18"/>
                <w:szCs w:val="18"/>
              </w:rPr>
              <w:t>BMPR1A</w:t>
            </w:r>
          </w:p>
        </w:tc>
        <w:tc>
          <w:tcPr>
            <w:tcW w:w="6206" w:type="dxa"/>
            <w:tcBorders>
              <w:top w:val="nil"/>
              <w:left w:val="nil"/>
              <w:bottom w:val="single" w:sz="4" w:space="0" w:color="auto"/>
              <w:right w:val="single" w:sz="4" w:space="0" w:color="auto"/>
            </w:tcBorders>
            <w:shd w:val="clear" w:color="auto" w:fill="auto"/>
            <w:noWrap/>
            <w:vAlign w:val="bottom"/>
            <w:hideMark/>
          </w:tcPr>
          <w:p w14:paraId="77D2428A" w14:textId="77777777" w:rsidR="006A68F3" w:rsidRPr="00CE4E1F" w:rsidRDefault="006A68F3" w:rsidP="00742F09">
            <w:pPr>
              <w:spacing w:line="360" w:lineRule="auto"/>
              <w:contextualSpacing/>
              <w:jc w:val="both"/>
              <w:rPr>
                <w:sz w:val="18"/>
                <w:szCs w:val="18"/>
              </w:rPr>
            </w:pPr>
            <w:r w:rsidRPr="00CE4E1F">
              <w:rPr>
                <w:sz w:val="18"/>
                <w:szCs w:val="18"/>
              </w:rPr>
              <w:t>NM_004329.2:1720</w:t>
            </w:r>
          </w:p>
        </w:tc>
      </w:tr>
      <w:tr w:rsidR="006A68F3" w:rsidRPr="00CE4E1F" w14:paraId="5C8FE7FC"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1982CD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5FC55D8" w14:textId="77777777" w:rsidR="006A68F3" w:rsidRPr="00CE4E1F" w:rsidRDefault="006A68F3" w:rsidP="00742F09">
            <w:pPr>
              <w:spacing w:line="360" w:lineRule="auto"/>
              <w:contextualSpacing/>
              <w:jc w:val="both"/>
              <w:rPr>
                <w:i/>
                <w:iCs/>
                <w:sz w:val="18"/>
                <w:szCs w:val="18"/>
              </w:rPr>
            </w:pPr>
            <w:r w:rsidRPr="00CE4E1F">
              <w:rPr>
                <w:i/>
                <w:iCs/>
                <w:sz w:val="18"/>
                <w:szCs w:val="18"/>
              </w:rPr>
              <w:t>BRIP1</w:t>
            </w:r>
          </w:p>
        </w:tc>
        <w:tc>
          <w:tcPr>
            <w:tcW w:w="6206" w:type="dxa"/>
            <w:tcBorders>
              <w:top w:val="nil"/>
              <w:left w:val="nil"/>
              <w:bottom w:val="single" w:sz="4" w:space="0" w:color="auto"/>
              <w:right w:val="single" w:sz="4" w:space="0" w:color="auto"/>
            </w:tcBorders>
            <w:shd w:val="clear" w:color="auto" w:fill="auto"/>
            <w:noWrap/>
            <w:vAlign w:val="bottom"/>
            <w:hideMark/>
          </w:tcPr>
          <w:p w14:paraId="7C762C56" w14:textId="77777777" w:rsidR="006A68F3" w:rsidRPr="00CE4E1F" w:rsidRDefault="006A68F3" w:rsidP="00742F09">
            <w:pPr>
              <w:spacing w:line="360" w:lineRule="auto"/>
              <w:contextualSpacing/>
              <w:jc w:val="both"/>
              <w:rPr>
                <w:sz w:val="18"/>
                <w:szCs w:val="18"/>
              </w:rPr>
            </w:pPr>
            <w:r w:rsidRPr="00CE4E1F">
              <w:rPr>
                <w:sz w:val="18"/>
                <w:szCs w:val="18"/>
              </w:rPr>
              <w:t>NM_032043.2:2512</w:t>
            </w:r>
          </w:p>
        </w:tc>
      </w:tr>
      <w:tr w:rsidR="006A68F3" w:rsidRPr="00CE4E1F" w14:paraId="62DCD109"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7C39B6C"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62E2ECA" w14:textId="77777777" w:rsidR="006A68F3" w:rsidRPr="00CE4E1F" w:rsidRDefault="006A68F3" w:rsidP="00742F09">
            <w:pPr>
              <w:spacing w:line="360" w:lineRule="auto"/>
              <w:contextualSpacing/>
              <w:jc w:val="both"/>
              <w:rPr>
                <w:i/>
                <w:iCs/>
                <w:sz w:val="18"/>
                <w:szCs w:val="18"/>
              </w:rPr>
            </w:pPr>
            <w:r w:rsidRPr="00CE4E1F">
              <w:rPr>
                <w:i/>
                <w:iCs/>
                <w:sz w:val="18"/>
                <w:szCs w:val="18"/>
              </w:rPr>
              <w:t>CCL21</w:t>
            </w:r>
          </w:p>
        </w:tc>
        <w:tc>
          <w:tcPr>
            <w:tcW w:w="6206" w:type="dxa"/>
            <w:tcBorders>
              <w:top w:val="nil"/>
              <w:left w:val="nil"/>
              <w:bottom w:val="single" w:sz="4" w:space="0" w:color="auto"/>
              <w:right w:val="single" w:sz="4" w:space="0" w:color="auto"/>
            </w:tcBorders>
            <w:shd w:val="clear" w:color="auto" w:fill="auto"/>
            <w:noWrap/>
            <w:vAlign w:val="bottom"/>
            <w:hideMark/>
          </w:tcPr>
          <w:p w14:paraId="74C5C9D4" w14:textId="77777777" w:rsidR="006A68F3" w:rsidRPr="00CE4E1F" w:rsidRDefault="006A68F3" w:rsidP="00742F09">
            <w:pPr>
              <w:spacing w:line="360" w:lineRule="auto"/>
              <w:contextualSpacing/>
              <w:jc w:val="both"/>
              <w:rPr>
                <w:sz w:val="18"/>
                <w:szCs w:val="18"/>
              </w:rPr>
            </w:pPr>
            <w:r w:rsidRPr="00CE4E1F">
              <w:rPr>
                <w:sz w:val="18"/>
                <w:szCs w:val="18"/>
              </w:rPr>
              <w:t>NM_002989.2:180</w:t>
            </w:r>
          </w:p>
        </w:tc>
      </w:tr>
      <w:tr w:rsidR="006A68F3" w:rsidRPr="00CE4E1F" w14:paraId="30B71D67"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C4C2C65"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1500EA3" w14:textId="77777777" w:rsidR="006A68F3" w:rsidRPr="00CE4E1F" w:rsidRDefault="006A68F3" w:rsidP="00742F09">
            <w:pPr>
              <w:spacing w:line="360" w:lineRule="auto"/>
              <w:contextualSpacing/>
              <w:jc w:val="both"/>
              <w:rPr>
                <w:i/>
                <w:iCs/>
                <w:sz w:val="18"/>
                <w:szCs w:val="18"/>
              </w:rPr>
            </w:pPr>
            <w:r w:rsidRPr="00CE4E1F">
              <w:rPr>
                <w:i/>
                <w:iCs/>
                <w:sz w:val="18"/>
                <w:szCs w:val="18"/>
              </w:rPr>
              <w:t>CCN1</w:t>
            </w:r>
          </w:p>
        </w:tc>
        <w:tc>
          <w:tcPr>
            <w:tcW w:w="6206" w:type="dxa"/>
            <w:tcBorders>
              <w:top w:val="nil"/>
              <w:left w:val="nil"/>
              <w:bottom w:val="single" w:sz="4" w:space="0" w:color="auto"/>
              <w:right w:val="single" w:sz="4" w:space="0" w:color="auto"/>
            </w:tcBorders>
            <w:shd w:val="clear" w:color="auto" w:fill="auto"/>
            <w:noWrap/>
            <w:vAlign w:val="bottom"/>
            <w:hideMark/>
          </w:tcPr>
          <w:p w14:paraId="174E44EE" w14:textId="77777777" w:rsidR="006A68F3" w:rsidRPr="00CE4E1F" w:rsidRDefault="006A68F3" w:rsidP="00742F09">
            <w:pPr>
              <w:spacing w:line="360" w:lineRule="auto"/>
              <w:contextualSpacing/>
              <w:jc w:val="both"/>
              <w:rPr>
                <w:sz w:val="18"/>
                <w:szCs w:val="18"/>
              </w:rPr>
            </w:pPr>
            <w:r w:rsidRPr="00CE4E1F">
              <w:rPr>
                <w:sz w:val="18"/>
                <w:szCs w:val="18"/>
              </w:rPr>
              <w:t>NM_001554.3:1390</w:t>
            </w:r>
          </w:p>
        </w:tc>
      </w:tr>
      <w:tr w:rsidR="006A68F3" w:rsidRPr="00CE4E1F" w14:paraId="3A27FAD5"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BEFC212"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7F51B95" w14:textId="77777777" w:rsidR="006A68F3" w:rsidRPr="00CE4E1F" w:rsidRDefault="006A68F3" w:rsidP="00742F09">
            <w:pPr>
              <w:spacing w:line="360" w:lineRule="auto"/>
              <w:contextualSpacing/>
              <w:jc w:val="both"/>
              <w:rPr>
                <w:i/>
                <w:iCs/>
                <w:sz w:val="18"/>
                <w:szCs w:val="18"/>
              </w:rPr>
            </w:pPr>
            <w:r w:rsidRPr="00CE4E1F">
              <w:rPr>
                <w:i/>
                <w:iCs/>
                <w:sz w:val="18"/>
                <w:szCs w:val="18"/>
              </w:rPr>
              <w:t>CCN2</w:t>
            </w:r>
          </w:p>
        </w:tc>
        <w:tc>
          <w:tcPr>
            <w:tcW w:w="6206" w:type="dxa"/>
            <w:tcBorders>
              <w:top w:val="nil"/>
              <w:left w:val="nil"/>
              <w:bottom w:val="single" w:sz="4" w:space="0" w:color="auto"/>
              <w:right w:val="single" w:sz="4" w:space="0" w:color="auto"/>
            </w:tcBorders>
            <w:shd w:val="clear" w:color="auto" w:fill="auto"/>
            <w:noWrap/>
            <w:vAlign w:val="bottom"/>
            <w:hideMark/>
          </w:tcPr>
          <w:p w14:paraId="51300476" w14:textId="77777777" w:rsidR="006A68F3" w:rsidRPr="00CE4E1F" w:rsidRDefault="006A68F3" w:rsidP="00742F09">
            <w:pPr>
              <w:spacing w:line="360" w:lineRule="auto"/>
              <w:contextualSpacing/>
              <w:jc w:val="both"/>
              <w:rPr>
                <w:sz w:val="18"/>
                <w:szCs w:val="18"/>
              </w:rPr>
            </w:pPr>
            <w:r w:rsidRPr="00CE4E1F">
              <w:rPr>
                <w:sz w:val="18"/>
                <w:szCs w:val="18"/>
              </w:rPr>
              <w:t>NM_001901.2:1100</w:t>
            </w:r>
          </w:p>
        </w:tc>
      </w:tr>
      <w:tr w:rsidR="006A68F3" w:rsidRPr="00CE4E1F" w14:paraId="7511693D" w14:textId="77777777" w:rsidTr="000239D5">
        <w:trPr>
          <w:trHeight w:val="89"/>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ACEA0A9"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3F640B8" w14:textId="77777777" w:rsidR="006A68F3" w:rsidRPr="00CE4E1F" w:rsidRDefault="006A68F3" w:rsidP="00742F09">
            <w:pPr>
              <w:spacing w:line="360" w:lineRule="auto"/>
              <w:contextualSpacing/>
              <w:jc w:val="both"/>
              <w:rPr>
                <w:i/>
                <w:iCs/>
                <w:sz w:val="18"/>
                <w:szCs w:val="18"/>
              </w:rPr>
            </w:pPr>
            <w:r w:rsidRPr="00CE4E1F">
              <w:rPr>
                <w:i/>
                <w:iCs/>
                <w:sz w:val="18"/>
                <w:szCs w:val="18"/>
              </w:rPr>
              <w:t>CCNA2</w:t>
            </w:r>
          </w:p>
        </w:tc>
        <w:tc>
          <w:tcPr>
            <w:tcW w:w="6206" w:type="dxa"/>
            <w:tcBorders>
              <w:top w:val="nil"/>
              <w:left w:val="nil"/>
              <w:bottom w:val="single" w:sz="4" w:space="0" w:color="auto"/>
              <w:right w:val="single" w:sz="4" w:space="0" w:color="auto"/>
            </w:tcBorders>
            <w:shd w:val="clear" w:color="auto" w:fill="auto"/>
            <w:noWrap/>
            <w:vAlign w:val="bottom"/>
            <w:hideMark/>
          </w:tcPr>
          <w:p w14:paraId="291DBE11" w14:textId="77777777" w:rsidR="006A68F3" w:rsidRPr="00CE4E1F" w:rsidRDefault="006A68F3" w:rsidP="00742F09">
            <w:pPr>
              <w:spacing w:line="360" w:lineRule="auto"/>
              <w:contextualSpacing/>
              <w:jc w:val="both"/>
              <w:rPr>
                <w:sz w:val="18"/>
                <w:szCs w:val="18"/>
              </w:rPr>
            </w:pPr>
            <w:r w:rsidRPr="00CE4E1F">
              <w:rPr>
                <w:sz w:val="18"/>
                <w:szCs w:val="18"/>
              </w:rPr>
              <w:t>NM_001237.2:1210</w:t>
            </w:r>
          </w:p>
        </w:tc>
      </w:tr>
      <w:tr w:rsidR="006A68F3" w:rsidRPr="00CE4E1F" w14:paraId="118A633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7FF4BE9"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8100222" w14:textId="77777777" w:rsidR="006A68F3" w:rsidRPr="00CE4E1F" w:rsidRDefault="006A68F3" w:rsidP="00742F09">
            <w:pPr>
              <w:spacing w:line="360" w:lineRule="auto"/>
              <w:contextualSpacing/>
              <w:jc w:val="both"/>
              <w:rPr>
                <w:i/>
                <w:iCs/>
                <w:sz w:val="18"/>
                <w:szCs w:val="18"/>
              </w:rPr>
            </w:pPr>
            <w:r w:rsidRPr="00CE4E1F">
              <w:rPr>
                <w:i/>
                <w:iCs/>
                <w:sz w:val="18"/>
                <w:szCs w:val="18"/>
              </w:rPr>
              <w:t>CCNB1</w:t>
            </w:r>
          </w:p>
        </w:tc>
        <w:tc>
          <w:tcPr>
            <w:tcW w:w="6206" w:type="dxa"/>
            <w:tcBorders>
              <w:top w:val="nil"/>
              <w:left w:val="nil"/>
              <w:bottom w:val="single" w:sz="4" w:space="0" w:color="auto"/>
              <w:right w:val="single" w:sz="4" w:space="0" w:color="auto"/>
            </w:tcBorders>
            <w:shd w:val="clear" w:color="auto" w:fill="auto"/>
            <w:noWrap/>
            <w:vAlign w:val="bottom"/>
            <w:hideMark/>
          </w:tcPr>
          <w:p w14:paraId="792EC00B" w14:textId="77777777" w:rsidR="006A68F3" w:rsidRPr="00CE4E1F" w:rsidRDefault="006A68F3" w:rsidP="00742F09">
            <w:pPr>
              <w:spacing w:line="360" w:lineRule="auto"/>
              <w:contextualSpacing/>
              <w:jc w:val="both"/>
              <w:rPr>
                <w:sz w:val="18"/>
                <w:szCs w:val="18"/>
              </w:rPr>
            </w:pPr>
            <w:r w:rsidRPr="00CE4E1F">
              <w:rPr>
                <w:sz w:val="18"/>
                <w:szCs w:val="18"/>
              </w:rPr>
              <w:t>NM_031966.3:1102</w:t>
            </w:r>
          </w:p>
        </w:tc>
      </w:tr>
      <w:tr w:rsidR="006A68F3" w:rsidRPr="00CE4E1F" w14:paraId="437AECC7" w14:textId="77777777" w:rsidTr="000239D5">
        <w:trPr>
          <w:trHeight w:val="71"/>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50C897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D01C629" w14:textId="77777777" w:rsidR="006A68F3" w:rsidRPr="00CE4E1F" w:rsidRDefault="006A68F3" w:rsidP="00742F09">
            <w:pPr>
              <w:spacing w:line="360" w:lineRule="auto"/>
              <w:contextualSpacing/>
              <w:jc w:val="both"/>
              <w:rPr>
                <w:i/>
                <w:iCs/>
                <w:sz w:val="18"/>
                <w:szCs w:val="18"/>
              </w:rPr>
            </w:pPr>
            <w:r w:rsidRPr="00CE4E1F">
              <w:rPr>
                <w:i/>
                <w:iCs/>
                <w:sz w:val="18"/>
                <w:szCs w:val="18"/>
              </w:rPr>
              <w:t>CCND2</w:t>
            </w:r>
          </w:p>
        </w:tc>
        <w:tc>
          <w:tcPr>
            <w:tcW w:w="6206" w:type="dxa"/>
            <w:tcBorders>
              <w:top w:val="nil"/>
              <w:left w:val="nil"/>
              <w:bottom w:val="single" w:sz="4" w:space="0" w:color="auto"/>
              <w:right w:val="single" w:sz="4" w:space="0" w:color="auto"/>
            </w:tcBorders>
            <w:shd w:val="clear" w:color="auto" w:fill="auto"/>
            <w:noWrap/>
            <w:vAlign w:val="bottom"/>
            <w:hideMark/>
          </w:tcPr>
          <w:p w14:paraId="581BF460" w14:textId="77777777" w:rsidR="006A68F3" w:rsidRPr="00CE4E1F" w:rsidRDefault="006A68F3" w:rsidP="00742F09">
            <w:pPr>
              <w:spacing w:line="360" w:lineRule="auto"/>
              <w:contextualSpacing/>
              <w:jc w:val="both"/>
              <w:rPr>
                <w:sz w:val="18"/>
                <w:szCs w:val="18"/>
              </w:rPr>
            </w:pPr>
            <w:r w:rsidRPr="00CE4E1F">
              <w:rPr>
                <w:sz w:val="18"/>
                <w:szCs w:val="18"/>
              </w:rPr>
              <w:t>NM_001759.2:5825</w:t>
            </w:r>
          </w:p>
        </w:tc>
      </w:tr>
      <w:tr w:rsidR="006A68F3" w:rsidRPr="00CE4E1F" w14:paraId="6D96D782"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DDA695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F07AFF5" w14:textId="77777777" w:rsidR="006A68F3" w:rsidRPr="00CE4E1F" w:rsidRDefault="006A68F3" w:rsidP="00742F09">
            <w:pPr>
              <w:spacing w:line="360" w:lineRule="auto"/>
              <w:contextualSpacing/>
              <w:jc w:val="both"/>
              <w:rPr>
                <w:i/>
                <w:iCs/>
                <w:sz w:val="18"/>
                <w:szCs w:val="18"/>
              </w:rPr>
            </w:pPr>
            <w:r w:rsidRPr="00CE4E1F">
              <w:rPr>
                <w:i/>
                <w:iCs/>
                <w:sz w:val="18"/>
                <w:szCs w:val="18"/>
              </w:rPr>
              <w:t>CCND3</w:t>
            </w:r>
          </w:p>
        </w:tc>
        <w:tc>
          <w:tcPr>
            <w:tcW w:w="6206" w:type="dxa"/>
            <w:tcBorders>
              <w:top w:val="nil"/>
              <w:left w:val="nil"/>
              <w:bottom w:val="single" w:sz="4" w:space="0" w:color="auto"/>
              <w:right w:val="single" w:sz="4" w:space="0" w:color="auto"/>
            </w:tcBorders>
            <w:shd w:val="clear" w:color="auto" w:fill="auto"/>
            <w:noWrap/>
            <w:vAlign w:val="bottom"/>
            <w:hideMark/>
          </w:tcPr>
          <w:p w14:paraId="04F607D3" w14:textId="77777777" w:rsidR="006A68F3" w:rsidRPr="00CE4E1F" w:rsidRDefault="006A68F3" w:rsidP="00742F09">
            <w:pPr>
              <w:spacing w:line="360" w:lineRule="auto"/>
              <w:contextualSpacing/>
              <w:jc w:val="both"/>
              <w:rPr>
                <w:sz w:val="18"/>
                <w:szCs w:val="18"/>
              </w:rPr>
            </w:pPr>
            <w:r w:rsidRPr="00CE4E1F">
              <w:rPr>
                <w:sz w:val="18"/>
                <w:szCs w:val="18"/>
              </w:rPr>
              <w:t>NM_001760.2:1215</w:t>
            </w:r>
          </w:p>
        </w:tc>
      </w:tr>
      <w:tr w:rsidR="006A68F3" w:rsidRPr="00CE4E1F" w14:paraId="153E6EDC"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ED6765C"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4878310" w14:textId="77777777" w:rsidR="006A68F3" w:rsidRPr="00CE4E1F" w:rsidRDefault="006A68F3" w:rsidP="00742F09">
            <w:pPr>
              <w:spacing w:line="360" w:lineRule="auto"/>
              <w:contextualSpacing/>
              <w:jc w:val="both"/>
              <w:rPr>
                <w:i/>
                <w:iCs/>
                <w:sz w:val="18"/>
                <w:szCs w:val="18"/>
              </w:rPr>
            </w:pPr>
            <w:r w:rsidRPr="00CE4E1F">
              <w:rPr>
                <w:i/>
                <w:iCs/>
                <w:sz w:val="18"/>
                <w:szCs w:val="18"/>
              </w:rPr>
              <w:t>CD3E</w:t>
            </w:r>
          </w:p>
        </w:tc>
        <w:tc>
          <w:tcPr>
            <w:tcW w:w="6206" w:type="dxa"/>
            <w:tcBorders>
              <w:top w:val="nil"/>
              <w:left w:val="nil"/>
              <w:bottom w:val="single" w:sz="4" w:space="0" w:color="auto"/>
              <w:right w:val="single" w:sz="4" w:space="0" w:color="auto"/>
            </w:tcBorders>
            <w:shd w:val="clear" w:color="auto" w:fill="auto"/>
            <w:noWrap/>
            <w:vAlign w:val="bottom"/>
            <w:hideMark/>
          </w:tcPr>
          <w:p w14:paraId="2DBBB5E9" w14:textId="77777777" w:rsidR="006A68F3" w:rsidRPr="00CE4E1F" w:rsidRDefault="006A68F3" w:rsidP="00742F09">
            <w:pPr>
              <w:spacing w:line="360" w:lineRule="auto"/>
              <w:contextualSpacing/>
              <w:jc w:val="both"/>
              <w:rPr>
                <w:sz w:val="18"/>
                <w:szCs w:val="18"/>
              </w:rPr>
            </w:pPr>
            <w:r w:rsidRPr="00CE4E1F">
              <w:rPr>
                <w:sz w:val="18"/>
                <w:szCs w:val="18"/>
              </w:rPr>
              <w:t>NM_000733.2:75</w:t>
            </w:r>
          </w:p>
        </w:tc>
      </w:tr>
      <w:tr w:rsidR="006A68F3" w:rsidRPr="00CE4E1F" w14:paraId="5BD61B7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72F9EC7"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8EAFC41" w14:textId="77777777" w:rsidR="006A68F3" w:rsidRPr="00CE4E1F" w:rsidRDefault="006A68F3" w:rsidP="00742F09">
            <w:pPr>
              <w:spacing w:line="360" w:lineRule="auto"/>
              <w:contextualSpacing/>
              <w:jc w:val="both"/>
              <w:rPr>
                <w:i/>
                <w:iCs/>
                <w:sz w:val="18"/>
                <w:szCs w:val="18"/>
              </w:rPr>
            </w:pPr>
            <w:r w:rsidRPr="00CE4E1F">
              <w:rPr>
                <w:i/>
                <w:iCs/>
                <w:sz w:val="18"/>
                <w:szCs w:val="18"/>
              </w:rPr>
              <w:t>CDC20</w:t>
            </w:r>
          </w:p>
        </w:tc>
        <w:tc>
          <w:tcPr>
            <w:tcW w:w="6206" w:type="dxa"/>
            <w:tcBorders>
              <w:top w:val="nil"/>
              <w:left w:val="nil"/>
              <w:bottom w:val="single" w:sz="4" w:space="0" w:color="auto"/>
              <w:right w:val="single" w:sz="4" w:space="0" w:color="auto"/>
            </w:tcBorders>
            <w:shd w:val="clear" w:color="auto" w:fill="auto"/>
            <w:noWrap/>
            <w:vAlign w:val="bottom"/>
            <w:hideMark/>
          </w:tcPr>
          <w:p w14:paraId="09DC19CA" w14:textId="77777777" w:rsidR="006A68F3" w:rsidRPr="00CE4E1F" w:rsidRDefault="006A68F3" w:rsidP="00742F09">
            <w:pPr>
              <w:spacing w:line="360" w:lineRule="auto"/>
              <w:contextualSpacing/>
              <w:jc w:val="both"/>
              <w:rPr>
                <w:sz w:val="18"/>
                <w:szCs w:val="18"/>
              </w:rPr>
            </w:pPr>
            <w:r w:rsidRPr="00CE4E1F">
              <w:rPr>
                <w:sz w:val="18"/>
                <w:szCs w:val="18"/>
              </w:rPr>
              <w:t>NM_001255.2:430</w:t>
            </w:r>
          </w:p>
        </w:tc>
      </w:tr>
      <w:tr w:rsidR="006A68F3" w:rsidRPr="00CE4E1F" w14:paraId="39824078" w14:textId="77777777" w:rsidTr="000239D5">
        <w:trPr>
          <w:trHeight w:val="98"/>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FE9AB0F"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25422B7" w14:textId="77777777" w:rsidR="006A68F3" w:rsidRPr="00CE4E1F" w:rsidRDefault="006A68F3" w:rsidP="00742F09">
            <w:pPr>
              <w:spacing w:line="360" w:lineRule="auto"/>
              <w:contextualSpacing/>
              <w:jc w:val="both"/>
              <w:rPr>
                <w:i/>
                <w:iCs/>
                <w:sz w:val="18"/>
                <w:szCs w:val="18"/>
              </w:rPr>
            </w:pPr>
            <w:r w:rsidRPr="00CE4E1F">
              <w:rPr>
                <w:i/>
                <w:iCs/>
                <w:sz w:val="18"/>
                <w:szCs w:val="18"/>
              </w:rPr>
              <w:t>CDC25A</w:t>
            </w:r>
          </w:p>
        </w:tc>
        <w:tc>
          <w:tcPr>
            <w:tcW w:w="6206" w:type="dxa"/>
            <w:tcBorders>
              <w:top w:val="nil"/>
              <w:left w:val="nil"/>
              <w:bottom w:val="single" w:sz="4" w:space="0" w:color="auto"/>
              <w:right w:val="single" w:sz="4" w:space="0" w:color="auto"/>
            </w:tcBorders>
            <w:shd w:val="clear" w:color="auto" w:fill="auto"/>
            <w:noWrap/>
            <w:vAlign w:val="bottom"/>
            <w:hideMark/>
          </w:tcPr>
          <w:p w14:paraId="70C465CC" w14:textId="77777777" w:rsidR="006A68F3" w:rsidRPr="00CE4E1F" w:rsidRDefault="006A68F3" w:rsidP="00742F09">
            <w:pPr>
              <w:spacing w:line="360" w:lineRule="auto"/>
              <w:contextualSpacing/>
              <w:jc w:val="both"/>
              <w:rPr>
                <w:sz w:val="18"/>
                <w:szCs w:val="18"/>
              </w:rPr>
            </w:pPr>
            <w:r w:rsidRPr="00CE4E1F">
              <w:rPr>
                <w:sz w:val="18"/>
                <w:szCs w:val="18"/>
              </w:rPr>
              <w:t>NM_001789.2:1229</w:t>
            </w:r>
          </w:p>
        </w:tc>
      </w:tr>
      <w:tr w:rsidR="006A68F3" w:rsidRPr="00CE4E1F" w14:paraId="0766A93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4F001A7"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67C3724" w14:textId="77777777" w:rsidR="006A68F3" w:rsidRPr="00CE4E1F" w:rsidRDefault="006A68F3" w:rsidP="00742F09">
            <w:pPr>
              <w:spacing w:line="360" w:lineRule="auto"/>
              <w:contextualSpacing/>
              <w:jc w:val="both"/>
              <w:rPr>
                <w:i/>
                <w:iCs/>
                <w:sz w:val="18"/>
                <w:szCs w:val="18"/>
              </w:rPr>
            </w:pPr>
            <w:r w:rsidRPr="00CE4E1F">
              <w:rPr>
                <w:i/>
                <w:iCs/>
                <w:sz w:val="18"/>
                <w:szCs w:val="18"/>
              </w:rPr>
              <w:t>CDC25C</w:t>
            </w:r>
          </w:p>
        </w:tc>
        <w:tc>
          <w:tcPr>
            <w:tcW w:w="6206" w:type="dxa"/>
            <w:tcBorders>
              <w:top w:val="nil"/>
              <w:left w:val="nil"/>
              <w:bottom w:val="single" w:sz="4" w:space="0" w:color="auto"/>
              <w:right w:val="single" w:sz="4" w:space="0" w:color="auto"/>
            </w:tcBorders>
            <w:shd w:val="clear" w:color="auto" w:fill="auto"/>
            <w:noWrap/>
            <w:vAlign w:val="bottom"/>
            <w:hideMark/>
          </w:tcPr>
          <w:p w14:paraId="365C20E4" w14:textId="77777777" w:rsidR="006A68F3" w:rsidRPr="00CE4E1F" w:rsidRDefault="006A68F3" w:rsidP="00742F09">
            <w:pPr>
              <w:spacing w:line="360" w:lineRule="auto"/>
              <w:contextualSpacing/>
              <w:jc w:val="both"/>
              <w:rPr>
                <w:sz w:val="18"/>
                <w:szCs w:val="18"/>
              </w:rPr>
            </w:pPr>
            <w:r w:rsidRPr="00CE4E1F">
              <w:rPr>
                <w:sz w:val="18"/>
                <w:szCs w:val="18"/>
              </w:rPr>
              <w:t>NM_001287582.1:1944</w:t>
            </w:r>
          </w:p>
        </w:tc>
      </w:tr>
      <w:tr w:rsidR="006A68F3" w:rsidRPr="00CE4E1F" w14:paraId="7E94DCCF"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8775DE8"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65A5177" w14:textId="77777777" w:rsidR="006A68F3" w:rsidRPr="00CE4E1F" w:rsidRDefault="006A68F3" w:rsidP="00742F09">
            <w:pPr>
              <w:spacing w:line="360" w:lineRule="auto"/>
              <w:contextualSpacing/>
              <w:jc w:val="both"/>
              <w:rPr>
                <w:i/>
                <w:iCs/>
                <w:sz w:val="18"/>
                <w:szCs w:val="18"/>
              </w:rPr>
            </w:pPr>
            <w:r w:rsidRPr="00CE4E1F">
              <w:rPr>
                <w:i/>
                <w:iCs/>
                <w:sz w:val="18"/>
                <w:szCs w:val="18"/>
              </w:rPr>
              <w:t>CDK1</w:t>
            </w:r>
          </w:p>
        </w:tc>
        <w:tc>
          <w:tcPr>
            <w:tcW w:w="6206" w:type="dxa"/>
            <w:tcBorders>
              <w:top w:val="nil"/>
              <w:left w:val="nil"/>
              <w:bottom w:val="single" w:sz="4" w:space="0" w:color="auto"/>
              <w:right w:val="single" w:sz="4" w:space="0" w:color="auto"/>
            </w:tcBorders>
            <w:shd w:val="clear" w:color="auto" w:fill="auto"/>
            <w:noWrap/>
            <w:vAlign w:val="bottom"/>
            <w:hideMark/>
          </w:tcPr>
          <w:p w14:paraId="31F4274F" w14:textId="77777777" w:rsidR="006A68F3" w:rsidRPr="00CE4E1F" w:rsidRDefault="006A68F3" w:rsidP="00742F09">
            <w:pPr>
              <w:spacing w:line="360" w:lineRule="auto"/>
              <w:contextualSpacing/>
              <w:jc w:val="both"/>
              <w:rPr>
                <w:sz w:val="18"/>
                <w:szCs w:val="18"/>
              </w:rPr>
            </w:pPr>
            <w:r w:rsidRPr="00CE4E1F">
              <w:rPr>
                <w:sz w:val="18"/>
                <w:szCs w:val="18"/>
              </w:rPr>
              <w:t>NM_001786.4:178</w:t>
            </w:r>
          </w:p>
        </w:tc>
      </w:tr>
      <w:tr w:rsidR="006A68F3" w:rsidRPr="00CE4E1F" w14:paraId="6164C7AC"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FE7EC9C"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F6CD670" w14:textId="77777777" w:rsidR="006A68F3" w:rsidRPr="00CE4E1F" w:rsidRDefault="006A68F3" w:rsidP="00742F09">
            <w:pPr>
              <w:spacing w:line="360" w:lineRule="auto"/>
              <w:contextualSpacing/>
              <w:jc w:val="both"/>
              <w:rPr>
                <w:i/>
                <w:iCs/>
                <w:sz w:val="18"/>
                <w:szCs w:val="18"/>
              </w:rPr>
            </w:pPr>
            <w:r w:rsidRPr="00CE4E1F">
              <w:rPr>
                <w:i/>
                <w:iCs/>
                <w:sz w:val="18"/>
                <w:szCs w:val="18"/>
              </w:rPr>
              <w:t>CDK4</w:t>
            </w:r>
          </w:p>
        </w:tc>
        <w:tc>
          <w:tcPr>
            <w:tcW w:w="6206" w:type="dxa"/>
            <w:tcBorders>
              <w:top w:val="nil"/>
              <w:left w:val="nil"/>
              <w:bottom w:val="single" w:sz="4" w:space="0" w:color="auto"/>
              <w:right w:val="single" w:sz="4" w:space="0" w:color="auto"/>
            </w:tcBorders>
            <w:shd w:val="clear" w:color="auto" w:fill="auto"/>
            <w:noWrap/>
            <w:vAlign w:val="bottom"/>
            <w:hideMark/>
          </w:tcPr>
          <w:p w14:paraId="3D6B889D" w14:textId="77777777" w:rsidR="006A68F3" w:rsidRPr="00CE4E1F" w:rsidRDefault="006A68F3" w:rsidP="00742F09">
            <w:pPr>
              <w:spacing w:line="360" w:lineRule="auto"/>
              <w:contextualSpacing/>
              <w:jc w:val="both"/>
              <w:rPr>
                <w:sz w:val="18"/>
                <w:szCs w:val="18"/>
              </w:rPr>
            </w:pPr>
            <w:r w:rsidRPr="00CE4E1F">
              <w:rPr>
                <w:sz w:val="18"/>
                <w:szCs w:val="18"/>
              </w:rPr>
              <w:t>NM_000075.2:1055</w:t>
            </w:r>
          </w:p>
        </w:tc>
      </w:tr>
      <w:tr w:rsidR="006A68F3" w:rsidRPr="00CE4E1F" w14:paraId="5263D78A"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24D0D1D"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0FD0680" w14:textId="77777777" w:rsidR="006A68F3" w:rsidRPr="00CE4E1F" w:rsidRDefault="006A68F3" w:rsidP="00742F09">
            <w:pPr>
              <w:spacing w:line="360" w:lineRule="auto"/>
              <w:contextualSpacing/>
              <w:jc w:val="both"/>
              <w:rPr>
                <w:i/>
                <w:iCs/>
                <w:sz w:val="18"/>
                <w:szCs w:val="18"/>
              </w:rPr>
            </w:pPr>
            <w:r w:rsidRPr="00CE4E1F">
              <w:rPr>
                <w:i/>
                <w:iCs/>
                <w:sz w:val="18"/>
                <w:szCs w:val="18"/>
              </w:rPr>
              <w:t>CDK6</w:t>
            </w:r>
          </w:p>
        </w:tc>
        <w:tc>
          <w:tcPr>
            <w:tcW w:w="6206" w:type="dxa"/>
            <w:tcBorders>
              <w:top w:val="nil"/>
              <w:left w:val="nil"/>
              <w:bottom w:val="single" w:sz="4" w:space="0" w:color="auto"/>
              <w:right w:val="single" w:sz="4" w:space="0" w:color="auto"/>
            </w:tcBorders>
            <w:shd w:val="clear" w:color="auto" w:fill="auto"/>
            <w:noWrap/>
            <w:vAlign w:val="bottom"/>
            <w:hideMark/>
          </w:tcPr>
          <w:p w14:paraId="55EF24CE" w14:textId="77777777" w:rsidR="006A68F3" w:rsidRPr="00CE4E1F" w:rsidRDefault="006A68F3" w:rsidP="00742F09">
            <w:pPr>
              <w:spacing w:line="360" w:lineRule="auto"/>
              <w:contextualSpacing/>
              <w:jc w:val="both"/>
              <w:rPr>
                <w:sz w:val="18"/>
                <w:szCs w:val="18"/>
              </w:rPr>
            </w:pPr>
            <w:r w:rsidRPr="00CE4E1F">
              <w:rPr>
                <w:sz w:val="18"/>
                <w:szCs w:val="18"/>
              </w:rPr>
              <w:t>NM_001259.6:2404</w:t>
            </w:r>
          </w:p>
        </w:tc>
      </w:tr>
      <w:tr w:rsidR="006A68F3" w:rsidRPr="00CE4E1F" w14:paraId="7061FF70"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B50A7C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040F3DA" w14:textId="77777777" w:rsidR="006A68F3" w:rsidRPr="00CE4E1F" w:rsidRDefault="006A68F3" w:rsidP="00742F09">
            <w:pPr>
              <w:spacing w:line="360" w:lineRule="auto"/>
              <w:contextualSpacing/>
              <w:jc w:val="both"/>
              <w:rPr>
                <w:i/>
                <w:iCs/>
                <w:sz w:val="18"/>
                <w:szCs w:val="18"/>
              </w:rPr>
            </w:pPr>
            <w:r w:rsidRPr="00CE4E1F">
              <w:rPr>
                <w:i/>
                <w:iCs/>
                <w:sz w:val="18"/>
                <w:szCs w:val="18"/>
              </w:rPr>
              <w:t>CDKN2A</w:t>
            </w:r>
          </w:p>
        </w:tc>
        <w:tc>
          <w:tcPr>
            <w:tcW w:w="6206" w:type="dxa"/>
            <w:tcBorders>
              <w:top w:val="nil"/>
              <w:left w:val="nil"/>
              <w:bottom w:val="single" w:sz="4" w:space="0" w:color="auto"/>
              <w:right w:val="single" w:sz="4" w:space="0" w:color="auto"/>
            </w:tcBorders>
            <w:shd w:val="clear" w:color="auto" w:fill="auto"/>
            <w:noWrap/>
            <w:vAlign w:val="bottom"/>
            <w:hideMark/>
          </w:tcPr>
          <w:p w14:paraId="16D7D062" w14:textId="77777777" w:rsidR="006A68F3" w:rsidRPr="00CE4E1F" w:rsidRDefault="006A68F3" w:rsidP="00742F09">
            <w:pPr>
              <w:spacing w:line="360" w:lineRule="auto"/>
              <w:contextualSpacing/>
              <w:jc w:val="both"/>
              <w:rPr>
                <w:sz w:val="18"/>
                <w:szCs w:val="18"/>
              </w:rPr>
            </w:pPr>
            <w:r w:rsidRPr="00CE4E1F">
              <w:rPr>
                <w:sz w:val="18"/>
                <w:szCs w:val="18"/>
              </w:rPr>
              <w:t>NM_000077.4:559</w:t>
            </w:r>
          </w:p>
        </w:tc>
      </w:tr>
      <w:tr w:rsidR="006A68F3" w:rsidRPr="00CE4E1F" w14:paraId="498CE7AC"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A916298"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6806B9D" w14:textId="77777777" w:rsidR="006A68F3" w:rsidRPr="00CE4E1F" w:rsidRDefault="006A68F3" w:rsidP="00742F09">
            <w:pPr>
              <w:spacing w:line="360" w:lineRule="auto"/>
              <w:contextualSpacing/>
              <w:jc w:val="both"/>
              <w:rPr>
                <w:i/>
                <w:iCs/>
                <w:sz w:val="18"/>
                <w:szCs w:val="18"/>
              </w:rPr>
            </w:pPr>
            <w:r w:rsidRPr="00CE4E1F">
              <w:rPr>
                <w:i/>
                <w:iCs/>
                <w:sz w:val="18"/>
                <w:szCs w:val="18"/>
              </w:rPr>
              <w:t>CDKN2C</w:t>
            </w:r>
          </w:p>
        </w:tc>
        <w:tc>
          <w:tcPr>
            <w:tcW w:w="6206" w:type="dxa"/>
            <w:tcBorders>
              <w:top w:val="nil"/>
              <w:left w:val="nil"/>
              <w:bottom w:val="single" w:sz="4" w:space="0" w:color="auto"/>
              <w:right w:val="single" w:sz="4" w:space="0" w:color="auto"/>
            </w:tcBorders>
            <w:shd w:val="clear" w:color="auto" w:fill="auto"/>
            <w:noWrap/>
            <w:vAlign w:val="bottom"/>
            <w:hideMark/>
          </w:tcPr>
          <w:p w14:paraId="77AD2C64" w14:textId="77777777" w:rsidR="006A68F3" w:rsidRPr="00CE4E1F" w:rsidRDefault="006A68F3" w:rsidP="00742F09">
            <w:pPr>
              <w:spacing w:line="360" w:lineRule="auto"/>
              <w:contextualSpacing/>
              <w:jc w:val="both"/>
              <w:rPr>
                <w:sz w:val="18"/>
                <w:szCs w:val="18"/>
              </w:rPr>
            </w:pPr>
            <w:r w:rsidRPr="00CE4E1F">
              <w:rPr>
                <w:sz w:val="18"/>
                <w:szCs w:val="18"/>
              </w:rPr>
              <w:t>NM_001262.2:1295</w:t>
            </w:r>
          </w:p>
        </w:tc>
      </w:tr>
      <w:tr w:rsidR="006A68F3" w:rsidRPr="00CE4E1F" w14:paraId="2CA5441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DA0885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29AC5FF" w14:textId="77777777" w:rsidR="006A68F3" w:rsidRPr="00CE4E1F" w:rsidRDefault="006A68F3" w:rsidP="00742F09">
            <w:pPr>
              <w:spacing w:line="360" w:lineRule="auto"/>
              <w:contextualSpacing/>
              <w:jc w:val="both"/>
              <w:rPr>
                <w:i/>
                <w:iCs/>
                <w:sz w:val="18"/>
                <w:szCs w:val="18"/>
              </w:rPr>
            </w:pPr>
            <w:r w:rsidRPr="00CE4E1F">
              <w:rPr>
                <w:i/>
                <w:iCs/>
                <w:sz w:val="18"/>
                <w:szCs w:val="18"/>
              </w:rPr>
              <w:t>CDKN3</w:t>
            </w:r>
          </w:p>
        </w:tc>
        <w:tc>
          <w:tcPr>
            <w:tcW w:w="6206" w:type="dxa"/>
            <w:tcBorders>
              <w:top w:val="nil"/>
              <w:left w:val="nil"/>
              <w:bottom w:val="single" w:sz="4" w:space="0" w:color="auto"/>
              <w:right w:val="single" w:sz="4" w:space="0" w:color="auto"/>
            </w:tcBorders>
            <w:shd w:val="clear" w:color="auto" w:fill="auto"/>
            <w:noWrap/>
            <w:vAlign w:val="bottom"/>
            <w:hideMark/>
          </w:tcPr>
          <w:p w14:paraId="16AAAC6B" w14:textId="77777777" w:rsidR="006A68F3" w:rsidRPr="00CE4E1F" w:rsidRDefault="006A68F3" w:rsidP="00742F09">
            <w:pPr>
              <w:spacing w:line="360" w:lineRule="auto"/>
              <w:contextualSpacing/>
              <w:jc w:val="both"/>
              <w:rPr>
                <w:sz w:val="18"/>
                <w:szCs w:val="18"/>
              </w:rPr>
            </w:pPr>
            <w:r w:rsidRPr="00CE4E1F">
              <w:rPr>
                <w:sz w:val="18"/>
                <w:szCs w:val="18"/>
              </w:rPr>
              <w:t>NM_005192.3:510</w:t>
            </w:r>
          </w:p>
        </w:tc>
      </w:tr>
      <w:tr w:rsidR="006A68F3" w:rsidRPr="00CE4E1F" w14:paraId="2D27334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B32CBB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6BD7096" w14:textId="77777777" w:rsidR="006A68F3" w:rsidRPr="00CE4E1F" w:rsidRDefault="006A68F3" w:rsidP="00742F09">
            <w:pPr>
              <w:spacing w:line="360" w:lineRule="auto"/>
              <w:contextualSpacing/>
              <w:jc w:val="both"/>
              <w:rPr>
                <w:i/>
                <w:iCs/>
                <w:sz w:val="18"/>
                <w:szCs w:val="18"/>
              </w:rPr>
            </w:pPr>
            <w:r w:rsidRPr="00CE4E1F">
              <w:rPr>
                <w:i/>
                <w:iCs/>
                <w:sz w:val="18"/>
                <w:szCs w:val="18"/>
              </w:rPr>
              <w:t>CENPF</w:t>
            </w:r>
          </w:p>
        </w:tc>
        <w:tc>
          <w:tcPr>
            <w:tcW w:w="6206" w:type="dxa"/>
            <w:tcBorders>
              <w:top w:val="nil"/>
              <w:left w:val="nil"/>
              <w:bottom w:val="single" w:sz="4" w:space="0" w:color="auto"/>
              <w:right w:val="single" w:sz="4" w:space="0" w:color="auto"/>
            </w:tcBorders>
            <w:shd w:val="clear" w:color="auto" w:fill="auto"/>
            <w:noWrap/>
            <w:vAlign w:val="bottom"/>
            <w:hideMark/>
          </w:tcPr>
          <w:p w14:paraId="6C950D2C" w14:textId="77777777" w:rsidR="006A68F3" w:rsidRPr="00CE4E1F" w:rsidRDefault="006A68F3" w:rsidP="00742F09">
            <w:pPr>
              <w:spacing w:line="360" w:lineRule="auto"/>
              <w:contextualSpacing/>
              <w:jc w:val="both"/>
              <w:rPr>
                <w:sz w:val="18"/>
                <w:szCs w:val="18"/>
              </w:rPr>
            </w:pPr>
            <w:r w:rsidRPr="00CE4E1F">
              <w:rPr>
                <w:sz w:val="18"/>
                <w:szCs w:val="18"/>
              </w:rPr>
              <w:t>NM_016343.3:5822</w:t>
            </w:r>
          </w:p>
        </w:tc>
      </w:tr>
      <w:tr w:rsidR="006A68F3" w:rsidRPr="00CE4E1F" w14:paraId="38683AB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3E783B6"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3B4B12F" w14:textId="77777777" w:rsidR="006A68F3" w:rsidRPr="00CE4E1F" w:rsidRDefault="006A68F3" w:rsidP="00742F09">
            <w:pPr>
              <w:spacing w:line="360" w:lineRule="auto"/>
              <w:contextualSpacing/>
              <w:jc w:val="both"/>
              <w:rPr>
                <w:i/>
                <w:iCs/>
                <w:sz w:val="18"/>
                <w:szCs w:val="18"/>
              </w:rPr>
            </w:pPr>
            <w:r w:rsidRPr="00CE4E1F">
              <w:rPr>
                <w:i/>
                <w:iCs/>
                <w:sz w:val="18"/>
                <w:szCs w:val="18"/>
              </w:rPr>
              <w:t>CHEK1</w:t>
            </w:r>
          </w:p>
        </w:tc>
        <w:tc>
          <w:tcPr>
            <w:tcW w:w="6206" w:type="dxa"/>
            <w:tcBorders>
              <w:top w:val="nil"/>
              <w:left w:val="nil"/>
              <w:bottom w:val="single" w:sz="4" w:space="0" w:color="auto"/>
              <w:right w:val="single" w:sz="4" w:space="0" w:color="auto"/>
            </w:tcBorders>
            <w:shd w:val="clear" w:color="auto" w:fill="auto"/>
            <w:noWrap/>
            <w:vAlign w:val="bottom"/>
            <w:hideMark/>
          </w:tcPr>
          <w:p w14:paraId="75FE50A2" w14:textId="77777777" w:rsidR="006A68F3" w:rsidRPr="00CE4E1F" w:rsidRDefault="006A68F3" w:rsidP="00742F09">
            <w:pPr>
              <w:spacing w:line="360" w:lineRule="auto"/>
              <w:contextualSpacing/>
              <w:jc w:val="both"/>
              <w:rPr>
                <w:sz w:val="18"/>
                <w:szCs w:val="18"/>
              </w:rPr>
            </w:pPr>
            <w:r w:rsidRPr="00CE4E1F">
              <w:rPr>
                <w:sz w:val="18"/>
                <w:szCs w:val="18"/>
              </w:rPr>
              <w:t>NM_001114121.1:2225</w:t>
            </w:r>
          </w:p>
        </w:tc>
      </w:tr>
      <w:tr w:rsidR="006A68F3" w:rsidRPr="00CE4E1F" w14:paraId="1B1851DA"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1A1F6B9"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D82C212" w14:textId="77777777" w:rsidR="006A68F3" w:rsidRPr="00CE4E1F" w:rsidRDefault="006A68F3" w:rsidP="00742F09">
            <w:pPr>
              <w:spacing w:line="360" w:lineRule="auto"/>
              <w:contextualSpacing/>
              <w:jc w:val="both"/>
              <w:rPr>
                <w:i/>
                <w:iCs/>
                <w:sz w:val="18"/>
                <w:szCs w:val="18"/>
              </w:rPr>
            </w:pPr>
            <w:r w:rsidRPr="00CE4E1F">
              <w:rPr>
                <w:i/>
                <w:iCs/>
                <w:sz w:val="18"/>
                <w:szCs w:val="18"/>
              </w:rPr>
              <w:t>CKS2</w:t>
            </w:r>
          </w:p>
        </w:tc>
        <w:tc>
          <w:tcPr>
            <w:tcW w:w="6206" w:type="dxa"/>
            <w:tcBorders>
              <w:top w:val="nil"/>
              <w:left w:val="nil"/>
              <w:bottom w:val="single" w:sz="4" w:space="0" w:color="auto"/>
              <w:right w:val="single" w:sz="4" w:space="0" w:color="auto"/>
            </w:tcBorders>
            <w:shd w:val="clear" w:color="auto" w:fill="auto"/>
            <w:noWrap/>
            <w:vAlign w:val="bottom"/>
            <w:hideMark/>
          </w:tcPr>
          <w:p w14:paraId="6C5BDC1E" w14:textId="77777777" w:rsidR="006A68F3" w:rsidRPr="00CE4E1F" w:rsidRDefault="006A68F3" w:rsidP="00742F09">
            <w:pPr>
              <w:spacing w:line="360" w:lineRule="auto"/>
              <w:contextualSpacing/>
              <w:jc w:val="both"/>
              <w:rPr>
                <w:sz w:val="18"/>
                <w:szCs w:val="18"/>
              </w:rPr>
            </w:pPr>
            <w:r w:rsidRPr="00CE4E1F">
              <w:rPr>
                <w:sz w:val="18"/>
                <w:szCs w:val="18"/>
              </w:rPr>
              <w:t>NM_001827.1:195</w:t>
            </w:r>
          </w:p>
        </w:tc>
      </w:tr>
      <w:tr w:rsidR="006A68F3" w:rsidRPr="00CE4E1F" w14:paraId="3F7851F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F08E1D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2CD30E0" w14:textId="77777777" w:rsidR="006A68F3" w:rsidRPr="00CE4E1F" w:rsidRDefault="006A68F3" w:rsidP="00742F09">
            <w:pPr>
              <w:spacing w:line="360" w:lineRule="auto"/>
              <w:contextualSpacing/>
              <w:jc w:val="both"/>
              <w:rPr>
                <w:i/>
                <w:iCs/>
                <w:sz w:val="18"/>
                <w:szCs w:val="18"/>
              </w:rPr>
            </w:pPr>
            <w:r w:rsidRPr="00CE4E1F">
              <w:rPr>
                <w:i/>
                <w:iCs/>
                <w:sz w:val="18"/>
                <w:szCs w:val="18"/>
              </w:rPr>
              <w:t>COL1A1</w:t>
            </w:r>
          </w:p>
        </w:tc>
        <w:tc>
          <w:tcPr>
            <w:tcW w:w="6206" w:type="dxa"/>
            <w:tcBorders>
              <w:top w:val="nil"/>
              <w:left w:val="nil"/>
              <w:bottom w:val="single" w:sz="4" w:space="0" w:color="auto"/>
              <w:right w:val="single" w:sz="4" w:space="0" w:color="auto"/>
            </w:tcBorders>
            <w:shd w:val="clear" w:color="auto" w:fill="auto"/>
            <w:noWrap/>
            <w:vAlign w:val="bottom"/>
            <w:hideMark/>
          </w:tcPr>
          <w:p w14:paraId="74D8E28E" w14:textId="77777777" w:rsidR="006A68F3" w:rsidRPr="00CE4E1F" w:rsidRDefault="006A68F3" w:rsidP="00742F09">
            <w:pPr>
              <w:spacing w:line="360" w:lineRule="auto"/>
              <w:contextualSpacing/>
              <w:jc w:val="both"/>
              <w:rPr>
                <w:sz w:val="18"/>
                <w:szCs w:val="18"/>
              </w:rPr>
            </w:pPr>
            <w:r w:rsidRPr="00CE4E1F">
              <w:rPr>
                <w:sz w:val="18"/>
                <w:szCs w:val="18"/>
              </w:rPr>
              <w:t>NM_000088.3:5210</w:t>
            </w:r>
          </w:p>
        </w:tc>
      </w:tr>
      <w:tr w:rsidR="006A68F3" w:rsidRPr="00CE4E1F" w14:paraId="78A2E7C0"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5EDCF59"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F382F8C" w14:textId="77777777" w:rsidR="006A68F3" w:rsidRPr="00CE4E1F" w:rsidRDefault="006A68F3" w:rsidP="00742F09">
            <w:pPr>
              <w:spacing w:line="360" w:lineRule="auto"/>
              <w:contextualSpacing/>
              <w:jc w:val="both"/>
              <w:rPr>
                <w:i/>
                <w:iCs/>
                <w:sz w:val="18"/>
                <w:szCs w:val="18"/>
              </w:rPr>
            </w:pPr>
            <w:r w:rsidRPr="00CE4E1F">
              <w:rPr>
                <w:i/>
                <w:iCs/>
                <w:sz w:val="18"/>
                <w:szCs w:val="18"/>
              </w:rPr>
              <w:t>CXCL8</w:t>
            </w:r>
          </w:p>
        </w:tc>
        <w:tc>
          <w:tcPr>
            <w:tcW w:w="6206" w:type="dxa"/>
            <w:tcBorders>
              <w:top w:val="nil"/>
              <w:left w:val="nil"/>
              <w:bottom w:val="single" w:sz="4" w:space="0" w:color="auto"/>
              <w:right w:val="single" w:sz="4" w:space="0" w:color="auto"/>
            </w:tcBorders>
            <w:shd w:val="clear" w:color="auto" w:fill="auto"/>
            <w:noWrap/>
            <w:vAlign w:val="bottom"/>
            <w:hideMark/>
          </w:tcPr>
          <w:p w14:paraId="7984D9C2" w14:textId="77777777" w:rsidR="006A68F3" w:rsidRPr="00CE4E1F" w:rsidRDefault="006A68F3" w:rsidP="00742F09">
            <w:pPr>
              <w:spacing w:line="360" w:lineRule="auto"/>
              <w:contextualSpacing/>
              <w:jc w:val="both"/>
              <w:rPr>
                <w:sz w:val="18"/>
                <w:szCs w:val="18"/>
              </w:rPr>
            </w:pPr>
            <w:r w:rsidRPr="00CE4E1F">
              <w:rPr>
                <w:sz w:val="18"/>
                <w:szCs w:val="18"/>
              </w:rPr>
              <w:t>NM_000584.2:25</w:t>
            </w:r>
          </w:p>
        </w:tc>
      </w:tr>
      <w:tr w:rsidR="006A68F3" w:rsidRPr="00CE4E1F" w14:paraId="3A31B70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CA1AFC2"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1E05476" w14:textId="77777777" w:rsidR="006A68F3" w:rsidRPr="00CE4E1F" w:rsidRDefault="006A68F3" w:rsidP="00742F09">
            <w:pPr>
              <w:spacing w:line="360" w:lineRule="auto"/>
              <w:contextualSpacing/>
              <w:jc w:val="both"/>
              <w:rPr>
                <w:i/>
                <w:iCs/>
                <w:sz w:val="18"/>
                <w:szCs w:val="18"/>
              </w:rPr>
            </w:pPr>
            <w:r w:rsidRPr="00CE4E1F">
              <w:rPr>
                <w:i/>
                <w:iCs/>
                <w:sz w:val="18"/>
                <w:szCs w:val="18"/>
              </w:rPr>
              <w:t>DRAM1</w:t>
            </w:r>
          </w:p>
        </w:tc>
        <w:tc>
          <w:tcPr>
            <w:tcW w:w="6206" w:type="dxa"/>
            <w:tcBorders>
              <w:top w:val="nil"/>
              <w:left w:val="nil"/>
              <w:bottom w:val="single" w:sz="4" w:space="0" w:color="auto"/>
              <w:right w:val="single" w:sz="4" w:space="0" w:color="auto"/>
            </w:tcBorders>
            <w:shd w:val="clear" w:color="auto" w:fill="auto"/>
            <w:noWrap/>
            <w:vAlign w:val="bottom"/>
            <w:hideMark/>
          </w:tcPr>
          <w:p w14:paraId="1614E213" w14:textId="77777777" w:rsidR="006A68F3" w:rsidRPr="00CE4E1F" w:rsidRDefault="006A68F3" w:rsidP="00742F09">
            <w:pPr>
              <w:spacing w:line="360" w:lineRule="auto"/>
              <w:contextualSpacing/>
              <w:jc w:val="both"/>
              <w:rPr>
                <w:sz w:val="18"/>
                <w:szCs w:val="18"/>
              </w:rPr>
            </w:pPr>
            <w:r w:rsidRPr="00CE4E1F">
              <w:rPr>
                <w:sz w:val="18"/>
                <w:szCs w:val="18"/>
              </w:rPr>
              <w:t>NM_018370.2:1730</w:t>
            </w:r>
          </w:p>
        </w:tc>
      </w:tr>
      <w:tr w:rsidR="006A68F3" w:rsidRPr="00CE4E1F" w14:paraId="656D1D0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046E33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A87180F" w14:textId="77777777" w:rsidR="006A68F3" w:rsidRPr="00CE4E1F" w:rsidRDefault="006A68F3" w:rsidP="00742F09">
            <w:pPr>
              <w:spacing w:line="360" w:lineRule="auto"/>
              <w:contextualSpacing/>
              <w:jc w:val="both"/>
              <w:rPr>
                <w:i/>
                <w:iCs/>
                <w:sz w:val="18"/>
                <w:szCs w:val="18"/>
              </w:rPr>
            </w:pPr>
            <w:r w:rsidRPr="00CE4E1F">
              <w:rPr>
                <w:i/>
                <w:iCs/>
                <w:sz w:val="18"/>
                <w:szCs w:val="18"/>
              </w:rPr>
              <w:t>DTL</w:t>
            </w:r>
          </w:p>
        </w:tc>
        <w:tc>
          <w:tcPr>
            <w:tcW w:w="6206" w:type="dxa"/>
            <w:tcBorders>
              <w:top w:val="nil"/>
              <w:left w:val="nil"/>
              <w:bottom w:val="single" w:sz="4" w:space="0" w:color="auto"/>
              <w:right w:val="single" w:sz="4" w:space="0" w:color="auto"/>
            </w:tcBorders>
            <w:shd w:val="clear" w:color="auto" w:fill="auto"/>
            <w:noWrap/>
            <w:vAlign w:val="bottom"/>
            <w:hideMark/>
          </w:tcPr>
          <w:p w14:paraId="0BB2CCF2" w14:textId="77777777" w:rsidR="006A68F3" w:rsidRPr="00CE4E1F" w:rsidRDefault="006A68F3" w:rsidP="00742F09">
            <w:pPr>
              <w:spacing w:line="360" w:lineRule="auto"/>
              <w:contextualSpacing/>
              <w:jc w:val="both"/>
              <w:rPr>
                <w:sz w:val="18"/>
                <w:szCs w:val="18"/>
              </w:rPr>
            </w:pPr>
            <w:r w:rsidRPr="00CE4E1F">
              <w:rPr>
                <w:sz w:val="18"/>
                <w:szCs w:val="18"/>
              </w:rPr>
              <w:t>NM_016448.2:715</w:t>
            </w:r>
          </w:p>
        </w:tc>
      </w:tr>
      <w:tr w:rsidR="006A68F3" w:rsidRPr="00CE4E1F" w14:paraId="26BAE60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6008452"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CE0F648" w14:textId="77777777" w:rsidR="006A68F3" w:rsidRPr="00CE4E1F" w:rsidRDefault="006A68F3" w:rsidP="00742F09">
            <w:pPr>
              <w:spacing w:line="360" w:lineRule="auto"/>
              <w:contextualSpacing/>
              <w:jc w:val="both"/>
              <w:rPr>
                <w:i/>
                <w:iCs/>
                <w:sz w:val="18"/>
                <w:szCs w:val="18"/>
              </w:rPr>
            </w:pPr>
            <w:r w:rsidRPr="00CE4E1F">
              <w:rPr>
                <w:i/>
                <w:iCs/>
                <w:sz w:val="18"/>
                <w:szCs w:val="18"/>
              </w:rPr>
              <w:t>E2F2</w:t>
            </w:r>
          </w:p>
        </w:tc>
        <w:tc>
          <w:tcPr>
            <w:tcW w:w="6206" w:type="dxa"/>
            <w:tcBorders>
              <w:top w:val="nil"/>
              <w:left w:val="nil"/>
              <w:bottom w:val="single" w:sz="4" w:space="0" w:color="auto"/>
              <w:right w:val="single" w:sz="4" w:space="0" w:color="auto"/>
            </w:tcBorders>
            <w:shd w:val="clear" w:color="auto" w:fill="auto"/>
            <w:noWrap/>
            <w:vAlign w:val="bottom"/>
            <w:hideMark/>
          </w:tcPr>
          <w:p w14:paraId="5D5526B5" w14:textId="77777777" w:rsidR="006A68F3" w:rsidRPr="00CE4E1F" w:rsidRDefault="006A68F3" w:rsidP="00742F09">
            <w:pPr>
              <w:spacing w:line="360" w:lineRule="auto"/>
              <w:contextualSpacing/>
              <w:jc w:val="both"/>
              <w:rPr>
                <w:sz w:val="18"/>
                <w:szCs w:val="18"/>
              </w:rPr>
            </w:pPr>
            <w:r w:rsidRPr="00CE4E1F">
              <w:rPr>
                <w:sz w:val="18"/>
                <w:szCs w:val="18"/>
              </w:rPr>
              <w:t>NM_004091.3:1104</w:t>
            </w:r>
          </w:p>
        </w:tc>
      </w:tr>
      <w:tr w:rsidR="006A68F3" w:rsidRPr="00CE4E1F" w14:paraId="6737D979"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B16EF62"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9EA6AD3" w14:textId="77777777" w:rsidR="006A68F3" w:rsidRPr="00CE4E1F" w:rsidRDefault="006A68F3" w:rsidP="00742F09">
            <w:pPr>
              <w:spacing w:line="360" w:lineRule="auto"/>
              <w:contextualSpacing/>
              <w:jc w:val="both"/>
              <w:rPr>
                <w:i/>
                <w:iCs/>
                <w:sz w:val="18"/>
                <w:szCs w:val="18"/>
              </w:rPr>
            </w:pPr>
            <w:r w:rsidRPr="00CE4E1F">
              <w:rPr>
                <w:i/>
                <w:iCs/>
                <w:sz w:val="18"/>
                <w:szCs w:val="18"/>
              </w:rPr>
              <w:t>EME1</w:t>
            </w:r>
          </w:p>
        </w:tc>
        <w:tc>
          <w:tcPr>
            <w:tcW w:w="6206" w:type="dxa"/>
            <w:tcBorders>
              <w:top w:val="nil"/>
              <w:left w:val="nil"/>
              <w:bottom w:val="single" w:sz="4" w:space="0" w:color="auto"/>
              <w:right w:val="single" w:sz="4" w:space="0" w:color="auto"/>
            </w:tcBorders>
            <w:shd w:val="clear" w:color="auto" w:fill="auto"/>
            <w:noWrap/>
            <w:vAlign w:val="bottom"/>
            <w:hideMark/>
          </w:tcPr>
          <w:p w14:paraId="611113F7" w14:textId="77777777" w:rsidR="006A68F3" w:rsidRPr="00CE4E1F" w:rsidRDefault="006A68F3" w:rsidP="00742F09">
            <w:pPr>
              <w:spacing w:line="360" w:lineRule="auto"/>
              <w:contextualSpacing/>
              <w:jc w:val="both"/>
              <w:rPr>
                <w:sz w:val="18"/>
                <w:szCs w:val="18"/>
              </w:rPr>
            </w:pPr>
            <w:r w:rsidRPr="00CE4E1F">
              <w:rPr>
                <w:sz w:val="18"/>
                <w:szCs w:val="18"/>
              </w:rPr>
              <w:t>XM_011524392.1:416</w:t>
            </w:r>
          </w:p>
        </w:tc>
      </w:tr>
      <w:tr w:rsidR="006A68F3" w:rsidRPr="00CE4E1F" w14:paraId="197D3FD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49EE2A1"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E691501" w14:textId="77777777" w:rsidR="006A68F3" w:rsidRPr="00CE4E1F" w:rsidRDefault="006A68F3" w:rsidP="00742F09">
            <w:pPr>
              <w:spacing w:line="360" w:lineRule="auto"/>
              <w:contextualSpacing/>
              <w:jc w:val="both"/>
              <w:rPr>
                <w:i/>
                <w:iCs/>
                <w:sz w:val="18"/>
                <w:szCs w:val="18"/>
              </w:rPr>
            </w:pPr>
            <w:r w:rsidRPr="00CE4E1F">
              <w:rPr>
                <w:i/>
                <w:iCs/>
                <w:sz w:val="18"/>
                <w:szCs w:val="18"/>
              </w:rPr>
              <w:t>ERCC4</w:t>
            </w:r>
          </w:p>
        </w:tc>
        <w:tc>
          <w:tcPr>
            <w:tcW w:w="6206" w:type="dxa"/>
            <w:tcBorders>
              <w:top w:val="nil"/>
              <w:left w:val="nil"/>
              <w:bottom w:val="single" w:sz="4" w:space="0" w:color="auto"/>
              <w:right w:val="single" w:sz="4" w:space="0" w:color="auto"/>
            </w:tcBorders>
            <w:shd w:val="clear" w:color="auto" w:fill="auto"/>
            <w:noWrap/>
            <w:vAlign w:val="bottom"/>
            <w:hideMark/>
          </w:tcPr>
          <w:p w14:paraId="60578B06" w14:textId="77777777" w:rsidR="006A68F3" w:rsidRPr="00CE4E1F" w:rsidRDefault="006A68F3" w:rsidP="00742F09">
            <w:pPr>
              <w:spacing w:line="360" w:lineRule="auto"/>
              <w:contextualSpacing/>
              <w:jc w:val="both"/>
              <w:rPr>
                <w:sz w:val="18"/>
                <w:szCs w:val="18"/>
              </w:rPr>
            </w:pPr>
            <w:r w:rsidRPr="00CE4E1F">
              <w:rPr>
                <w:sz w:val="18"/>
                <w:szCs w:val="18"/>
              </w:rPr>
              <w:t>NM_005236.2:1700</w:t>
            </w:r>
          </w:p>
        </w:tc>
      </w:tr>
      <w:tr w:rsidR="006A68F3" w:rsidRPr="00CE4E1F" w14:paraId="77F905D6"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5071310"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B734599" w14:textId="77777777" w:rsidR="006A68F3" w:rsidRPr="00CE4E1F" w:rsidRDefault="006A68F3" w:rsidP="00742F09">
            <w:pPr>
              <w:spacing w:line="360" w:lineRule="auto"/>
              <w:contextualSpacing/>
              <w:jc w:val="both"/>
              <w:rPr>
                <w:i/>
                <w:iCs/>
                <w:sz w:val="18"/>
                <w:szCs w:val="18"/>
              </w:rPr>
            </w:pPr>
            <w:r w:rsidRPr="00CE4E1F">
              <w:rPr>
                <w:i/>
                <w:iCs/>
                <w:sz w:val="18"/>
                <w:szCs w:val="18"/>
              </w:rPr>
              <w:t>ESR1</w:t>
            </w:r>
          </w:p>
        </w:tc>
        <w:tc>
          <w:tcPr>
            <w:tcW w:w="6206" w:type="dxa"/>
            <w:tcBorders>
              <w:top w:val="nil"/>
              <w:left w:val="nil"/>
              <w:bottom w:val="single" w:sz="4" w:space="0" w:color="auto"/>
              <w:right w:val="single" w:sz="4" w:space="0" w:color="auto"/>
            </w:tcBorders>
            <w:shd w:val="clear" w:color="auto" w:fill="auto"/>
            <w:noWrap/>
            <w:vAlign w:val="bottom"/>
            <w:hideMark/>
          </w:tcPr>
          <w:p w14:paraId="0041D0EF" w14:textId="77777777" w:rsidR="006A68F3" w:rsidRPr="00CE4E1F" w:rsidRDefault="006A68F3" w:rsidP="00742F09">
            <w:pPr>
              <w:spacing w:line="360" w:lineRule="auto"/>
              <w:contextualSpacing/>
              <w:jc w:val="both"/>
              <w:rPr>
                <w:sz w:val="18"/>
                <w:szCs w:val="18"/>
              </w:rPr>
            </w:pPr>
            <w:r w:rsidRPr="00CE4E1F">
              <w:rPr>
                <w:sz w:val="18"/>
                <w:szCs w:val="18"/>
              </w:rPr>
              <w:t>NM_000125.2:1595</w:t>
            </w:r>
          </w:p>
        </w:tc>
      </w:tr>
      <w:tr w:rsidR="006A68F3" w:rsidRPr="00CE4E1F" w14:paraId="55CC533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761D89C" w14:textId="77777777" w:rsidR="006A68F3" w:rsidRPr="00CE4E1F" w:rsidRDefault="006A68F3" w:rsidP="00742F09">
            <w:pPr>
              <w:spacing w:line="360" w:lineRule="auto"/>
              <w:contextualSpacing/>
              <w:jc w:val="both"/>
              <w:rPr>
                <w:sz w:val="18"/>
                <w:szCs w:val="18"/>
              </w:rPr>
            </w:pPr>
            <w:r w:rsidRPr="00CE4E1F">
              <w:rPr>
                <w:sz w:val="18"/>
                <w:szCs w:val="18"/>
              </w:rPr>
              <w:lastRenderedPageBreak/>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FBF8FE4" w14:textId="77777777" w:rsidR="006A68F3" w:rsidRPr="00CE4E1F" w:rsidRDefault="006A68F3" w:rsidP="00742F09">
            <w:pPr>
              <w:spacing w:line="360" w:lineRule="auto"/>
              <w:contextualSpacing/>
              <w:jc w:val="both"/>
              <w:rPr>
                <w:i/>
                <w:iCs/>
                <w:sz w:val="18"/>
                <w:szCs w:val="18"/>
              </w:rPr>
            </w:pPr>
            <w:r w:rsidRPr="00CE4E1F">
              <w:rPr>
                <w:i/>
                <w:iCs/>
                <w:sz w:val="18"/>
                <w:szCs w:val="18"/>
              </w:rPr>
              <w:t>EZH2</w:t>
            </w:r>
          </w:p>
        </w:tc>
        <w:tc>
          <w:tcPr>
            <w:tcW w:w="6206" w:type="dxa"/>
            <w:tcBorders>
              <w:top w:val="nil"/>
              <w:left w:val="nil"/>
              <w:bottom w:val="single" w:sz="4" w:space="0" w:color="auto"/>
              <w:right w:val="single" w:sz="4" w:space="0" w:color="auto"/>
            </w:tcBorders>
            <w:shd w:val="clear" w:color="auto" w:fill="auto"/>
            <w:noWrap/>
            <w:vAlign w:val="bottom"/>
            <w:hideMark/>
          </w:tcPr>
          <w:p w14:paraId="23001903" w14:textId="77777777" w:rsidR="006A68F3" w:rsidRPr="00CE4E1F" w:rsidRDefault="006A68F3" w:rsidP="00742F09">
            <w:pPr>
              <w:spacing w:line="360" w:lineRule="auto"/>
              <w:contextualSpacing/>
              <w:jc w:val="both"/>
              <w:rPr>
                <w:sz w:val="18"/>
                <w:szCs w:val="18"/>
              </w:rPr>
            </w:pPr>
            <w:r w:rsidRPr="00CE4E1F">
              <w:rPr>
                <w:sz w:val="18"/>
                <w:szCs w:val="18"/>
              </w:rPr>
              <w:t>NM_001203247.1:1121</w:t>
            </w:r>
          </w:p>
        </w:tc>
      </w:tr>
      <w:tr w:rsidR="006A68F3" w:rsidRPr="00CE4E1F" w14:paraId="59321FA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AA2527C"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043142B" w14:textId="77777777" w:rsidR="006A68F3" w:rsidRPr="00CE4E1F" w:rsidRDefault="006A68F3" w:rsidP="00742F09">
            <w:pPr>
              <w:spacing w:line="360" w:lineRule="auto"/>
              <w:contextualSpacing/>
              <w:jc w:val="both"/>
              <w:rPr>
                <w:i/>
                <w:iCs/>
                <w:sz w:val="18"/>
                <w:szCs w:val="18"/>
              </w:rPr>
            </w:pPr>
            <w:r w:rsidRPr="00CE4E1F">
              <w:rPr>
                <w:i/>
                <w:iCs/>
                <w:sz w:val="18"/>
                <w:szCs w:val="18"/>
              </w:rPr>
              <w:t>FANCB</w:t>
            </w:r>
          </w:p>
        </w:tc>
        <w:tc>
          <w:tcPr>
            <w:tcW w:w="6206" w:type="dxa"/>
            <w:tcBorders>
              <w:top w:val="nil"/>
              <w:left w:val="nil"/>
              <w:bottom w:val="single" w:sz="4" w:space="0" w:color="auto"/>
              <w:right w:val="single" w:sz="4" w:space="0" w:color="auto"/>
            </w:tcBorders>
            <w:shd w:val="clear" w:color="auto" w:fill="auto"/>
            <w:noWrap/>
            <w:vAlign w:val="bottom"/>
            <w:hideMark/>
          </w:tcPr>
          <w:p w14:paraId="0869AD83" w14:textId="77777777" w:rsidR="006A68F3" w:rsidRPr="00CE4E1F" w:rsidRDefault="006A68F3" w:rsidP="00742F09">
            <w:pPr>
              <w:spacing w:line="360" w:lineRule="auto"/>
              <w:contextualSpacing/>
              <w:jc w:val="both"/>
              <w:rPr>
                <w:sz w:val="18"/>
                <w:szCs w:val="18"/>
              </w:rPr>
            </w:pPr>
            <w:r w:rsidRPr="00CE4E1F">
              <w:rPr>
                <w:sz w:val="18"/>
                <w:szCs w:val="18"/>
              </w:rPr>
              <w:t>NM_001018113.2:238</w:t>
            </w:r>
          </w:p>
        </w:tc>
      </w:tr>
      <w:tr w:rsidR="006A68F3" w:rsidRPr="00CE4E1F" w14:paraId="0CD61A9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2F62CAD"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91CDA36" w14:textId="77777777" w:rsidR="006A68F3" w:rsidRPr="00CE4E1F" w:rsidRDefault="006A68F3" w:rsidP="00742F09">
            <w:pPr>
              <w:spacing w:line="360" w:lineRule="auto"/>
              <w:contextualSpacing/>
              <w:jc w:val="both"/>
              <w:rPr>
                <w:i/>
                <w:iCs/>
                <w:sz w:val="18"/>
                <w:szCs w:val="18"/>
              </w:rPr>
            </w:pPr>
            <w:r w:rsidRPr="00CE4E1F">
              <w:rPr>
                <w:i/>
                <w:iCs/>
                <w:sz w:val="18"/>
                <w:szCs w:val="18"/>
              </w:rPr>
              <w:t>FBLIM1</w:t>
            </w:r>
          </w:p>
        </w:tc>
        <w:tc>
          <w:tcPr>
            <w:tcW w:w="6206" w:type="dxa"/>
            <w:tcBorders>
              <w:top w:val="nil"/>
              <w:left w:val="nil"/>
              <w:bottom w:val="single" w:sz="4" w:space="0" w:color="auto"/>
              <w:right w:val="single" w:sz="4" w:space="0" w:color="auto"/>
            </w:tcBorders>
            <w:shd w:val="clear" w:color="auto" w:fill="auto"/>
            <w:noWrap/>
            <w:vAlign w:val="bottom"/>
            <w:hideMark/>
          </w:tcPr>
          <w:p w14:paraId="12EC4314" w14:textId="77777777" w:rsidR="006A68F3" w:rsidRPr="00CE4E1F" w:rsidRDefault="006A68F3" w:rsidP="00742F09">
            <w:pPr>
              <w:spacing w:line="360" w:lineRule="auto"/>
              <w:contextualSpacing/>
              <w:jc w:val="both"/>
              <w:rPr>
                <w:sz w:val="18"/>
                <w:szCs w:val="18"/>
              </w:rPr>
            </w:pPr>
            <w:r w:rsidRPr="00CE4E1F">
              <w:rPr>
                <w:sz w:val="18"/>
                <w:szCs w:val="18"/>
              </w:rPr>
              <w:t>NM_001024215.1:976</w:t>
            </w:r>
          </w:p>
        </w:tc>
      </w:tr>
      <w:tr w:rsidR="006A68F3" w:rsidRPr="00CE4E1F" w14:paraId="731AFED6"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CC7529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5B88A74" w14:textId="77777777" w:rsidR="006A68F3" w:rsidRPr="00CE4E1F" w:rsidRDefault="006A68F3" w:rsidP="00742F09">
            <w:pPr>
              <w:spacing w:line="360" w:lineRule="auto"/>
              <w:contextualSpacing/>
              <w:jc w:val="both"/>
              <w:rPr>
                <w:i/>
                <w:iCs/>
                <w:sz w:val="18"/>
                <w:szCs w:val="18"/>
              </w:rPr>
            </w:pPr>
            <w:r w:rsidRPr="00CE4E1F">
              <w:rPr>
                <w:i/>
                <w:iCs/>
                <w:sz w:val="18"/>
                <w:szCs w:val="18"/>
              </w:rPr>
              <w:t>FGF18</w:t>
            </w:r>
          </w:p>
        </w:tc>
        <w:tc>
          <w:tcPr>
            <w:tcW w:w="6206" w:type="dxa"/>
            <w:tcBorders>
              <w:top w:val="nil"/>
              <w:left w:val="nil"/>
              <w:bottom w:val="single" w:sz="4" w:space="0" w:color="auto"/>
              <w:right w:val="single" w:sz="4" w:space="0" w:color="auto"/>
            </w:tcBorders>
            <w:shd w:val="clear" w:color="auto" w:fill="auto"/>
            <w:noWrap/>
            <w:vAlign w:val="bottom"/>
            <w:hideMark/>
          </w:tcPr>
          <w:p w14:paraId="23A459F0" w14:textId="77777777" w:rsidR="006A68F3" w:rsidRPr="00CE4E1F" w:rsidRDefault="006A68F3" w:rsidP="00742F09">
            <w:pPr>
              <w:spacing w:line="360" w:lineRule="auto"/>
              <w:contextualSpacing/>
              <w:jc w:val="both"/>
              <w:rPr>
                <w:sz w:val="18"/>
                <w:szCs w:val="18"/>
              </w:rPr>
            </w:pPr>
            <w:r w:rsidRPr="00CE4E1F">
              <w:rPr>
                <w:sz w:val="18"/>
                <w:szCs w:val="18"/>
              </w:rPr>
              <w:t>NM_003862.1:850</w:t>
            </w:r>
          </w:p>
        </w:tc>
      </w:tr>
      <w:tr w:rsidR="006A68F3" w:rsidRPr="00CE4E1F" w14:paraId="55DC7743"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DAF4FD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9973EA0" w14:textId="77777777" w:rsidR="006A68F3" w:rsidRPr="00CE4E1F" w:rsidRDefault="006A68F3" w:rsidP="00742F09">
            <w:pPr>
              <w:spacing w:line="360" w:lineRule="auto"/>
              <w:contextualSpacing/>
              <w:jc w:val="both"/>
              <w:rPr>
                <w:i/>
                <w:iCs/>
                <w:sz w:val="18"/>
                <w:szCs w:val="18"/>
              </w:rPr>
            </w:pPr>
            <w:r w:rsidRPr="00CE4E1F">
              <w:rPr>
                <w:i/>
                <w:iCs/>
                <w:sz w:val="18"/>
                <w:szCs w:val="18"/>
              </w:rPr>
              <w:t>FGFR4</w:t>
            </w:r>
          </w:p>
        </w:tc>
        <w:tc>
          <w:tcPr>
            <w:tcW w:w="6206" w:type="dxa"/>
            <w:tcBorders>
              <w:top w:val="nil"/>
              <w:left w:val="nil"/>
              <w:bottom w:val="single" w:sz="4" w:space="0" w:color="auto"/>
              <w:right w:val="single" w:sz="4" w:space="0" w:color="auto"/>
            </w:tcBorders>
            <w:shd w:val="clear" w:color="auto" w:fill="auto"/>
            <w:noWrap/>
            <w:vAlign w:val="bottom"/>
            <w:hideMark/>
          </w:tcPr>
          <w:p w14:paraId="3A4A77A3" w14:textId="77777777" w:rsidR="006A68F3" w:rsidRPr="00CE4E1F" w:rsidRDefault="006A68F3" w:rsidP="00742F09">
            <w:pPr>
              <w:spacing w:line="360" w:lineRule="auto"/>
              <w:contextualSpacing/>
              <w:jc w:val="both"/>
              <w:rPr>
                <w:sz w:val="18"/>
                <w:szCs w:val="18"/>
              </w:rPr>
            </w:pPr>
            <w:r w:rsidRPr="00CE4E1F">
              <w:rPr>
                <w:sz w:val="18"/>
                <w:szCs w:val="18"/>
              </w:rPr>
              <w:t>NM_002011.3:1585</w:t>
            </w:r>
          </w:p>
        </w:tc>
      </w:tr>
      <w:tr w:rsidR="006A68F3" w:rsidRPr="00CE4E1F" w14:paraId="4FF4F8F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5D83762"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2D16F9C" w14:textId="77777777" w:rsidR="006A68F3" w:rsidRPr="00CE4E1F" w:rsidRDefault="006A68F3" w:rsidP="00742F09">
            <w:pPr>
              <w:spacing w:line="360" w:lineRule="auto"/>
              <w:contextualSpacing/>
              <w:jc w:val="both"/>
              <w:rPr>
                <w:i/>
                <w:iCs/>
                <w:sz w:val="18"/>
                <w:szCs w:val="18"/>
              </w:rPr>
            </w:pPr>
            <w:r w:rsidRPr="00CE4E1F">
              <w:rPr>
                <w:i/>
                <w:iCs/>
                <w:sz w:val="18"/>
                <w:szCs w:val="18"/>
              </w:rPr>
              <w:t>FGR</w:t>
            </w:r>
          </w:p>
        </w:tc>
        <w:tc>
          <w:tcPr>
            <w:tcW w:w="6206" w:type="dxa"/>
            <w:tcBorders>
              <w:top w:val="nil"/>
              <w:left w:val="nil"/>
              <w:bottom w:val="single" w:sz="4" w:space="0" w:color="auto"/>
              <w:right w:val="single" w:sz="4" w:space="0" w:color="auto"/>
            </w:tcBorders>
            <w:shd w:val="clear" w:color="auto" w:fill="auto"/>
            <w:noWrap/>
            <w:vAlign w:val="bottom"/>
            <w:hideMark/>
          </w:tcPr>
          <w:p w14:paraId="47B398AD" w14:textId="77777777" w:rsidR="006A68F3" w:rsidRPr="00CE4E1F" w:rsidRDefault="006A68F3" w:rsidP="00742F09">
            <w:pPr>
              <w:spacing w:line="360" w:lineRule="auto"/>
              <w:contextualSpacing/>
              <w:jc w:val="both"/>
              <w:rPr>
                <w:sz w:val="18"/>
                <w:szCs w:val="18"/>
              </w:rPr>
            </w:pPr>
            <w:r w:rsidRPr="00CE4E1F">
              <w:rPr>
                <w:sz w:val="18"/>
                <w:szCs w:val="18"/>
              </w:rPr>
              <w:t>NM_001042747.1:890</w:t>
            </w:r>
          </w:p>
        </w:tc>
      </w:tr>
      <w:tr w:rsidR="006A68F3" w:rsidRPr="00CE4E1F" w14:paraId="30111C5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4010171"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5A1055F" w14:textId="77777777" w:rsidR="006A68F3" w:rsidRPr="00CE4E1F" w:rsidRDefault="006A68F3" w:rsidP="00742F09">
            <w:pPr>
              <w:spacing w:line="360" w:lineRule="auto"/>
              <w:contextualSpacing/>
              <w:jc w:val="both"/>
              <w:rPr>
                <w:i/>
                <w:iCs/>
                <w:sz w:val="18"/>
                <w:szCs w:val="18"/>
              </w:rPr>
            </w:pPr>
            <w:r w:rsidRPr="00CE4E1F">
              <w:rPr>
                <w:i/>
                <w:iCs/>
                <w:sz w:val="18"/>
                <w:szCs w:val="18"/>
              </w:rPr>
              <w:t>FLT1</w:t>
            </w:r>
          </w:p>
        </w:tc>
        <w:tc>
          <w:tcPr>
            <w:tcW w:w="6206" w:type="dxa"/>
            <w:tcBorders>
              <w:top w:val="nil"/>
              <w:left w:val="nil"/>
              <w:bottom w:val="single" w:sz="4" w:space="0" w:color="auto"/>
              <w:right w:val="single" w:sz="4" w:space="0" w:color="auto"/>
            </w:tcBorders>
            <w:shd w:val="clear" w:color="auto" w:fill="auto"/>
            <w:noWrap/>
            <w:vAlign w:val="bottom"/>
            <w:hideMark/>
          </w:tcPr>
          <w:p w14:paraId="7D57E5A0" w14:textId="77777777" w:rsidR="006A68F3" w:rsidRPr="00CE4E1F" w:rsidRDefault="006A68F3" w:rsidP="00742F09">
            <w:pPr>
              <w:spacing w:line="360" w:lineRule="auto"/>
              <w:contextualSpacing/>
              <w:jc w:val="both"/>
              <w:rPr>
                <w:sz w:val="18"/>
                <w:szCs w:val="18"/>
              </w:rPr>
            </w:pPr>
            <w:r w:rsidRPr="00CE4E1F">
              <w:rPr>
                <w:sz w:val="18"/>
                <w:szCs w:val="18"/>
              </w:rPr>
              <w:t>NM_002019.4:530</w:t>
            </w:r>
          </w:p>
        </w:tc>
      </w:tr>
      <w:tr w:rsidR="006A68F3" w:rsidRPr="00CE4E1F" w14:paraId="10EB88AF"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B792121"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0F8BB91" w14:textId="77777777" w:rsidR="006A68F3" w:rsidRPr="00CE4E1F" w:rsidRDefault="006A68F3" w:rsidP="00742F09">
            <w:pPr>
              <w:spacing w:line="360" w:lineRule="auto"/>
              <w:contextualSpacing/>
              <w:jc w:val="both"/>
              <w:rPr>
                <w:i/>
                <w:iCs/>
                <w:sz w:val="18"/>
                <w:szCs w:val="18"/>
              </w:rPr>
            </w:pPr>
            <w:r w:rsidRPr="00CE4E1F">
              <w:rPr>
                <w:i/>
                <w:iCs/>
                <w:sz w:val="18"/>
                <w:szCs w:val="18"/>
              </w:rPr>
              <w:t>FOXK2</w:t>
            </w:r>
          </w:p>
        </w:tc>
        <w:tc>
          <w:tcPr>
            <w:tcW w:w="6206" w:type="dxa"/>
            <w:tcBorders>
              <w:top w:val="nil"/>
              <w:left w:val="nil"/>
              <w:bottom w:val="single" w:sz="4" w:space="0" w:color="auto"/>
              <w:right w:val="single" w:sz="4" w:space="0" w:color="auto"/>
            </w:tcBorders>
            <w:shd w:val="clear" w:color="auto" w:fill="auto"/>
            <w:noWrap/>
            <w:vAlign w:val="bottom"/>
            <w:hideMark/>
          </w:tcPr>
          <w:p w14:paraId="31407594" w14:textId="77777777" w:rsidR="006A68F3" w:rsidRPr="00CE4E1F" w:rsidRDefault="006A68F3" w:rsidP="00742F09">
            <w:pPr>
              <w:spacing w:line="360" w:lineRule="auto"/>
              <w:contextualSpacing/>
              <w:jc w:val="both"/>
              <w:rPr>
                <w:sz w:val="18"/>
                <w:szCs w:val="18"/>
              </w:rPr>
            </w:pPr>
            <w:r w:rsidRPr="00CE4E1F">
              <w:rPr>
                <w:sz w:val="18"/>
                <w:szCs w:val="18"/>
              </w:rPr>
              <w:t>NM_004514.3:4220</w:t>
            </w:r>
          </w:p>
        </w:tc>
      </w:tr>
      <w:tr w:rsidR="006A68F3" w:rsidRPr="00CE4E1F" w14:paraId="2416099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6E753D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388A776" w14:textId="77777777" w:rsidR="006A68F3" w:rsidRPr="00CE4E1F" w:rsidRDefault="006A68F3" w:rsidP="00742F09">
            <w:pPr>
              <w:spacing w:line="360" w:lineRule="auto"/>
              <w:contextualSpacing/>
              <w:jc w:val="both"/>
              <w:rPr>
                <w:i/>
                <w:iCs/>
                <w:sz w:val="18"/>
                <w:szCs w:val="18"/>
              </w:rPr>
            </w:pPr>
            <w:r w:rsidRPr="00CE4E1F">
              <w:rPr>
                <w:i/>
                <w:iCs/>
                <w:sz w:val="18"/>
                <w:szCs w:val="18"/>
              </w:rPr>
              <w:t>FOXM1</w:t>
            </w:r>
          </w:p>
        </w:tc>
        <w:tc>
          <w:tcPr>
            <w:tcW w:w="6206" w:type="dxa"/>
            <w:tcBorders>
              <w:top w:val="nil"/>
              <w:left w:val="nil"/>
              <w:bottom w:val="single" w:sz="4" w:space="0" w:color="auto"/>
              <w:right w:val="single" w:sz="4" w:space="0" w:color="auto"/>
            </w:tcBorders>
            <w:shd w:val="clear" w:color="auto" w:fill="auto"/>
            <w:noWrap/>
            <w:vAlign w:val="bottom"/>
            <w:hideMark/>
          </w:tcPr>
          <w:p w14:paraId="0C8D4ED5" w14:textId="77777777" w:rsidR="006A68F3" w:rsidRPr="00CE4E1F" w:rsidRDefault="006A68F3" w:rsidP="00742F09">
            <w:pPr>
              <w:spacing w:line="360" w:lineRule="auto"/>
              <w:contextualSpacing/>
              <w:jc w:val="both"/>
              <w:rPr>
                <w:sz w:val="18"/>
                <w:szCs w:val="18"/>
              </w:rPr>
            </w:pPr>
            <w:r w:rsidRPr="00CE4E1F">
              <w:rPr>
                <w:sz w:val="18"/>
                <w:szCs w:val="18"/>
              </w:rPr>
              <w:t>NM_202002.1:1000</w:t>
            </w:r>
          </w:p>
        </w:tc>
      </w:tr>
      <w:tr w:rsidR="006A68F3" w:rsidRPr="00CE4E1F" w14:paraId="28B41B72"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C7B8367"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96D0F8A" w14:textId="77777777" w:rsidR="006A68F3" w:rsidRPr="00CE4E1F" w:rsidRDefault="006A68F3" w:rsidP="00742F09">
            <w:pPr>
              <w:spacing w:line="360" w:lineRule="auto"/>
              <w:contextualSpacing/>
              <w:jc w:val="both"/>
              <w:rPr>
                <w:i/>
                <w:iCs/>
                <w:sz w:val="18"/>
                <w:szCs w:val="18"/>
              </w:rPr>
            </w:pPr>
            <w:r w:rsidRPr="00CE4E1F">
              <w:rPr>
                <w:i/>
                <w:iCs/>
                <w:sz w:val="18"/>
                <w:szCs w:val="18"/>
              </w:rPr>
              <w:t>GAS1</w:t>
            </w:r>
          </w:p>
        </w:tc>
        <w:tc>
          <w:tcPr>
            <w:tcW w:w="6206" w:type="dxa"/>
            <w:tcBorders>
              <w:top w:val="nil"/>
              <w:left w:val="nil"/>
              <w:bottom w:val="single" w:sz="4" w:space="0" w:color="auto"/>
              <w:right w:val="single" w:sz="4" w:space="0" w:color="auto"/>
            </w:tcBorders>
            <w:shd w:val="clear" w:color="auto" w:fill="auto"/>
            <w:noWrap/>
            <w:vAlign w:val="bottom"/>
            <w:hideMark/>
          </w:tcPr>
          <w:p w14:paraId="57F9E431" w14:textId="77777777" w:rsidR="006A68F3" w:rsidRPr="00CE4E1F" w:rsidRDefault="006A68F3" w:rsidP="00742F09">
            <w:pPr>
              <w:spacing w:line="360" w:lineRule="auto"/>
              <w:contextualSpacing/>
              <w:jc w:val="both"/>
              <w:rPr>
                <w:sz w:val="18"/>
                <w:szCs w:val="18"/>
              </w:rPr>
            </w:pPr>
            <w:r w:rsidRPr="00CE4E1F">
              <w:rPr>
                <w:sz w:val="18"/>
                <w:szCs w:val="18"/>
              </w:rPr>
              <w:t>NM_002048.2:1525</w:t>
            </w:r>
          </w:p>
        </w:tc>
      </w:tr>
      <w:tr w:rsidR="006A68F3" w:rsidRPr="00CE4E1F" w14:paraId="38E6B60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08DB09E"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6BD6CD2" w14:textId="77777777" w:rsidR="006A68F3" w:rsidRPr="00CE4E1F" w:rsidRDefault="006A68F3" w:rsidP="00742F09">
            <w:pPr>
              <w:spacing w:line="360" w:lineRule="auto"/>
              <w:contextualSpacing/>
              <w:jc w:val="both"/>
              <w:rPr>
                <w:i/>
                <w:iCs/>
                <w:sz w:val="18"/>
                <w:szCs w:val="18"/>
              </w:rPr>
            </w:pPr>
            <w:r w:rsidRPr="00CE4E1F">
              <w:rPr>
                <w:i/>
                <w:iCs/>
                <w:sz w:val="18"/>
                <w:szCs w:val="18"/>
              </w:rPr>
              <w:t>GATA3</w:t>
            </w:r>
          </w:p>
        </w:tc>
        <w:tc>
          <w:tcPr>
            <w:tcW w:w="6206" w:type="dxa"/>
            <w:tcBorders>
              <w:top w:val="nil"/>
              <w:left w:val="nil"/>
              <w:bottom w:val="single" w:sz="4" w:space="0" w:color="auto"/>
              <w:right w:val="single" w:sz="4" w:space="0" w:color="auto"/>
            </w:tcBorders>
            <w:shd w:val="clear" w:color="auto" w:fill="auto"/>
            <w:noWrap/>
            <w:vAlign w:val="bottom"/>
            <w:hideMark/>
          </w:tcPr>
          <w:p w14:paraId="5C04A2CF" w14:textId="77777777" w:rsidR="006A68F3" w:rsidRPr="00CE4E1F" w:rsidRDefault="006A68F3" w:rsidP="00742F09">
            <w:pPr>
              <w:spacing w:line="360" w:lineRule="auto"/>
              <w:contextualSpacing/>
              <w:jc w:val="both"/>
              <w:rPr>
                <w:sz w:val="18"/>
                <w:szCs w:val="18"/>
              </w:rPr>
            </w:pPr>
            <w:r w:rsidRPr="00CE4E1F">
              <w:rPr>
                <w:sz w:val="18"/>
                <w:szCs w:val="18"/>
              </w:rPr>
              <w:t>NM_001002295.1:1691</w:t>
            </w:r>
          </w:p>
        </w:tc>
      </w:tr>
      <w:tr w:rsidR="006A68F3" w:rsidRPr="00CE4E1F" w14:paraId="7642BF19"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5E28B7B"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F0DAC19" w14:textId="77777777" w:rsidR="006A68F3" w:rsidRPr="00CE4E1F" w:rsidRDefault="006A68F3" w:rsidP="00742F09">
            <w:pPr>
              <w:spacing w:line="360" w:lineRule="auto"/>
              <w:contextualSpacing/>
              <w:jc w:val="both"/>
              <w:rPr>
                <w:i/>
                <w:iCs/>
                <w:sz w:val="18"/>
                <w:szCs w:val="18"/>
              </w:rPr>
            </w:pPr>
            <w:r w:rsidRPr="00CE4E1F">
              <w:rPr>
                <w:i/>
                <w:iCs/>
                <w:sz w:val="18"/>
                <w:szCs w:val="18"/>
              </w:rPr>
              <w:t>GPHA2</w:t>
            </w:r>
          </w:p>
        </w:tc>
        <w:tc>
          <w:tcPr>
            <w:tcW w:w="6206" w:type="dxa"/>
            <w:tcBorders>
              <w:top w:val="nil"/>
              <w:left w:val="nil"/>
              <w:bottom w:val="single" w:sz="4" w:space="0" w:color="auto"/>
              <w:right w:val="single" w:sz="4" w:space="0" w:color="auto"/>
            </w:tcBorders>
            <w:shd w:val="clear" w:color="auto" w:fill="auto"/>
            <w:noWrap/>
            <w:vAlign w:val="bottom"/>
            <w:hideMark/>
          </w:tcPr>
          <w:p w14:paraId="2A9020B0" w14:textId="77777777" w:rsidR="006A68F3" w:rsidRPr="00CE4E1F" w:rsidRDefault="006A68F3" w:rsidP="00742F09">
            <w:pPr>
              <w:spacing w:line="360" w:lineRule="auto"/>
              <w:contextualSpacing/>
              <w:jc w:val="both"/>
              <w:rPr>
                <w:sz w:val="18"/>
                <w:szCs w:val="18"/>
              </w:rPr>
            </w:pPr>
            <w:r w:rsidRPr="00CE4E1F">
              <w:rPr>
                <w:sz w:val="18"/>
                <w:szCs w:val="18"/>
              </w:rPr>
              <w:t>NM_130769.3:274</w:t>
            </w:r>
          </w:p>
        </w:tc>
      </w:tr>
      <w:tr w:rsidR="006A68F3" w:rsidRPr="00CE4E1F" w14:paraId="7BCB5F73"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9AA2700"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FA73432" w14:textId="77777777" w:rsidR="006A68F3" w:rsidRPr="00CE4E1F" w:rsidRDefault="006A68F3" w:rsidP="00742F09">
            <w:pPr>
              <w:spacing w:line="360" w:lineRule="auto"/>
              <w:contextualSpacing/>
              <w:jc w:val="both"/>
              <w:rPr>
                <w:i/>
                <w:iCs/>
                <w:sz w:val="18"/>
                <w:szCs w:val="18"/>
              </w:rPr>
            </w:pPr>
            <w:r w:rsidRPr="00CE4E1F">
              <w:rPr>
                <w:i/>
                <w:iCs/>
                <w:sz w:val="18"/>
                <w:szCs w:val="18"/>
              </w:rPr>
              <w:t>IFNGR1</w:t>
            </w:r>
          </w:p>
        </w:tc>
        <w:tc>
          <w:tcPr>
            <w:tcW w:w="6206" w:type="dxa"/>
            <w:tcBorders>
              <w:top w:val="nil"/>
              <w:left w:val="nil"/>
              <w:bottom w:val="single" w:sz="4" w:space="0" w:color="auto"/>
              <w:right w:val="single" w:sz="4" w:space="0" w:color="auto"/>
            </w:tcBorders>
            <w:shd w:val="clear" w:color="auto" w:fill="auto"/>
            <w:noWrap/>
            <w:vAlign w:val="bottom"/>
            <w:hideMark/>
          </w:tcPr>
          <w:p w14:paraId="1C8A2C1F" w14:textId="77777777" w:rsidR="006A68F3" w:rsidRPr="00CE4E1F" w:rsidRDefault="006A68F3" w:rsidP="00742F09">
            <w:pPr>
              <w:spacing w:line="360" w:lineRule="auto"/>
              <w:contextualSpacing/>
              <w:jc w:val="both"/>
              <w:rPr>
                <w:sz w:val="18"/>
                <w:szCs w:val="18"/>
              </w:rPr>
            </w:pPr>
            <w:r w:rsidRPr="00CE4E1F">
              <w:rPr>
                <w:sz w:val="18"/>
                <w:szCs w:val="18"/>
              </w:rPr>
              <w:t>NM_000416.1:1140</w:t>
            </w:r>
          </w:p>
        </w:tc>
      </w:tr>
      <w:tr w:rsidR="006A68F3" w:rsidRPr="00CE4E1F" w14:paraId="50AB3FA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419B5D7"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961C4B6" w14:textId="77777777" w:rsidR="006A68F3" w:rsidRPr="00CE4E1F" w:rsidRDefault="006A68F3" w:rsidP="00742F09">
            <w:pPr>
              <w:spacing w:line="360" w:lineRule="auto"/>
              <w:contextualSpacing/>
              <w:jc w:val="both"/>
              <w:rPr>
                <w:i/>
                <w:iCs/>
                <w:sz w:val="18"/>
                <w:szCs w:val="18"/>
              </w:rPr>
            </w:pPr>
            <w:r w:rsidRPr="00CE4E1F">
              <w:rPr>
                <w:i/>
                <w:iCs/>
                <w:sz w:val="18"/>
                <w:szCs w:val="18"/>
              </w:rPr>
              <w:t>IGF2</w:t>
            </w:r>
          </w:p>
        </w:tc>
        <w:tc>
          <w:tcPr>
            <w:tcW w:w="6206" w:type="dxa"/>
            <w:tcBorders>
              <w:top w:val="nil"/>
              <w:left w:val="nil"/>
              <w:bottom w:val="single" w:sz="4" w:space="0" w:color="auto"/>
              <w:right w:val="single" w:sz="4" w:space="0" w:color="auto"/>
            </w:tcBorders>
            <w:shd w:val="clear" w:color="auto" w:fill="auto"/>
            <w:noWrap/>
            <w:vAlign w:val="bottom"/>
            <w:hideMark/>
          </w:tcPr>
          <w:p w14:paraId="26C43829" w14:textId="77777777" w:rsidR="006A68F3" w:rsidRPr="00CE4E1F" w:rsidRDefault="006A68F3" w:rsidP="00742F09">
            <w:pPr>
              <w:spacing w:line="360" w:lineRule="auto"/>
              <w:contextualSpacing/>
              <w:jc w:val="both"/>
              <w:rPr>
                <w:sz w:val="18"/>
                <w:szCs w:val="18"/>
              </w:rPr>
            </w:pPr>
            <w:r w:rsidRPr="00CE4E1F">
              <w:rPr>
                <w:sz w:val="18"/>
                <w:szCs w:val="18"/>
              </w:rPr>
              <w:t>NM_000612.4:765</w:t>
            </w:r>
          </w:p>
        </w:tc>
      </w:tr>
      <w:tr w:rsidR="006A68F3" w:rsidRPr="00CE4E1F" w14:paraId="4818A48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4B5E3CD"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0F10C28" w14:textId="77777777" w:rsidR="006A68F3" w:rsidRPr="00CE4E1F" w:rsidRDefault="006A68F3" w:rsidP="00742F09">
            <w:pPr>
              <w:spacing w:line="360" w:lineRule="auto"/>
              <w:contextualSpacing/>
              <w:jc w:val="both"/>
              <w:rPr>
                <w:i/>
                <w:iCs/>
                <w:sz w:val="18"/>
                <w:szCs w:val="18"/>
              </w:rPr>
            </w:pPr>
            <w:r w:rsidRPr="00CE4E1F">
              <w:rPr>
                <w:i/>
                <w:iCs/>
                <w:sz w:val="18"/>
                <w:szCs w:val="18"/>
              </w:rPr>
              <w:t>KDR</w:t>
            </w:r>
          </w:p>
        </w:tc>
        <w:tc>
          <w:tcPr>
            <w:tcW w:w="6206" w:type="dxa"/>
            <w:tcBorders>
              <w:top w:val="nil"/>
              <w:left w:val="nil"/>
              <w:bottom w:val="single" w:sz="4" w:space="0" w:color="auto"/>
              <w:right w:val="single" w:sz="4" w:space="0" w:color="auto"/>
            </w:tcBorders>
            <w:shd w:val="clear" w:color="auto" w:fill="auto"/>
            <w:noWrap/>
            <w:vAlign w:val="bottom"/>
            <w:hideMark/>
          </w:tcPr>
          <w:p w14:paraId="1A6C4ED3" w14:textId="77777777" w:rsidR="006A68F3" w:rsidRPr="00CE4E1F" w:rsidRDefault="006A68F3" w:rsidP="00742F09">
            <w:pPr>
              <w:spacing w:line="360" w:lineRule="auto"/>
              <w:contextualSpacing/>
              <w:jc w:val="both"/>
              <w:rPr>
                <w:sz w:val="18"/>
                <w:szCs w:val="18"/>
              </w:rPr>
            </w:pPr>
            <w:r w:rsidRPr="00CE4E1F">
              <w:rPr>
                <w:sz w:val="18"/>
                <w:szCs w:val="18"/>
              </w:rPr>
              <w:t>NM_002253.2:1420</w:t>
            </w:r>
          </w:p>
        </w:tc>
      </w:tr>
      <w:tr w:rsidR="006A68F3" w:rsidRPr="00CE4E1F" w14:paraId="569556CC"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46CD1DD"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DBC1109" w14:textId="77777777" w:rsidR="006A68F3" w:rsidRPr="00CE4E1F" w:rsidRDefault="006A68F3" w:rsidP="00742F09">
            <w:pPr>
              <w:spacing w:line="360" w:lineRule="auto"/>
              <w:contextualSpacing/>
              <w:jc w:val="both"/>
              <w:rPr>
                <w:i/>
                <w:iCs/>
                <w:sz w:val="18"/>
                <w:szCs w:val="18"/>
              </w:rPr>
            </w:pPr>
            <w:r w:rsidRPr="00CE4E1F">
              <w:rPr>
                <w:i/>
                <w:iCs/>
                <w:sz w:val="18"/>
                <w:szCs w:val="18"/>
              </w:rPr>
              <w:t>KIF14</w:t>
            </w:r>
          </w:p>
        </w:tc>
        <w:tc>
          <w:tcPr>
            <w:tcW w:w="6206" w:type="dxa"/>
            <w:tcBorders>
              <w:top w:val="nil"/>
              <w:left w:val="nil"/>
              <w:bottom w:val="single" w:sz="4" w:space="0" w:color="auto"/>
              <w:right w:val="single" w:sz="4" w:space="0" w:color="auto"/>
            </w:tcBorders>
            <w:shd w:val="clear" w:color="auto" w:fill="auto"/>
            <w:noWrap/>
            <w:vAlign w:val="bottom"/>
            <w:hideMark/>
          </w:tcPr>
          <w:p w14:paraId="02E64297" w14:textId="77777777" w:rsidR="006A68F3" w:rsidRPr="00CE4E1F" w:rsidRDefault="006A68F3" w:rsidP="00742F09">
            <w:pPr>
              <w:spacing w:line="360" w:lineRule="auto"/>
              <w:contextualSpacing/>
              <w:jc w:val="both"/>
              <w:rPr>
                <w:sz w:val="18"/>
                <w:szCs w:val="18"/>
              </w:rPr>
            </w:pPr>
            <w:r w:rsidRPr="00CE4E1F">
              <w:rPr>
                <w:sz w:val="18"/>
                <w:szCs w:val="18"/>
              </w:rPr>
              <w:t>NM_014875.2:4335</w:t>
            </w:r>
          </w:p>
        </w:tc>
      </w:tr>
      <w:tr w:rsidR="006A68F3" w:rsidRPr="00CE4E1F" w14:paraId="7B4D823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A2FB5F1"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363A342" w14:textId="77777777" w:rsidR="006A68F3" w:rsidRPr="00CE4E1F" w:rsidRDefault="006A68F3" w:rsidP="00742F09">
            <w:pPr>
              <w:spacing w:line="360" w:lineRule="auto"/>
              <w:contextualSpacing/>
              <w:jc w:val="both"/>
              <w:rPr>
                <w:i/>
                <w:iCs/>
                <w:sz w:val="18"/>
                <w:szCs w:val="18"/>
              </w:rPr>
            </w:pPr>
            <w:r w:rsidRPr="00CE4E1F">
              <w:rPr>
                <w:i/>
                <w:iCs/>
                <w:sz w:val="18"/>
                <w:szCs w:val="18"/>
              </w:rPr>
              <w:t>KIF20A</w:t>
            </w:r>
          </w:p>
        </w:tc>
        <w:tc>
          <w:tcPr>
            <w:tcW w:w="6206" w:type="dxa"/>
            <w:tcBorders>
              <w:top w:val="nil"/>
              <w:left w:val="nil"/>
              <w:bottom w:val="single" w:sz="4" w:space="0" w:color="auto"/>
              <w:right w:val="single" w:sz="4" w:space="0" w:color="auto"/>
            </w:tcBorders>
            <w:shd w:val="clear" w:color="auto" w:fill="auto"/>
            <w:noWrap/>
            <w:vAlign w:val="bottom"/>
            <w:hideMark/>
          </w:tcPr>
          <w:p w14:paraId="307B0A79" w14:textId="77777777" w:rsidR="006A68F3" w:rsidRPr="00CE4E1F" w:rsidRDefault="006A68F3" w:rsidP="00742F09">
            <w:pPr>
              <w:spacing w:line="360" w:lineRule="auto"/>
              <w:contextualSpacing/>
              <w:jc w:val="both"/>
              <w:rPr>
                <w:sz w:val="18"/>
                <w:szCs w:val="18"/>
              </w:rPr>
            </w:pPr>
            <w:r w:rsidRPr="00CE4E1F">
              <w:rPr>
                <w:sz w:val="18"/>
                <w:szCs w:val="18"/>
              </w:rPr>
              <w:t>NM_005733.2:1209</w:t>
            </w:r>
          </w:p>
        </w:tc>
      </w:tr>
      <w:tr w:rsidR="006A68F3" w:rsidRPr="00CE4E1F" w14:paraId="1A06723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7899C5F"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540D66F" w14:textId="77777777" w:rsidR="006A68F3" w:rsidRPr="00CE4E1F" w:rsidRDefault="006A68F3" w:rsidP="00742F09">
            <w:pPr>
              <w:spacing w:line="360" w:lineRule="auto"/>
              <w:contextualSpacing/>
              <w:jc w:val="both"/>
              <w:rPr>
                <w:i/>
                <w:iCs/>
                <w:sz w:val="18"/>
                <w:szCs w:val="18"/>
              </w:rPr>
            </w:pPr>
            <w:r w:rsidRPr="00CE4E1F">
              <w:rPr>
                <w:i/>
                <w:iCs/>
                <w:sz w:val="18"/>
                <w:szCs w:val="18"/>
              </w:rPr>
              <w:t>KRT14</w:t>
            </w:r>
          </w:p>
        </w:tc>
        <w:tc>
          <w:tcPr>
            <w:tcW w:w="6206" w:type="dxa"/>
            <w:tcBorders>
              <w:top w:val="nil"/>
              <w:left w:val="nil"/>
              <w:bottom w:val="single" w:sz="4" w:space="0" w:color="auto"/>
              <w:right w:val="single" w:sz="4" w:space="0" w:color="auto"/>
            </w:tcBorders>
            <w:shd w:val="clear" w:color="auto" w:fill="auto"/>
            <w:noWrap/>
            <w:vAlign w:val="bottom"/>
            <w:hideMark/>
          </w:tcPr>
          <w:p w14:paraId="436F25B5" w14:textId="77777777" w:rsidR="006A68F3" w:rsidRPr="00CE4E1F" w:rsidRDefault="006A68F3" w:rsidP="00742F09">
            <w:pPr>
              <w:spacing w:line="360" w:lineRule="auto"/>
              <w:contextualSpacing/>
              <w:jc w:val="both"/>
              <w:rPr>
                <w:sz w:val="18"/>
                <w:szCs w:val="18"/>
              </w:rPr>
            </w:pPr>
            <w:r w:rsidRPr="00CE4E1F">
              <w:rPr>
                <w:sz w:val="18"/>
                <w:szCs w:val="18"/>
              </w:rPr>
              <w:t>NM_000526.4:523</w:t>
            </w:r>
          </w:p>
        </w:tc>
      </w:tr>
      <w:tr w:rsidR="006A68F3" w:rsidRPr="00CE4E1F" w14:paraId="778A4C93"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4594DB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106A710" w14:textId="77777777" w:rsidR="006A68F3" w:rsidRPr="00CE4E1F" w:rsidRDefault="006A68F3" w:rsidP="00742F09">
            <w:pPr>
              <w:spacing w:line="360" w:lineRule="auto"/>
              <w:contextualSpacing/>
              <w:jc w:val="both"/>
              <w:rPr>
                <w:i/>
                <w:iCs/>
                <w:sz w:val="18"/>
                <w:szCs w:val="18"/>
              </w:rPr>
            </w:pPr>
            <w:r w:rsidRPr="00CE4E1F">
              <w:rPr>
                <w:i/>
                <w:iCs/>
                <w:sz w:val="18"/>
                <w:szCs w:val="18"/>
              </w:rPr>
              <w:t>L1CAM</w:t>
            </w:r>
          </w:p>
        </w:tc>
        <w:tc>
          <w:tcPr>
            <w:tcW w:w="6206" w:type="dxa"/>
            <w:tcBorders>
              <w:top w:val="nil"/>
              <w:left w:val="nil"/>
              <w:bottom w:val="single" w:sz="4" w:space="0" w:color="auto"/>
              <w:right w:val="single" w:sz="4" w:space="0" w:color="auto"/>
            </w:tcBorders>
            <w:shd w:val="clear" w:color="auto" w:fill="auto"/>
            <w:noWrap/>
            <w:vAlign w:val="bottom"/>
            <w:hideMark/>
          </w:tcPr>
          <w:p w14:paraId="27440541" w14:textId="77777777" w:rsidR="006A68F3" w:rsidRPr="00CE4E1F" w:rsidRDefault="006A68F3" w:rsidP="00742F09">
            <w:pPr>
              <w:spacing w:line="360" w:lineRule="auto"/>
              <w:contextualSpacing/>
              <w:jc w:val="both"/>
              <w:rPr>
                <w:sz w:val="18"/>
                <w:szCs w:val="18"/>
              </w:rPr>
            </w:pPr>
            <w:r w:rsidRPr="00CE4E1F">
              <w:rPr>
                <w:sz w:val="18"/>
                <w:szCs w:val="18"/>
              </w:rPr>
              <w:t>NM_024003.2:3240</w:t>
            </w:r>
          </w:p>
        </w:tc>
      </w:tr>
      <w:tr w:rsidR="006A68F3" w:rsidRPr="00CE4E1F" w14:paraId="4BAE1FEA"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FA8ABED"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4D854C6" w14:textId="77777777" w:rsidR="006A68F3" w:rsidRPr="00CE4E1F" w:rsidRDefault="006A68F3" w:rsidP="00742F09">
            <w:pPr>
              <w:spacing w:line="360" w:lineRule="auto"/>
              <w:contextualSpacing/>
              <w:jc w:val="both"/>
              <w:rPr>
                <w:i/>
                <w:iCs/>
                <w:sz w:val="18"/>
                <w:szCs w:val="18"/>
              </w:rPr>
            </w:pPr>
            <w:r w:rsidRPr="00CE4E1F">
              <w:rPr>
                <w:i/>
                <w:iCs/>
                <w:sz w:val="18"/>
                <w:szCs w:val="18"/>
              </w:rPr>
              <w:t>LINC02593</w:t>
            </w:r>
          </w:p>
        </w:tc>
        <w:tc>
          <w:tcPr>
            <w:tcW w:w="6206" w:type="dxa"/>
            <w:tcBorders>
              <w:top w:val="nil"/>
              <w:left w:val="nil"/>
              <w:bottom w:val="single" w:sz="4" w:space="0" w:color="auto"/>
              <w:right w:val="single" w:sz="4" w:space="0" w:color="auto"/>
            </w:tcBorders>
            <w:shd w:val="clear" w:color="auto" w:fill="auto"/>
            <w:noWrap/>
            <w:vAlign w:val="bottom"/>
            <w:hideMark/>
          </w:tcPr>
          <w:p w14:paraId="0A391A2E" w14:textId="77777777" w:rsidR="006A68F3" w:rsidRPr="00CE4E1F" w:rsidRDefault="006A68F3" w:rsidP="00742F09">
            <w:pPr>
              <w:spacing w:line="360" w:lineRule="auto"/>
              <w:contextualSpacing/>
              <w:jc w:val="both"/>
              <w:rPr>
                <w:sz w:val="18"/>
                <w:szCs w:val="18"/>
              </w:rPr>
            </w:pPr>
            <w:r w:rsidRPr="00CE4E1F">
              <w:rPr>
                <w:sz w:val="18"/>
                <w:szCs w:val="18"/>
              </w:rPr>
              <w:t>NR_026874.2:685</w:t>
            </w:r>
          </w:p>
        </w:tc>
      </w:tr>
      <w:tr w:rsidR="006A68F3" w:rsidRPr="00CE4E1F" w14:paraId="4FBAC8C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20B3F9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493F0DB" w14:textId="77777777" w:rsidR="006A68F3" w:rsidRPr="00CE4E1F" w:rsidRDefault="006A68F3" w:rsidP="00742F09">
            <w:pPr>
              <w:spacing w:line="360" w:lineRule="auto"/>
              <w:contextualSpacing/>
              <w:jc w:val="both"/>
              <w:rPr>
                <w:i/>
                <w:iCs/>
                <w:sz w:val="18"/>
                <w:szCs w:val="18"/>
              </w:rPr>
            </w:pPr>
            <w:r w:rsidRPr="00CE4E1F">
              <w:rPr>
                <w:i/>
                <w:iCs/>
                <w:sz w:val="18"/>
                <w:szCs w:val="18"/>
              </w:rPr>
              <w:t>LYVE1</w:t>
            </w:r>
          </w:p>
        </w:tc>
        <w:tc>
          <w:tcPr>
            <w:tcW w:w="6206" w:type="dxa"/>
            <w:tcBorders>
              <w:top w:val="nil"/>
              <w:left w:val="nil"/>
              <w:bottom w:val="single" w:sz="4" w:space="0" w:color="auto"/>
              <w:right w:val="single" w:sz="4" w:space="0" w:color="auto"/>
            </w:tcBorders>
            <w:shd w:val="clear" w:color="auto" w:fill="auto"/>
            <w:noWrap/>
            <w:vAlign w:val="bottom"/>
            <w:hideMark/>
          </w:tcPr>
          <w:p w14:paraId="2A8BC96B" w14:textId="77777777" w:rsidR="006A68F3" w:rsidRPr="00CE4E1F" w:rsidRDefault="006A68F3" w:rsidP="00742F09">
            <w:pPr>
              <w:spacing w:line="360" w:lineRule="auto"/>
              <w:contextualSpacing/>
              <w:jc w:val="both"/>
              <w:rPr>
                <w:sz w:val="18"/>
                <w:szCs w:val="18"/>
              </w:rPr>
            </w:pPr>
            <w:r w:rsidRPr="00CE4E1F">
              <w:rPr>
                <w:sz w:val="18"/>
                <w:szCs w:val="18"/>
              </w:rPr>
              <w:t>NM_006691.3:1422</w:t>
            </w:r>
          </w:p>
        </w:tc>
      </w:tr>
      <w:tr w:rsidR="006A68F3" w:rsidRPr="00CE4E1F" w14:paraId="1B6A40F7"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BB4D83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3D703ED" w14:textId="77777777" w:rsidR="006A68F3" w:rsidRPr="00CE4E1F" w:rsidRDefault="006A68F3" w:rsidP="00742F09">
            <w:pPr>
              <w:spacing w:line="360" w:lineRule="auto"/>
              <w:contextualSpacing/>
              <w:jc w:val="both"/>
              <w:rPr>
                <w:i/>
                <w:iCs/>
                <w:sz w:val="18"/>
                <w:szCs w:val="18"/>
              </w:rPr>
            </w:pPr>
            <w:r w:rsidRPr="00CE4E1F">
              <w:rPr>
                <w:i/>
                <w:iCs/>
                <w:sz w:val="18"/>
                <w:szCs w:val="18"/>
              </w:rPr>
              <w:t>MCM4</w:t>
            </w:r>
          </w:p>
        </w:tc>
        <w:tc>
          <w:tcPr>
            <w:tcW w:w="6206" w:type="dxa"/>
            <w:tcBorders>
              <w:top w:val="nil"/>
              <w:left w:val="nil"/>
              <w:bottom w:val="single" w:sz="4" w:space="0" w:color="auto"/>
              <w:right w:val="single" w:sz="4" w:space="0" w:color="auto"/>
            </w:tcBorders>
            <w:shd w:val="clear" w:color="auto" w:fill="auto"/>
            <w:noWrap/>
            <w:vAlign w:val="bottom"/>
            <w:hideMark/>
          </w:tcPr>
          <w:p w14:paraId="1ABE8E6A" w14:textId="77777777" w:rsidR="006A68F3" w:rsidRPr="00CE4E1F" w:rsidRDefault="006A68F3" w:rsidP="00742F09">
            <w:pPr>
              <w:spacing w:line="360" w:lineRule="auto"/>
              <w:contextualSpacing/>
              <w:jc w:val="both"/>
              <w:rPr>
                <w:sz w:val="18"/>
                <w:szCs w:val="18"/>
              </w:rPr>
            </w:pPr>
            <w:r w:rsidRPr="00CE4E1F">
              <w:rPr>
                <w:sz w:val="18"/>
                <w:szCs w:val="18"/>
              </w:rPr>
              <w:t>NM_182746.1:1200</w:t>
            </w:r>
          </w:p>
        </w:tc>
      </w:tr>
      <w:tr w:rsidR="006A68F3" w:rsidRPr="00CE4E1F" w14:paraId="17202AC1"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64B1002"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8B1F31F" w14:textId="77777777" w:rsidR="006A68F3" w:rsidRPr="00CE4E1F" w:rsidRDefault="006A68F3" w:rsidP="00742F09">
            <w:pPr>
              <w:spacing w:line="360" w:lineRule="auto"/>
              <w:contextualSpacing/>
              <w:jc w:val="both"/>
              <w:rPr>
                <w:i/>
                <w:iCs/>
                <w:sz w:val="18"/>
                <w:szCs w:val="18"/>
              </w:rPr>
            </w:pPr>
            <w:r w:rsidRPr="00CE4E1F">
              <w:rPr>
                <w:i/>
                <w:iCs/>
                <w:sz w:val="18"/>
                <w:szCs w:val="18"/>
              </w:rPr>
              <w:t>MCM6</w:t>
            </w:r>
          </w:p>
        </w:tc>
        <w:tc>
          <w:tcPr>
            <w:tcW w:w="6206" w:type="dxa"/>
            <w:tcBorders>
              <w:top w:val="nil"/>
              <w:left w:val="nil"/>
              <w:bottom w:val="single" w:sz="4" w:space="0" w:color="auto"/>
              <w:right w:val="single" w:sz="4" w:space="0" w:color="auto"/>
            </w:tcBorders>
            <w:shd w:val="clear" w:color="auto" w:fill="auto"/>
            <w:noWrap/>
            <w:vAlign w:val="bottom"/>
            <w:hideMark/>
          </w:tcPr>
          <w:p w14:paraId="7DC8B04B" w14:textId="77777777" w:rsidR="006A68F3" w:rsidRPr="00CE4E1F" w:rsidRDefault="006A68F3" w:rsidP="00742F09">
            <w:pPr>
              <w:spacing w:line="360" w:lineRule="auto"/>
              <w:contextualSpacing/>
              <w:jc w:val="both"/>
              <w:rPr>
                <w:sz w:val="18"/>
                <w:szCs w:val="18"/>
              </w:rPr>
            </w:pPr>
            <w:r w:rsidRPr="00CE4E1F">
              <w:rPr>
                <w:sz w:val="18"/>
                <w:szCs w:val="18"/>
              </w:rPr>
              <w:t>NM_005915.4:515</w:t>
            </w:r>
          </w:p>
        </w:tc>
      </w:tr>
      <w:tr w:rsidR="006A68F3" w:rsidRPr="00CE4E1F" w14:paraId="3870B581"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814EB2E"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58F1EF9" w14:textId="77777777" w:rsidR="006A68F3" w:rsidRPr="00CE4E1F" w:rsidRDefault="006A68F3" w:rsidP="00742F09">
            <w:pPr>
              <w:spacing w:line="360" w:lineRule="auto"/>
              <w:contextualSpacing/>
              <w:jc w:val="both"/>
              <w:rPr>
                <w:i/>
                <w:iCs/>
                <w:sz w:val="18"/>
                <w:szCs w:val="18"/>
              </w:rPr>
            </w:pPr>
            <w:r w:rsidRPr="00CE4E1F">
              <w:rPr>
                <w:i/>
                <w:iCs/>
                <w:sz w:val="18"/>
                <w:szCs w:val="18"/>
              </w:rPr>
              <w:t>MDM4</w:t>
            </w:r>
          </w:p>
        </w:tc>
        <w:tc>
          <w:tcPr>
            <w:tcW w:w="6206" w:type="dxa"/>
            <w:tcBorders>
              <w:top w:val="nil"/>
              <w:left w:val="nil"/>
              <w:bottom w:val="single" w:sz="4" w:space="0" w:color="auto"/>
              <w:right w:val="single" w:sz="4" w:space="0" w:color="auto"/>
            </w:tcBorders>
            <w:shd w:val="clear" w:color="auto" w:fill="auto"/>
            <w:noWrap/>
            <w:vAlign w:val="bottom"/>
            <w:hideMark/>
          </w:tcPr>
          <w:p w14:paraId="3EA41970" w14:textId="77777777" w:rsidR="006A68F3" w:rsidRPr="00CE4E1F" w:rsidRDefault="006A68F3" w:rsidP="00742F09">
            <w:pPr>
              <w:spacing w:line="360" w:lineRule="auto"/>
              <w:contextualSpacing/>
              <w:jc w:val="both"/>
              <w:rPr>
                <w:sz w:val="18"/>
                <w:szCs w:val="18"/>
              </w:rPr>
            </w:pPr>
            <w:r w:rsidRPr="00CE4E1F">
              <w:rPr>
                <w:sz w:val="18"/>
                <w:szCs w:val="18"/>
              </w:rPr>
              <w:t>NM_001204172.1:346</w:t>
            </w:r>
          </w:p>
        </w:tc>
      </w:tr>
      <w:tr w:rsidR="006A68F3" w:rsidRPr="00CE4E1F" w14:paraId="379ABDF3"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6EFEB35"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D1F25D2" w14:textId="77777777" w:rsidR="006A68F3" w:rsidRPr="00CE4E1F" w:rsidRDefault="006A68F3" w:rsidP="00742F09">
            <w:pPr>
              <w:spacing w:line="360" w:lineRule="auto"/>
              <w:contextualSpacing/>
              <w:jc w:val="both"/>
              <w:rPr>
                <w:i/>
                <w:iCs/>
                <w:sz w:val="18"/>
                <w:szCs w:val="18"/>
              </w:rPr>
            </w:pPr>
            <w:r w:rsidRPr="00CE4E1F">
              <w:rPr>
                <w:i/>
                <w:iCs/>
                <w:sz w:val="18"/>
                <w:szCs w:val="18"/>
              </w:rPr>
              <w:t>MKI67</w:t>
            </w:r>
          </w:p>
        </w:tc>
        <w:tc>
          <w:tcPr>
            <w:tcW w:w="6206" w:type="dxa"/>
            <w:tcBorders>
              <w:top w:val="nil"/>
              <w:left w:val="nil"/>
              <w:bottom w:val="single" w:sz="4" w:space="0" w:color="auto"/>
              <w:right w:val="single" w:sz="4" w:space="0" w:color="auto"/>
            </w:tcBorders>
            <w:shd w:val="clear" w:color="auto" w:fill="auto"/>
            <w:noWrap/>
            <w:vAlign w:val="bottom"/>
            <w:hideMark/>
          </w:tcPr>
          <w:p w14:paraId="3EFAD3C3" w14:textId="77777777" w:rsidR="006A68F3" w:rsidRPr="00CE4E1F" w:rsidRDefault="006A68F3" w:rsidP="00742F09">
            <w:pPr>
              <w:spacing w:line="360" w:lineRule="auto"/>
              <w:contextualSpacing/>
              <w:jc w:val="both"/>
              <w:rPr>
                <w:sz w:val="18"/>
                <w:szCs w:val="18"/>
              </w:rPr>
            </w:pPr>
            <w:r w:rsidRPr="00CE4E1F">
              <w:rPr>
                <w:sz w:val="18"/>
                <w:szCs w:val="18"/>
              </w:rPr>
              <w:t>NM_002417.2:4020</w:t>
            </w:r>
          </w:p>
        </w:tc>
      </w:tr>
      <w:tr w:rsidR="006A68F3" w:rsidRPr="00CE4E1F" w14:paraId="1CEADBCA"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675F28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5E56042" w14:textId="77777777" w:rsidR="006A68F3" w:rsidRPr="00CE4E1F" w:rsidRDefault="006A68F3" w:rsidP="00742F09">
            <w:pPr>
              <w:spacing w:line="360" w:lineRule="auto"/>
              <w:contextualSpacing/>
              <w:jc w:val="both"/>
              <w:rPr>
                <w:i/>
                <w:iCs/>
                <w:sz w:val="18"/>
                <w:szCs w:val="18"/>
              </w:rPr>
            </w:pPr>
            <w:r w:rsidRPr="00CE4E1F">
              <w:rPr>
                <w:i/>
                <w:iCs/>
                <w:sz w:val="18"/>
                <w:szCs w:val="18"/>
              </w:rPr>
              <w:t>MMP9</w:t>
            </w:r>
          </w:p>
        </w:tc>
        <w:tc>
          <w:tcPr>
            <w:tcW w:w="6206" w:type="dxa"/>
            <w:tcBorders>
              <w:top w:val="nil"/>
              <w:left w:val="nil"/>
              <w:bottom w:val="single" w:sz="4" w:space="0" w:color="auto"/>
              <w:right w:val="single" w:sz="4" w:space="0" w:color="auto"/>
            </w:tcBorders>
            <w:shd w:val="clear" w:color="auto" w:fill="auto"/>
            <w:noWrap/>
            <w:vAlign w:val="bottom"/>
            <w:hideMark/>
          </w:tcPr>
          <w:p w14:paraId="3BAAA78F" w14:textId="77777777" w:rsidR="006A68F3" w:rsidRPr="00CE4E1F" w:rsidRDefault="006A68F3" w:rsidP="00742F09">
            <w:pPr>
              <w:spacing w:line="360" w:lineRule="auto"/>
              <w:contextualSpacing/>
              <w:jc w:val="both"/>
              <w:rPr>
                <w:sz w:val="18"/>
                <w:szCs w:val="18"/>
              </w:rPr>
            </w:pPr>
            <w:r w:rsidRPr="00CE4E1F">
              <w:rPr>
                <w:sz w:val="18"/>
                <w:szCs w:val="18"/>
              </w:rPr>
              <w:t>NM_004994.2:1530</w:t>
            </w:r>
          </w:p>
        </w:tc>
      </w:tr>
      <w:tr w:rsidR="006A68F3" w:rsidRPr="00CE4E1F" w14:paraId="7F374511"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8FE88C1"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7D1530A" w14:textId="77777777" w:rsidR="006A68F3" w:rsidRPr="00CE4E1F" w:rsidRDefault="006A68F3" w:rsidP="00742F09">
            <w:pPr>
              <w:spacing w:line="360" w:lineRule="auto"/>
              <w:contextualSpacing/>
              <w:jc w:val="both"/>
              <w:rPr>
                <w:i/>
                <w:iCs/>
                <w:sz w:val="18"/>
                <w:szCs w:val="18"/>
              </w:rPr>
            </w:pPr>
            <w:r w:rsidRPr="00CE4E1F">
              <w:rPr>
                <w:i/>
                <w:iCs/>
                <w:sz w:val="18"/>
                <w:szCs w:val="18"/>
              </w:rPr>
              <w:t>MPL</w:t>
            </w:r>
          </w:p>
        </w:tc>
        <w:tc>
          <w:tcPr>
            <w:tcW w:w="6206" w:type="dxa"/>
            <w:tcBorders>
              <w:top w:val="nil"/>
              <w:left w:val="nil"/>
              <w:bottom w:val="single" w:sz="4" w:space="0" w:color="auto"/>
              <w:right w:val="single" w:sz="4" w:space="0" w:color="auto"/>
            </w:tcBorders>
            <w:shd w:val="clear" w:color="auto" w:fill="auto"/>
            <w:noWrap/>
            <w:vAlign w:val="bottom"/>
            <w:hideMark/>
          </w:tcPr>
          <w:p w14:paraId="146B9B73" w14:textId="77777777" w:rsidR="006A68F3" w:rsidRPr="00CE4E1F" w:rsidRDefault="006A68F3" w:rsidP="00742F09">
            <w:pPr>
              <w:spacing w:line="360" w:lineRule="auto"/>
              <w:contextualSpacing/>
              <w:jc w:val="both"/>
              <w:rPr>
                <w:sz w:val="18"/>
                <w:szCs w:val="18"/>
              </w:rPr>
            </w:pPr>
            <w:r w:rsidRPr="00CE4E1F">
              <w:rPr>
                <w:sz w:val="18"/>
                <w:szCs w:val="18"/>
              </w:rPr>
              <w:t>NM_005373.2:895</w:t>
            </w:r>
          </w:p>
        </w:tc>
      </w:tr>
      <w:tr w:rsidR="006A68F3" w:rsidRPr="00CE4E1F" w14:paraId="008D413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661A985"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BB10F08" w14:textId="77777777" w:rsidR="006A68F3" w:rsidRPr="00CE4E1F" w:rsidRDefault="006A68F3" w:rsidP="00742F09">
            <w:pPr>
              <w:spacing w:line="360" w:lineRule="auto"/>
              <w:contextualSpacing/>
              <w:jc w:val="both"/>
              <w:rPr>
                <w:i/>
                <w:iCs/>
                <w:sz w:val="18"/>
                <w:szCs w:val="18"/>
              </w:rPr>
            </w:pPr>
            <w:r w:rsidRPr="00CE4E1F">
              <w:rPr>
                <w:i/>
                <w:iCs/>
                <w:sz w:val="18"/>
                <w:szCs w:val="18"/>
              </w:rPr>
              <w:t>MUTYH</w:t>
            </w:r>
          </w:p>
        </w:tc>
        <w:tc>
          <w:tcPr>
            <w:tcW w:w="6206" w:type="dxa"/>
            <w:tcBorders>
              <w:top w:val="nil"/>
              <w:left w:val="nil"/>
              <w:bottom w:val="single" w:sz="4" w:space="0" w:color="auto"/>
              <w:right w:val="single" w:sz="4" w:space="0" w:color="auto"/>
            </w:tcBorders>
            <w:shd w:val="clear" w:color="auto" w:fill="auto"/>
            <w:noWrap/>
            <w:vAlign w:val="bottom"/>
            <w:hideMark/>
          </w:tcPr>
          <w:p w14:paraId="029A9D32" w14:textId="77777777" w:rsidR="006A68F3" w:rsidRPr="00CE4E1F" w:rsidRDefault="006A68F3" w:rsidP="00742F09">
            <w:pPr>
              <w:spacing w:line="360" w:lineRule="auto"/>
              <w:contextualSpacing/>
              <w:jc w:val="both"/>
              <w:rPr>
                <w:sz w:val="18"/>
                <w:szCs w:val="18"/>
              </w:rPr>
            </w:pPr>
            <w:r w:rsidRPr="00CE4E1F">
              <w:rPr>
                <w:sz w:val="18"/>
                <w:szCs w:val="18"/>
              </w:rPr>
              <w:t>NM_001293196.1:1288</w:t>
            </w:r>
          </w:p>
        </w:tc>
      </w:tr>
      <w:tr w:rsidR="006A68F3" w:rsidRPr="00CE4E1F" w14:paraId="69D772AF"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60C6BDF"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5932903" w14:textId="77777777" w:rsidR="006A68F3" w:rsidRPr="00CE4E1F" w:rsidRDefault="006A68F3" w:rsidP="00742F09">
            <w:pPr>
              <w:spacing w:line="360" w:lineRule="auto"/>
              <w:contextualSpacing/>
              <w:jc w:val="both"/>
              <w:rPr>
                <w:i/>
                <w:iCs/>
                <w:sz w:val="18"/>
                <w:szCs w:val="18"/>
              </w:rPr>
            </w:pPr>
            <w:r w:rsidRPr="00CE4E1F">
              <w:rPr>
                <w:i/>
                <w:iCs/>
                <w:sz w:val="18"/>
                <w:szCs w:val="18"/>
              </w:rPr>
              <w:t>MYBL1</w:t>
            </w:r>
          </w:p>
        </w:tc>
        <w:tc>
          <w:tcPr>
            <w:tcW w:w="6206" w:type="dxa"/>
            <w:tcBorders>
              <w:top w:val="nil"/>
              <w:left w:val="nil"/>
              <w:bottom w:val="single" w:sz="4" w:space="0" w:color="auto"/>
              <w:right w:val="single" w:sz="4" w:space="0" w:color="auto"/>
            </w:tcBorders>
            <w:shd w:val="clear" w:color="auto" w:fill="auto"/>
            <w:noWrap/>
            <w:vAlign w:val="bottom"/>
            <w:hideMark/>
          </w:tcPr>
          <w:p w14:paraId="59995179" w14:textId="77777777" w:rsidR="006A68F3" w:rsidRPr="00CE4E1F" w:rsidRDefault="006A68F3" w:rsidP="00742F09">
            <w:pPr>
              <w:spacing w:line="360" w:lineRule="auto"/>
              <w:contextualSpacing/>
              <w:jc w:val="both"/>
              <w:rPr>
                <w:sz w:val="18"/>
                <w:szCs w:val="18"/>
              </w:rPr>
            </w:pPr>
            <w:r w:rsidRPr="00CE4E1F">
              <w:rPr>
                <w:sz w:val="18"/>
                <w:szCs w:val="18"/>
              </w:rPr>
              <w:t>NM_001080416.3:1030</w:t>
            </w:r>
          </w:p>
        </w:tc>
      </w:tr>
      <w:tr w:rsidR="006A68F3" w:rsidRPr="00CE4E1F" w14:paraId="3EC9FDF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9579AB7"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0D70A9E" w14:textId="77777777" w:rsidR="006A68F3" w:rsidRPr="00CE4E1F" w:rsidRDefault="006A68F3" w:rsidP="00742F09">
            <w:pPr>
              <w:spacing w:line="360" w:lineRule="auto"/>
              <w:contextualSpacing/>
              <w:jc w:val="both"/>
              <w:rPr>
                <w:i/>
                <w:iCs/>
                <w:sz w:val="18"/>
                <w:szCs w:val="18"/>
              </w:rPr>
            </w:pPr>
            <w:r w:rsidRPr="00CE4E1F">
              <w:rPr>
                <w:i/>
                <w:iCs/>
                <w:sz w:val="18"/>
                <w:szCs w:val="18"/>
              </w:rPr>
              <w:t>MYBL2</w:t>
            </w:r>
          </w:p>
        </w:tc>
        <w:tc>
          <w:tcPr>
            <w:tcW w:w="6206" w:type="dxa"/>
            <w:tcBorders>
              <w:top w:val="nil"/>
              <w:left w:val="nil"/>
              <w:bottom w:val="single" w:sz="4" w:space="0" w:color="auto"/>
              <w:right w:val="single" w:sz="4" w:space="0" w:color="auto"/>
            </w:tcBorders>
            <w:shd w:val="clear" w:color="auto" w:fill="auto"/>
            <w:noWrap/>
            <w:vAlign w:val="bottom"/>
            <w:hideMark/>
          </w:tcPr>
          <w:p w14:paraId="54BF0259" w14:textId="77777777" w:rsidR="006A68F3" w:rsidRPr="00CE4E1F" w:rsidRDefault="006A68F3" w:rsidP="00742F09">
            <w:pPr>
              <w:spacing w:line="360" w:lineRule="auto"/>
              <w:contextualSpacing/>
              <w:jc w:val="both"/>
              <w:rPr>
                <w:sz w:val="18"/>
                <w:szCs w:val="18"/>
              </w:rPr>
            </w:pPr>
            <w:r w:rsidRPr="00CE4E1F">
              <w:rPr>
                <w:sz w:val="18"/>
                <w:szCs w:val="18"/>
              </w:rPr>
              <w:t>NM_002466.2:445</w:t>
            </w:r>
          </w:p>
        </w:tc>
      </w:tr>
      <w:tr w:rsidR="006A68F3" w:rsidRPr="00CE4E1F" w14:paraId="6A5E390F"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62054F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168E4C6" w14:textId="77777777" w:rsidR="006A68F3" w:rsidRPr="00CE4E1F" w:rsidRDefault="006A68F3" w:rsidP="00742F09">
            <w:pPr>
              <w:spacing w:line="360" w:lineRule="auto"/>
              <w:contextualSpacing/>
              <w:jc w:val="both"/>
              <w:rPr>
                <w:i/>
                <w:iCs/>
                <w:sz w:val="18"/>
                <w:szCs w:val="18"/>
              </w:rPr>
            </w:pPr>
            <w:r w:rsidRPr="00CE4E1F">
              <w:rPr>
                <w:i/>
                <w:iCs/>
                <w:sz w:val="18"/>
                <w:szCs w:val="18"/>
              </w:rPr>
              <w:t>NDRG2</w:t>
            </w:r>
          </w:p>
        </w:tc>
        <w:tc>
          <w:tcPr>
            <w:tcW w:w="6206" w:type="dxa"/>
            <w:tcBorders>
              <w:top w:val="nil"/>
              <w:left w:val="nil"/>
              <w:bottom w:val="single" w:sz="4" w:space="0" w:color="auto"/>
              <w:right w:val="single" w:sz="4" w:space="0" w:color="auto"/>
            </w:tcBorders>
            <w:shd w:val="clear" w:color="auto" w:fill="auto"/>
            <w:noWrap/>
            <w:vAlign w:val="bottom"/>
            <w:hideMark/>
          </w:tcPr>
          <w:p w14:paraId="301D2D43" w14:textId="77777777" w:rsidR="006A68F3" w:rsidRPr="00CE4E1F" w:rsidRDefault="006A68F3" w:rsidP="00742F09">
            <w:pPr>
              <w:spacing w:line="360" w:lineRule="auto"/>
              <w:contextualSpacing/>
              <w:jc w:val="both"/>
              <w:rPr>
                <w:sz w:val="18"/>
                <w:szCs w:val="18"/>
              </w:rPr>
            </w:pPr>
            <w:r w:rsidRPr="00CE4E1F">
              <w:rPr>
                <w:sz w:val="18"/>
                <w:szCs w:val="18"/>
              </w:rPr>
              <w:t>NM_016250.2:1515</w:t>
            </w:r>
          </w:p>
        </w:tc>
      </w:tr>
      <w:tr w:rsidR="006A68F3" w:rsidRPr="00CE4E1F" w14:paraId="7378CA06"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BBFD1FF"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8E80831" w14:textId="77777777" w:rsidR="006A68F3" w:rsidRPr="00CE4E1F" w:rsidRDefault="006A68F3" w:rsidP="00742F09">
            <w:pPr>
              <w:spacing w:line="360" w:lineRule="auto"/>
              <w:contextualSpacing/>
              <w:jc w:val="both"/>
              <w:rPr>
                <w:i/>
                <w:iCs/>
                <w:sz w:val="18"/>
                <w:szCs w:val="18"/>
              </w:rPr>
            </w:pPr>
            <w:r w:rsidRPr="00CE4E1F">
              <w:rPr>
                <w:i/>
                <w:iCs/>
                <w:sz w:val="18"/>
                <w:szCs w:val="18"/>
              </w:rPr>
              <w:t>NF2</w:t>
            </w:r>
          </w:p>
        </w:tc>
        <w:tc>
          <w:tcPr>
            <w:tcW w:w="6206" w:type="dxa"/>
            <w:tcBorders>
              <w:top w:val="nil"/>
              <w:left w:val="nil"/>
              <w:bottom w:val="single" w:sz="4" w:space="0" w:color="auto"/>
              <w:right w:val="single" w:sz="4" w:space="0" w:color="auto"/>
            </w:tcBorders>
            <w:shd w:val="clear" w:color="auto" w:fill="auto"/>
            <w:noWrap/>
            <w:vAlign w:val="bottom"/>
            <w:hideMark/>
          </w:tcPr>
          <w:p w14:paraId="088F1081" w14:textId="77777777" w:rsidR="006A68F3" w:rsidRPr="00CE4E1F" w:rsidRDefault="006A68F3" w:rsidP="00742F09">
            <w:pPr>
              <w:spacing w:line="360" w:lineRule="auto"/>
              <w:contextualSpacing/>
              <w:jc w:val="both"/>
              <w:rPr>
                <w:sz w:val="18"/>
                <w:szCs w:val="18"/>
              </w:rPr>
            </w:pPr>
            <w:r w:rsidRPr="00CE4E1F">
              <w:rPr>
                <w:sz w:val="18"/>
                <w:szCs w:val="18"/>
              </w:rPr>
              <w:t>NM_000268.3:1895</w:t>
            </w:r>
          </w:p>
        </w:tc>
      </w:tr>
      <w:tr w:rsidR="006A68F3" w:rsidRPr="00CE4E1F" w14:paraId="5FB08902"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BEB4BF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CCEA325" w14:textId="77777777" w:rsidR="006A68F3" w:rsidRPr="00CE4E1F" w:rsidRDefault="006A68F3" w:rsidP="00742F09">
            <w:pPr>
              <w:spacing w:line="360" w:lineRule="auto"/>
              <w:contextualSpacing/>
              <w:jc w:val="both"/>
              <w:rPr>
                <w:i/>
                <w:iCs/>
                <w:sz w:val="18"/>
                <w:szCs w:val="18"/>
              </w:rPr>
            </w:pPr>
            <w:r w:rsidRPr="00CE4E1F">
              <w:rPr>
                <w:i/>
                <w:iCs/>
                <w:sz w:val="18"/>
                <w:szCs w:val="18"/>
              </w:rPr>
              <w:t>NOTCH2</w:t>
            </w:r>
          </w:p>
        </w:tc>
        <w:tc>
          <w:tcPr>
            <w:tcW w:w="6206" w:type="dxa"/>
            <w:tcBorders>
              <w:top w:val="nil"/>
              <w:left w:val="nil"/>
              <w:bottom w:val="single" w:sz="4" w:space="0" w:color="auto"/>
              <w:right w:val="single" w:sz="4" w:space="0" w:color="auto"/>
            </w:tcBorders>
            <w:shd w:val="clear" w:color="auto" w:fill="auto"/>
            <w:noWrap/>
            <w:vAlign w:val="bottom"/>
            <w:hideMark/>
          </w:tcPr>
          <w:p w14:paraId="6E557684" w14:textId="77777777" w:rsidR="006A68F3" w:rsidRPr="00CE4E1F" w:rsidRDefault="006A68F3" w:rsidP="00742F09">
            <w:pPr>
              <w:spacing w:line="360" w:lineRule="auto"/>
              <w:contextualSpacing/>
              <w:jc w:val="both"/>
              <w:rPr>
                <w:sz w:val="18"/>
                <w:szCs w:val="18"/>
              </w:rPr>
            </w:pPr>
            <w:r w:rsidRPr="00CE4E1F">
              <w:rPr>
                <w:sz w:val="18"/>
                <w:szCs w:val="18"/>
              </w:rPr>
              <w:t>NM_024408.3:2842</w:t>
            </w:r>
          </w:p>
        </w:tc>
      </w:tr>
      <w:tr w:rsidR="006A68F3" w:rsidRPr="00CE4E1F" w14:paraId="5F976B3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284F0AA"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111628F" w14:textId="77777777" w:rsidR="006A68F3" w:rsidRPr="00CE4E1F" w:rsidRDefault="006A68F3" w:rsidP="00742F09">
            <w:pPr>
              <w:spacing w:line="360" w:lineRule="auto"/>
              <w:contextualSpacing/>
              <w:jc w:val="both"/>
              <w:rPr>
                <w:i/>
                <w:iCs/>
                <w:sz w:val="18"/>
                <w:szCs w:val="18"/>
              </w:rPr>
            </w:pPr>
            <w:r w:rsidRPr="00CE4E1F">
              <w:rPr>
                <w:i/>
                <w:iCs/>
                <w:sz w:val="18"/>
                <w:szCs w:val="18"/>
              </w:rPr>
              <w:t>NOTCH3</w:t>
            </w:r>
          </w:p>
        </w:tc>
        <w:tc>
          <w:tcPr>
            <w:tcW w:w="6206" w:type="dxa"/>
            <w:tcBorders>
              <w:top w:val="nil"/>
              <w:left w:val="nil"/>
              <w:bottom w:val="single" w:sz="4" w:space="0" w:color="auto"/>
              <w:right w:val="single" w:sz="4" w:space="0" w:color="auto"/>
            </w:tcBorders>
            <w:shd w:val="clear" w:color="auto" w:fill="auto"/>
            <w:noWrap/>
            <w:vAlign w:val="bottom"/>
            <w:hideMark/>
          </w:tcPr>
          <w:p w14:paraId="62FEAF49" w14:textId="77777777" w:rsidR="006A68F3" w:rsidRPr="00CE4E1F" w:rsidRDefault="006A68F3" w:rsidP="00742F09">
            <w:pPr>
              <w:spacing w:line="360" w:lineRule="auto"/>
              <w:contextualSpacing/>
              <w:jc w:val="both"/>
              <w:rPr>
                <w:sz w:val="18"/>
                <w:szCs w:val="18"/>
              </w:rPr>
            </w:pPr>
            <w:r w:rsidRPr="00CE4E1F">
              <w:rPr>
                <w:sz w:val="18"/>
                <w:szCs w:val="18"/>
              </w:rPr>
              <w:t>NM_000435.2:1965</w:t>
            </w:r>
          </w:p>
        </w:tc>
      </w:tr>
      <w:tr w:rsidR="006A68F3" w:rsidRPr="00CE4E1F" w14:paraId="55332E12"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EF92C2B"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8204BE1" w14:textId="77777777" w:rsidR="006A68F3" w:rsidRPr="00CE4E1F" w:rsidRDefault="006A68F3" w:rsidP="00742F09">
            <w:pPr>
              <w:spacing w:line="360" w:lineRule="auto"/>
              <w:contextualSpacing/>
              <w:jc w:val="both"/>
              <w:rPr>
                <w:i/>
                <w:iCs/>
                <w:sz w:val="18"/>
                <w:szCs w:val="18"/>
              </w:rPr>
            </w:pPr>
            <w:r w:rsidRPr="00CE4E1F">
              <w:rPr>
                <w:i/>
                <w:iCs/>
                <w:sz w:val="18"/>
                <w:szCs w:val="18"/>
              </w:rPr>
              <w:t>NQO1</w:t>
            </w:r>
          </w:p>
        </w:tc>
        <w:tc>
          <w:tcPr>
            <w:tcW w:w="6206" w:type="dxa"/>
            <w:tcBorders>
              <w:top w:val="nil"/>
              <w:left w:val="nil"/>
              <w:bottom w:val="single" w:sz="4" w:space="0" w:color="auto"/>
              <w:right w:val="single" w:sz="4" w:space="0" w:color="auto"/>
            </w:tcBorders>
            <w:shd w:val="clear" w:color="auto" w:fill="auto"/>
            <w:noWrap/>
            <w:vAlign w:val="bottom"/>
            <w:hideMark/>
          </w:tcPr>
          <w:p w14:paraId="1A0BE3E9" w14:textId="77777777" w:rsidR="006A68F3" w:rsidRPr="00CE4E1F" w:rsidRDefault="006A68F3" w:rsidP="00742F09">
            <w:pPr>
              <w:spacing w:line="360" w:lineRule="auto"/>
              <w:contextualSpacing/>
              <w:jc w:val="both"/>
              <w:rPr>
                <w:sz w:val="18"/>
                <w:szCs w:val="18"/>
              </w:rPr>
            </w:pPr>
            <w:r w:rsidRPr="00CE4E1F">
              <w:rPr>
                <w:sz w:val="18"/>
                <w:szCs w:val="18"/>
              </w:rPr>
              <w:t>NM_000903.2:790</w:t>
            </w:r>
          </w:p>
        </w:tc>
      </w:tr>
      <w:tr w:rsidR="006A68F3" w:rsidRPr="00CE4E1F" w14:paraId="77202BE1"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77B4CDF"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040C2CE" w14:textId="77777777" w:rsidR="006A68F3" w:rsidRPr="00CE4E1F" w:rsidRDefault="006A68F3" w:rsidP="00742F09">
            <w:pPr>
              <w:spacing w:line="360" w:lineRule="auto"/>
              <w:contextualSpacing/>
              <w:jc w:val="both"/>
              <w:rPr>
                <w:i/>
                <w:iCs/>
                <w:sz w:val="18"/>
                <w:szCs w:val="18"/>
              </w:rPr>
            </w:pPr>
            <w:r w:rsidRPr="00CE4E1F">
              <w:rPr>
                <w:i/>
                <w:iCs/>
                <w:sz w:val="18"/>
                <w:szCs w:val="18"/>
              </w:rPr>
              <w:t>NRAS</w:t>
            </w:r>
          </w:p>
        </w:tc>
        <w:tc>
          <w:tcPr>
            <w:tcW w:w="6206" w:type="dxa"/>
            <w:tcBorders>
              <w:top w:val="nil"/>
              <w:left w:val="nil"/>
              <w:bottom w:val="single" w:sz="4" w:space="0" w:color="auto"/>
              <w:right w:val="single" w:sz="4" w:space="0" w:color="auto"/>
            </w:tcBorders>
            <w:shd w:val="clear" w:color="auto" w:fill="auto"/>
            <w:noWrap/>
            <w:vAlign w:val="bottom"/>
            <w:hideMark/>
          </w:tcPr>
          <w:p w14:paraId="0F7E30BB" w14:textId="77777777" w:rsidR="006A68F3" w:rsidRPr="00CE4E1F" w:rsidRDefault="006A68F3" w:rsidP="00742F09">
            <w:pPr>
              <w:spacing w:line="360" w:lineRule="auto"/>
              <w:contextualSpacing/>
              <w:jc w:val="both"/>
              <w:rPr>
                <w:sz w:val="18"/>
                <w:szCs w:val="18"/>
              </w:rPr>
            </w:pPr>
            <w:r w:rsidRPr="00CE4E1F">
              <w:rPr>
                <w:sz w:val="18"/>
                <w:szCs w:val="18"/>
              </w:rPr>
              <w:t>NM_002524.3:877</w:t>
            </w:r>
          </w:p>
        </w:tc>
      </w:tr>
      <w:tr w:rsidR="006A68F3" w:rsidRPr="00CE4E1F" w14:paraId="54E1897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8404E8D"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6123BC8" w14:textId="77777777" w:rsidR="006A68F3" w:rsidRPr="00CE4E1F" w:rsidRDefault="006A68F3" w:rsidP="00742F09">
            <w:pPr>
              <w:spacing w:line="360" w:lineRule="auto"/>
              <w:contextualSpacing/>
              <w:jc w:val="both"/>
              <w:rPr>
                <w:i/>
                <w:iCs/>
                <w:sz w:val="18"/>
                <w:szCs w:val="18"/>
              </w:rPr>
            </w:pPr>
            <w:r w:rsidRPr="00CE4E1F">
              <w:rPr>
                <w:i/>
                <w:iCs/>
                <w:sz w:val="18"/>
                <w:szCs w:val="18"/>
              </w:rPr>
              <w:t>PGK1</w:t>
            </w:r>
          </w:p>
        </w:tc>
        <w:tc>
          <w:tcPr>
            <w:tcW w:w="6206" w:type="dxa"/>
            <w:tcBorders>
              <w:top w:val="nil"/>
              <w:left w:val="nil"/>
              <w:bottom w:val="single" w:sz="4" w:space="0" w:color="auto"/>
              <w:right w:val="single" w:sz="4" w:space="0" w:color="auto"/>
            </w:tcBorders>
            <w:shd w:val="clear" w:color="auto" w:fill="auto"/>
            <w:noWrap/>
            <w:vAlign w:val="bottom"/>
            <w:hideMark/>
          </w:tcPr>
          <w:p w14:paraId="448C4937" w14:textId="77777777" w:rsidR="006A68F3" w:rsidRPr="00CE4E1F" w:rsidRDefault="006A68F3" w:rsidP="00742F09">
            <w:pPr>
              <w:spacing w:line="360" w:lineRule="auto"/>
              <w:contextualSpacing/>
              <w:jc w:val="both"/>
              <w:rPr>
                <w:sz w:val="18"/>
                <w:szCs w:val="18"/>
              </w:rPr>
            </w:pPr>
            <w:r w:rsidRPr="00CE4E1F">
              <w:rPr>
                <w:sz w:val="18"/>
                <w:szCs w:val="18"/>
              </w:rPr>
              <w:t>NM_000291.2:1030</w:t>
            </w:r>
          </w:p>
        </w:tc>
      </w:tr>
      <w:tr w:rsidR="006A68F3" w:rsidRPr="00CE4E1F" w14:paraId="37C7A6D0"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B64575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376FFF8" w14:textId="77777777" w:rsidR="006A68F3" w:rsidRPr="00CE4E1F" w:rsidRDefault="006A68F3" w:rsidP="00742F09">
            <w:pPr>
              <w:spacing w:line="360" w:lineRule="auto"/>
              <w:contextualSpacing/>
              <w:jc w:val="both"/>
              <w:rPr>
                <w:i/>
                <w:iCs/>
                <w:sz w:val="18"/>
                <w:szCs w:val="18"/>
              </w:rPr>
            </w:pPr>
            <w:r w:rsidRPr="00CE4E1F">
              <w:rPr>
                <w:i/>
                <w:iCs/>
                <w:sz w:val="18"/>
                <w:szCs w:val="18"/>
              </w:rPr>
              <w:t>PGR</w:t>
            </w:r>
          </w:p>
        </w:tc>
        <w:tc>
          <w:tcPr>
            <w:tcW w:w="6206" w:type="dxa"/>
            <w:tcBorders>
              <w:top w:val="nil"/>
              <w:left w:val="nil"/>
              <w:bottom w:val="single" w:sz="4" w:space="0" w:color="auto"/>
              <w:right w:val="single" w:sz="4" w:space="0" w:color="auto"/>
            </w:tcBorders>
            <w:shd w:val="clear" w:color="auto" w:fill="auto"/>
            <w:noWrap/>
            <w:vAlign w:val="bottom"/>
            <w:hideMark/>
          </w:tcPr>
          <w:p w14:paraId="07468777" w14:textId="77777777" w:rsidR="006A68F3" w:rsidRPr="00CE4E1F" w:rsidRDefault="006A68F3" w:rsidP="00742F09">
            <w:pPr>
              <w:spacing w:line="360" w:lineRule="auto"/>
              <w:contextualSpacing/>
              <w:jc w:val="both"/>
              <w:rPr>
                <w:sz w:val="18"/>
                <w:szCs w:val="18"/>
              </w:rPr>
            </w:pPr>
            <w:r w:rsidRPr="00CE4E1F">
              <w:rPr>
                <w:sz w:val="18"/>
                <w:szCs w:val="18"/>
              </w:rPr>
              <w:t>NM_000926.4:2392</w:t>
            </w:r>
          </w:p>
        </w:tc>
      </w:tr>
      <w:tr w:rsidR="006A68F3" w:rsidRPr="00CE4E1F" w14:paraId="5A084B10"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157577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EC2A11C" w14:textId="77777777" w:rsidR="006A68F3" w:rsidRPr="00CE4E1F" w:rsidRDefault="006A68F3" w:rsidP="00742F09">
            <w:pPr>
              <w:spacing w:line="360" w:lineRule="auto"/>
              <w:contextualSpacing/>
              <w:jc w:val="both"/>
              <w:rPr>
                <w:i/>
                <w:iCs/>
                <w:sz w:val="18"/>
                <w:szCs w:val="18"/>
              </w:rPr>
            </w:pPr>
            <w:r w:rsidRPr="00CE4E1F">
              <w:rPr>
                <w:i/>
                <w:iCs/>
                <w:sz w:val="18"/>
                <w:szCs w:val="18"/>
              </w:rPr>
              <w:t>PIM1</w:t>
            </w:r>
          </w:p>
        </w:tc>
        <w:tc>
          <w:tcPr>
            <w:tcW w:w="6206" w:type="dxa"/>
            <w:tcBorders>
              <w:top w:val="nil"/>
              <w:left w:val="nil"/>
              <w:bottom w:val="single" w:sz="4" w:space="0" w:color="auto"/>
              <w:right w:val="single" w:sz="4" w:space="0" w:color="auto"/>
            </w:tcBorders>
            <w:shd w:val="clear" w:color="auto" w:fill="auto"/>
            <w:noWrap/>
            <w:vAlign w:val="bottom"/>
            <w:hideMark/>
          </w:tcPr>
          <w:p w14:paraId="5BAB69D7" w14:textId="77777777" w:rsidR="006A68F3" w:rsidRPr="00CE4E1F" w:rsidRDefault="006A68F3" w:rsidP="00742F09">
            <w:pPr>
              <w:spacing w:line="360" w:lineRule="auto"/>
              <w:contextualSpacing/>
              <w:jc w:val="both"/>
              <w:rPr>
                <w:sz w:val="18"/>
                <w:szCs w:val="18"/>
              </w:rPr>
            </w:pPr>
            <w:r w:rsidRPr="00CE4E1F">
              <w:rPr>
                <w:sz w:val="18"/>
                <w:szCs w:val="18"/>
              </w:rPr>
              <w:t>NM_002648.2:1630</w:t>
            </w:r>
          </w:p>
        </w:tc>
      </w:tr>
      <w:tr w:rsidR="006A68F3" w:rsidRPr="00CE4E1F" w14:paraId="287042E5"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B3480D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83EFA96" w14:textId="77777777" w:rsidR="006A68F3" w:rsidRPr="00CE4E1F" w:rsidRDefault="006A68F3" w:rsidP="00742F09">
            <w:pPr>
              <w:spacing w:line="360" w:lineRule="auto"/>
              <w:contextualSpacing/>
              <w:jc w:val="both"/>
              <w:rPr>
                <w:i/>
                <w:iCs/>
                <w:sz w:val="18"/>
                <w:szCs w:val="18"/>
              </w:rPr>
            </w:pPr>
            <w:r w:rsidRPr="00CE4E1F">
              <w:rPr>
                <w:i/>
                <w:iCs/>
                <w:sz w:val="18"/>
                <w:szCs w:val="18"/>
              </w:rPr>
              <w:t>PINK1</w:t>
            </w:r>
          </w:p>
        </w:tc>
        <w:tc>
          <w:tcPr>
            <w:tcW w:w="6206" w:type="dxa"/>
            <w:tcBorders>
              <w:top w:val="nil"/>
              <w:left w:val="nil"/>
              <w:bottom w:val="single" w:sz="4" w:space="0" w:color="auto"/>
              <w:right w:val="single" w:sz="4" w:space="0" w:color="auto"/>
            </w:tcBorders>
            <w:shd w:val="clear" w:color="auto" w:fill="auto"/>
            <w:noWrap/>
            <w:vAlign w:val="bottom"/>
            <w:hideMark/>
          </w:tcPr>
          <w:p w14:paraId="232047D4" w14:textId="77777777" w:rsidR="006A68F3" w:rsidRPr="00CE4E1F" w:rsidRDefault="006A68F3" w:rsidP="00742F09">
            <w:pPr>
              <w:spacing w:line="360" w:lineRule="auto"/>
              <w:contextualSpacing/>
              <w:jc w:val="both"/>
              <w:rPr>
                <w:sz w:val="18"/>
                <w:szCs w:val="18"/>
              </w:rPr>
            </w:pPr>
            <w:r w:rsidRPr="00CE4E1F">
              <w:rPr>
                <w:sz w:val="18"/>
                <w:szCs w:val="18"/>
              </w:rPr>
              <w:t>NM_032409.2:1610</w:t>
            </w:r>
          </w:p>
        </w:tc>
      </w:tr>
      <w:tr w:rsidR="006A68F3" w:rsidRPr="00CE4E1F" w14:paraId="18DF3F7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5C30B7A" w14:textId="77777777" w:rsidR="006A68F3" w:rsidRPr="00CE4E1F" w:rsidRDefault="006A68F3" w:rsidP="00742F09">
            <w:pPr>
              <w:spacing w:line="360" w:lineRule="auto"/>
              <w:contextualSpacing/>
              <w:jc w:val="both"/>
              <w:rPr>
                <w:sz w:val="18"/>
                <w:szCs w:val="18"/>
              </w:rPr>
            </w:pPr>
            <w:r w:rsidRPr="00CE4E1F">
              <w:rPr>
                <w:sz w:val="18"/>
                <w:szCs w:val="18"/>
              </w:rPr>
              <w:lastRenderedPageBreak/>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69C41AD" w14:textId="77777777" w:rsidR="006A68F3" w:rsidRPr="00CE4E1F" w:rsidRDefault="006A68F3" w:rsidP="00742F09">
            <w:pPr>
              <w:spacing w:line="360" w:lineRule="auto"/>
              <w:contextualSpacing/>
              <w:jc w:val="both"/>
              <w:rPr>
                <w:i/>
                <w:iCs/>
                <w:sz w:val="18"/>
                <w:szCs w:val="18"/>
              </w:rPr>
            </w:pPr>
            <w:r w:rsidRPr="00CE4E1F">
              <w:rPr>
                <w:i/>
                <w:iCs/>
                <w:sz w:val="18"/>
                <w:szCs w:val="18"/>
              </w:rPr>
              <w:t>PLAUR</w:t>
            </w:r>
          </w:p>
        </w:tc>
        <w:tc>
          <w:tcPr>
            <w:tcW w:w="6206" w:type="dxa"/>
            <w:tcBorders>
              <w:top w:val="nil"/>
              <w:left w:val="nil"/>
              <w:bottom w:val="single" w:sz="4" w:space="0" w:color="auto"/>
              <w:right w:val="single" w:sz="4" w:space="0" w:color="auto"/>
            </w:tcBorders>
            <w:shd w:val="clear" w:color="auto" w:fill="auto"/>
            <w:noWrap/>
            <w:vAlign w:val="bottom"/>
            <w:hideMark/>
          </w:tcPr>
          <w:p w14:paraId="43907B84" w14:textId="77777777" w:rsidR="006A68F3" w:rsidRPr="00CE4E1F" w:rsidRDefault="006A68F3" w:rsidP="00742F09">
            <w:pPr>
              <w:spacing w:line="360" w:lineRule="auto"/>
              <w:contextualSpacing/>
              <w:jc w:val="both"/>
              <w:rPr>
                <w:sz w:val="18"/>
                <w:szCs w:val="18"/>
              </w:rPr>
            </w:pPr>
            <w:r w:rsidRPr="00CE4E1F">
              <w:rPr>
                <w:sz w:val="18"/>
                <w:szCs w:val="18"/>
              </w:rPr>
              <w:t>NM_001005376.2:538</w:t>
            </w:r>
          </w:p>
        </w:tc>
      </w:tr>
      <w:tr w:rsidR="006A68F3" w:rsidRPr="00CE4E1F" w14:paraId="53E49B4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7934B4B"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8BC4E84" w14:textId="77777777" w:rsidR="006A68F3" w:rsidRPr="00CE4E1F" w:rsidRDefault="006A68F3" w:rsidP="00742F09">
            <w:pPr>
              <w:spacing w:line="360" w:lineRule="auto"/>
              <w:contextualSpacing/>
              <w:jc w:val="both"/>
              <w:rPr>
                <w:i/>
                <w:iCs/>
                <w:sz w:val="18"/>
                <w:szCs w:val="18"/>
              </w:rPr>
            </w:pPr>
            <w:r w:rsidRPr="00CE4E1F">
              <w:rPr>
                <w:i/>
                <w:iCs/>
                <w:sz w:val="18"/>
                <w:szCs w:val="18"/>
              </w:rPr>
              <w:t>PTEN</w:t>
            </w:r>
          </w:p>
        </w:tc>
        <w:tc>
          <w:tcPr>
            <w:tcW w:w="6206" w:type="dxa"/>
            <w:tcBorders>
              <w:top w:val="nil"/>
              <w:left w:val="nil"/>
              <w:bottom w:val="single" w:sz="4" w:space="0" w:color="auto"/>
              <w:right w:val="single" w:sz="4" w:space="0" w:color="auto"/>
            </w:tcBorders>
            <w:shd w:val="clear" w:color="auto" w:fill="auto"/>
            <w:noWrap/>
            <w:vAlign w:val="bottom"/>
            <w:hideMark/>
          </w:tcPr>
          <w:p w14:paraId="6B1D08B9" w14:textId="77777777" w:rsidR="006A68F3" w:rsidRPr="00CE4E1F" w:rsidRDefault="006A68F3" w:rsidP="00742F09">
            <w:pPr>
              <w:spacing w:line="360" w:lineRule="auto"/>
              <w:contextualSpacing/>
              <w:jc w:val="both"/>
              <w:rPr>
                <w:sz w:val="18"/>
                <w:szCs w:val="18"/>
              </w:rPr>
            </w:pPr>
            <w:r w:rsidRPr="00CE4E1F">
              <w:rPr>
                <w:sz w:val="18"/>
                <w:szCs w:val="18"/>
              </w:rPr>
              <w:t>NM_000314.3:1675</w:t>
            </w:r>
          </w:p>
        </w:tc>
      </w:tr>
      <w:tr w:rsidR="006A68F3" w:rsidRPr="00CE4E1F" w14:paraId="3854A85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4255580"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74DC227" w14:textId="77777777" w:rsidR="006A68F3" w:rsidRPr="00CE4E1F" w:rsidRDefault="006A68F3" w:rsidP="00742F09">
            <w:pPr>
              <w:spacing w:line="360" w:lineRule="auto"/>
              <w:contextualSpacing/>
              <w:jc w:val="both"/>
              <w:rPr>
                <w:i/>
                <w:iCs/>
                <w:sz w:val="18"/>
                <w:szCs w:val="18"/>
              </w:rPr>
            </w:pPr>
            <w:r w:rsidRPr="00CE4E1F">
              <w:rPr>
                <w:i/>
                <w:iCs/>
                <w:sz w:val="18"/>
                <w:szCs w:val="18"/>
              </w:rPr>
              <w:t>PTPRK</w:t>
            </w:r>
          </w:p>
        </w:tc>
        <w:tc>
          <w:tcPr>
            <w:tcW w:w="6206" w:type="dxa"/>
            <w:tcBorders>
              <w:top w:val="nil"/>
              <w:left w:val="nil"/>
              <w:bottom w:val="single" w:sz="4" w:space="0" w:color="auto"/>
              <w:right w:val="single" w:sz="4" w:space="0" w:color="auto"/>
            </w:tcBorders>
            <w:shd w:val="clear" w:color="auto" w:fill="auto"/>
            <w:noWrap/>
            <w:vAlign w:val="bottom"/>
            <w:hideMark/>
          </w:tcPr>
          <w:p w14:paraId="6D1E23EA" w14:textId="77777777" w:rsidR="006A68F3" w:rsidRPr="00CE4E1F" w:rsidRDefault="006A68F3" w:rsidP="00742F09">
            <w:pPr>
              <w:spacing w:line="360" w:lineRule="auto"/>
              <w:contextualSpacing/>
              <w:jc w:val="both"/>
              <w:rPr>
                <w:sz w:val="18"/>
                <w:szCs w:val="18"/>
              </w:rPr>
            </w:pPr>
            <w:r w:rsidRPr="00CE4E1F">
              <w:rPr>
                <w:sz w:val="18"/>
                <w:szCs w:val="18"/>
              </w:rPr>
              <w:t>NM_001135648.1:472</w:t>
            </w:r>
          </w:p>
        </w:tc>
      </w:tr>
      <w:tr w:rsidR="006A68F3" w:rsidRPr="00CE4E1F" w14:paraId="716C915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2CBE868"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39F917C" w14:textId="77777777" w:rsidR="006A68F3" w:rsidRPr="00CE4E1F" w:rsidRDefault="006A68F3" w:rsidP="00742F09">
            <w:pPr>
              <w:spacing w:line="360" w:lineRule="auto"/>
              <w:contextualSpacing/>
              <w:jc w:val="both"/>
              <w:rPr>
                <w:i/>
                <w:iCs/>
                <w:sz w:val="18"/>
                <w:szCs w:val="18"/>
              </w:rPr>
            </w:pPr>
            <w:r w:rsidRPr="00CE4E1F">
              <w:rPr>
                <w:i/>
                <w:iCs/>
                <w:sz w:val="18"/>
                <w:szCs w:val="18"/>
              </w:rPr>
              <w:t>PTTG1</w:t>
            </w:r>
          </w:p>
        </w:tc>
        <w:tc>
          <w:tcPr>
            <w:tcW w:w="6206" w:type="dxa"/>
            <w:tcBorders>
              <w:top w:val="nil"/>
              <w:left w:val="nil"/>
              <w:bottom w:val="single" w:sz="4" w:space="0" w:color="auto"/>
              <w:right w:val="single" w:sz="4" w:space="0" w:color="auto"/>
            </w:tcBorders>
            <w:shd w:val="clear" w:color="auto" w:fill="auto"/>
            <w:noWrap/>
            <w:vAlign w:val="bottom"/>
            <w:hideMark/>
          </w:tcPr>
          <w:p w14:paraId="1B9D0243" w14:textId="77777777" w:rsidR="006A68F3" w:rsidRPr="00CE4E1F" w:rsidRDefault="006A68F3" w:rsidP="00742F09">
            <w:pPr>
              <w:spacing w:line="360" w:lineRule="auto"/>
              <w:contextualSpacing/>
              <w:jc w:val="both"/>
              <w:rPr>
                <w:sz w:val="18"/>
                <w:szCs w:val="18"/>
              </w:rPr>
            </w:pPr>
            <w:r w:rsidRPr="00CE4E1F">
              <w:rPr>
                <w:sz w:val="18"/>
                <w:szCs w:val="18"/>
              </w:rPr>
              <w:t>NM_004219.2:542</w:t>
            </w:r>
          </w:p>
        </w:tc>
      </w:tr>
      <w:tr w:rsidR="006A68F3" w:rsidRPr="00CE4E1F" w14:paraId="1B3F61E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D11927F"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562DF9C3" w14:textId="77777777" w:rsidR="006A68F3" w:rsidRPr="00CE4E1F" w:rsidRDefault="006A68F3" w:rsidP="00742F09">
            <w:pPr>
              <w:spacing w:line="360" w:lineRule="auto"/>
              <w:contextualSpacing/>
              <w:jc w:val="both"/>
              <w:rPr>
                <w:i/>
                <w:iCs/>
                <w:sz w:val="18"/>
                <w:szCs w:val="18"/>
              </w:rPr>
            </w:pPr>
            <w:r w:rsidRPr="00CE4E1F">
              <w:rPr>
                <w:i/>
                <w:iCs/>
                <w:sz w:val="18"/>
                <w:szCs w:val="18"/>
              </w:rPr>
              <w:t>RACGAP1</w:t>
            </w:r>
          </w:p>
        </w:tc>
        <w:tc>
          <w:tcPr>
            <w:tcW w:w="6206" w:type="dxa"/>
            <w:tcBorders>
              <w:top w:val="nil"/>
              <w:left w:val="nil"/>
              <w:bottom w:val="single" w:sz="4" w:space="0" w:color="auto"/>
              <w:right w:val="single" w:sz="4" w:space="0" w:color="auto"/>
            </w:tcBorders>
            <w:shd w:val="clear" w:color="auto" w:fill="auto"/>
            <w:noWrap/>
            <w:vAlign w:val="bottom"/>
            <w:hideMark/>
          </w:tcPr>
          <w:p w14:paraId="3CD38FC6" w14:textId="77777777" w:rsidR="006A68F3" w:rsidRPr="00CE4E1F" w:rsidRDefault="006A68F3" w:rsidP="00742F09">
            <w:pPr>
              <w:spacing w:line="360" w:lineRule="auto"/>
              <w:contextualSpacing/>
              <w:jc w:val="both"/>
              <w:rPr>
                <w:sz w:val="18"/>
                <w:szCs w:val="18"/>
              </w:rPr>
            </w:pPr>
            <w:r w:rsidRPr="00CE4E1F">
              <w:rPr>
                <w:sz w:val="18"/>
                <w:szCs w:val="18"/>
              </w:rPr>
              <w:t>NM_013277.3:1850</w:t>
            </w:r>
          </w:p>
        </w:tc>
      </w:tr>
      <w:tr w:rsidR="006A68F3" w:rsidRPr="00CE4E1F" w14:paraId="763C92FC"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99C36AE"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8EAA7E6" w14:textId="77777777" w:rsidR="006A68F3" w:rsidRPr="00CE4E1F" w:rsidRDefault="006A68F3" w:rsidP="00742F09">
            <w:pPr>
              <w:spacing w:line="360" w:lineRule="auto"/>
              <w:contextualSpacing/>
              <w:jc w:val="both"/>
              <w:rPr>
                <w:i/>
                <w:iCs/>
                <w:sz w:val="18"/>
                <w:szCs w:val="18"/>
              </w:rPr>
            </w:pPr>
            <w:r w:rsidRPr="00CE4E1F">
              <w:rPr>
                <w:i/>
                <w:iCs/>
                <w:sz w:val="18"/>
                <w:szCs w:val="18"/>
              </w:rPr>
              <w:t>RAD51</w:t>
            </w:r>
          </w:p>
        </w:tc>
        <w:tc>
          <w:tcPr>
            <w:tcW w:w="6206" w:type="dxa"/>
            <w:tcBorders>
              <w:top w:val="nil"/>
              <w:left w:val="nil"/>
              <w:bottom w:val="single" w:sz="4" w:space="0" w:color="auto"/>
              <w:right w:val="single" w:sz="4" w:space="0" w:color="auto"/>
            </w:tcBorders>
            <w:shd w:val="clear" w:color="auto" w:fill="auto"/>
            <w:noWrap/>
            <w:vAlign w:val="bottom"/>
            <w:hideMark/>
          </w:tcPr>
          <w:p w14:paraId="4D37F19B" w14:textId="77777777" w:rsidR="006A68F3" w:rsidRPr="00CE4E1F" w:rsidRDefault="006A68F3" w:rsidP="00742F09">
            <w:pPr>
              <w:spacing w:line="360" w:lineRule="auto"/>
              <w:contextualSpacing/>
              <w:jc w:val="both"/>
              <w:rPr>
                <w:sz w:val="18"/>
                <w:szCs w:val="18"/>
              </w:rPr>
            </w:pPr>
            <w:r w:rsidRPr="00CE4E1F">
              <w:rPr>
                <w:sz w:val="18"/>
                <w:szCs w:val="18"/>
              </w:rPr>
              <w:t>NM_133487.2:566</w:t>
            </w:r>
          </w:p>
        </w:tc>
      </w:tr>
      <w:tr w:rsidR="006A68F3" w:rsidRPr="00CE4E1F" w14:paraId="5DF191DF"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CDFB8EC"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DC5F472" w14:textId="77777777" w:rsidR="006A68F3" w:rsidRPr="00CE4E1F" w:rsidRDefault="006A68F3" w:rsidP="00742F09">
            <w:pPr>
              <w:spacing w:line="360" w:lineRule="auto"/>
              <w:contextualSpacing/>
              <w:jc w:val="both"/>
              <w:rPr>
                <w:i/>
                <w:iCs/>
                <w:sz w:val="18"/>
                <w:szCs w:val="18"/>
              </w:rPr>
            </w:pPr>
            <w:r w:rsidRPr="00CE4E1F">
              <w:rPr>
                <w:i/>
                <w:iCs/>
                <w:sz w:val="18"/>
                <w:szCs w:val="18"/>
              </w:rPr>
              <w:t>RAD51AP1</w:t>
            </w:r>
          </w:p>
        </w:tc>
        <w:tc>
          <w:tcPr>
            <w:tcW w:w="6206" w:type="dxa"/>
            <w:tcBorders>
              <w:top w:val="nil"/>
              <w:left w:val="nil"/>
              <w:bottom w:val="single" w:sz="4" w:space="0" w:color="auto"/>
              <w:right w:val="single" w:sz="4" w:space="0" w:color="auto"/>
            </w:tcBorders>
            <w:shd w:val="clear" w:color="auto" w:fill="auto"/>
            <w:noWrap/>
            <w:vAlign w:val="bottom"/>
            <w:hideMark/>
          </w:tcPr>
          <w:p w14:paraId="2E3FBAE4" w14:textId="77777777" w:rsidR="006A68F3" w:rsidRPr="00CE4E1F" w:rsidRDefault="006A68F3" w:rsidP="00742F09">
            <w:pPr>
              <w:spacing w:line="360" w:lineRule="auto"/>
              <w:contextualSpacing/>
              <w:jc w:val="both"/>
              <w:rPr>
                <w:sz w:val="18"/>
                <w:szCs w:val="18"/>
              </w:rPr>
            </w:pPr>
            <w:r w:rsidRPr="00CE4E1F">
              <w:rPr>
                <w:sz w:val="18"/>
                <w:szCs w:val="18"/>
              </w:rPr>
              <w:t>NM_001130862.1:1125</w:t>
            </w:r>
          </w:p>
        </w:tc>
      </w:tr>
      <w:tr w:rsidR="006A68F3" w:rsidRPr="00CE4E1F" w14:paraId="10D945B1"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775F81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23BA9F23" w14:textId="77777777" w:rsidR="006A68F3" w:rsidRPr="00CE4E1F" w:rsidRDefault="006A68F3" w:rsidP="00742F09">
            <w:pPr>
              <w:spacing w:line="360" w:lineRule="auto"/>
              <w:contextualSpacing/>
              <w:jc w:val="both"/>
              <w:rPr>
                <w:i/>
                <w:iCs/>
                <w:sz w:val="18"/>
                <w:szCs w:val="18"/>
              </w:rPr>
            </w:pPr>
            <w:r w:rsidRPr="00CE4E1F">
              <w:rPr>
                <w:i/>
                <w:iCs/>
                <w:sz w:val="18"/>
                <w:szCs w:val="18"/>
              </w:rPr>
              <w:t>RAD51C</w:t>
            </w:r>
          </w:p>
        </w:tc>
        <w:tc>
          <w:tcPr>
            <w:tcW w:w="6206" w:type="dxa"/>
            <w:tcBorders>
              <w:top w:val="nil"/>
              <w:left w:val="nil"/>
              <w:bottom w:val="single" w:sz="4" w:space="0" w:color="auto"/>
              <w:right w:val="single" w:sz="4" w:space="0" w:color="auto"/>
            </w:tcBorders>
            <w:shd w:val="clear" w:color="auto" w:fill="auto"/>
            <w:noWrap/>
            <w:vAlign w:val="bottom"/>
            <w:hideMark/>
          </w:tcPr>
          <w:p w14:paraId="4977B7F6" w14:textId="77777777" w:rsidR="006A68F3" w:rsidRPr="00CE4E1F" w:rsidRDefault="006A68F3" w:rsidP="00742F09">
            <w:pPr>
              <w:spacing w:line="360" w:lineRule="auto"/>
              <w:contextualSpacing/>
              <w:jc w:val="both"/>
              <w:rPr>
                <w:sz w:val="18"/>
                <w:szCs w:val="18"/>
              </w:rPr>
            </w:pPr>
            <w:r w:rsidRPr="00CE4E1F">
              <w:rPr>
                <w:sz w:val="18"/>
                <w:szCs w:val="18"/>
              </w:rPr>
              <w:t>NM_002876.2:300</w:t>
            </w:r>
          </w:p>
        </w:tc>
      </w:tr>
      <w:tr w:rsidR="006A68F3" w:rsidRPr="00CE4E1F" w14:paraId="59573AC7"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A534B4C"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87CA50F" w14:textId="77777777" w:rsidR="006A68F3" w:rsidRPr="00CE4E1F" w:rsidRDefault="006A68F3" w:rsidP="00742F09">
            <w:pPr>
              <w:spacing w:line="360" w:lineRule="auto"/>
              <w:contextualSpacing/>
              <w:jc w:val="both"/>
              <w:rPr>
                <w:i/>
                <w:iCs/>
                <w:sz w:val="18"/>
                <w:szCs w:val="18"/>
              </w:rPr>
            </w:pPr>
            <w:r w:rsidRPr="00CE4E1F">
              <w:rPr>
                <w:i/>
                <w:iCs/>
                <w:sz w:val="18"/>
                <w:szCs w:val="18"/>
              </w:rPr>
              <w:t>REL</w:t>
            </w:r>
          </w:p>
        </w:tc>
        <w:tc>
          <w:tcPr>
            <w:tcW w:w="6206" w:type="dxa"/>
            <w:tcBorders>
              <w:top w:val="nil"/>
              <w:left w:val="nil"/>
              <w:bottom w:val="single" w:sz="4" w:space="0" w:color="auto"/>
              <w:right w:val="single" w:sz="4" w:space="0" w:color="auto"/>
            </w:tcBorders>
            <w:shd w:val="clear" w:color="auto" w:fill="auto"/>
            <w:noWrap/>
            <w:vAlign w:val="bottom"/>
            <w:hideMark/>
          </w:tcPr>
          <w:p w14:paraId="10D5136F" w14:textId="77777777" w:rsidR="006A68F3" w:rsidRPr="00CE4E1F" w:rsidRDefault="006A68F3" w:rsidP="00742F09">
            <w:pPr>
              <w:spacing w:line="360" w:lineRule="auto"/>
              <w:contextualSpacing/>
              <w:jc w:val="both"/>
              <w:rPr>
                <w:sz w:val="18"/>
                <w:szCs w:val="18"/>
              </w:rPr>
            </w:pPr>
            <w:r w:rsidRPr="00CE4E1F">
              <w:rPr>
                <w:sz w:val="18"/>
                <w:szCs w:val="18"/>
              </w:rPr>
              <w:t>NM_002908.3:2067</w:t>
            </w:r>
          </w:p>
        </w:tc>
      </w:tr>
      <w:tr w:rsidR="006A68F3" w:rsidRPr="00CE4E1F" w14:paraId="2F2CCD1A"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276B9A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FBC77C9" w14:textId="77777777" w:rsidR="006A68F3" w:rsidRPr="00CE4E1F" w:rsidRDefault="006A68F3" w:rsidP="00742F09">
            <w:pPr>
              <w:spacing w:line="360" w:lineRule="auto"/>
              <w:contextualSpacing/>
              <w:jc w:val="both"/>
              <w:rPr>
                <w:i/>
                <w:iCs/>
                <w:sz w:val="18"/>
                <w:szCs w:val="18"/>
              </w:rPr>
            </w:pPr>
            <w:r w:rsidRPr="00CE4E1F">
              <w:rPr>
                <w:i/>
                <w:iCs/>
                <w:sz w:val="18"/>
                <w:szCs w:val="18"/>
              </w:rPr>
              <w:t>SAMD11</w:t>
            </w:r>
          </w:p>
        </w:tc>
        <w:tc>
          <w:tcPr>
            <w:tcW w:w="6206" w:type="dxa"/>
            <w:tcBorders>
              <w:top w:val="nil"/>
              <w:left w:val="nil"/>
              <w:bottom w:val="single" w:sz="4" w:space="0" w:color="auto"/>
              <w:right w:val="single" w:sz="4" w:space="0" w:color="auto"/>
            </w:tcBorders>
            <w:shd w:val="clear" w:color="auto" w:fill="auto"/>
            <w:noWrap/>
            <w:vAlign w:val="bottom"/>
            <w:hideMark/>
          </w:tcPr>
          <w:p w14:paraId="1C4C1E22" w14:textId="77777777" w:rsidR="006A68F3" w:rsidRPr="00CE4E1F" w:rsidRDefault="006A68F3" w:rsidP="00742F09">
            <w:pPr>
              <w:spacing w:line="360" w:lineRule="auto"/>
              <w:contextualSpacing/>
              <w:jc w:val="both"/>
              <w:rPr>
                <w:sz w:val="18"/>
                <w:szCs w:val="18"/>
              </w:rPr>
            </w:pPr>
            <w:r w:rsidRPr="00CE4E1F">
              <w:rPr>
                <w:sz w:val="18"/>
                <w:szCs w:val="18"/>
              </w:rPr>
              <w:t>NM_152486.2:280</w:t>
            </w:r>
          </w:p>
        </w:tc>
      </w:tr>
      <w:tr w:rsidR="006A68F3" w:rsidRPr="00CE4E1F" w14:paraId="1090031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4C5349C"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C804086" w14:textId="77777777" w:rsidR="006A68F3" w:rsidRPr="00CE4E1F" w:rsidRDefault="006A68F3" w:rsidP="00742F09">
            <w:pPr>
              <w:spacing w:line="360" w:lineRule="auto"/>
              <w:contextualSpacing/>
              <w:jc w:val="both"/>
              <w:rPr>
                <w:i/>
                <w:iCs/>
                <w:sz w:val="18"/>
                <w:szCs w:val="18"/>
              </w:rPr>
            </w:pPr>
            <w:r w:rsidRPr="00CE4E1F">
              <w:rPr>
                <w:i/>
                <w:iCs/>
                <w:sz w:val="18"/>
                <w:szCs w:val="18"/>
              </w:rPr>
              <w:t>SFRP4</w:t>
            </w:r>
          </w:p>
        </w:tc>
        <w:tc>
          <w:tcPr>
            <w:tcW w:w="6206" w:type="dxa"/>
            <w:tcBorders>
              <w:top w:val="nil"/>
              <w:left w:val="nil"/>
              <w:bottom w:val="single" w:sz="4" w:space="0" w:color="auto"/>
              <w:right w:val="single" w:sz="4" w:space="0" w:color="auto"/>
            </w:tcBorders>
            <w:shd w:val="clear" w:color="auto" w:fill="auto"/>
            <w:noWrap/>
            <w:vAlign w:val="bottom"/>
            <w:hideMark/>
          </w:tcPr>
          <w:p w14:paraId="5F385E8C" w14:textId="77777777" w:rsidR="006A68F3" w:rsidRPr="00CE4E1F" w:rsidRDefault="006A68F3" w:rsidP="00742F09">
            <w:pPr>
              <w:spacing w:line="360" w:lineRule="auto"/>
              <w:contextualSpacing/>
              <w:jc w:val="both"/>
              <w:rPr>
                <w:sz w:val="18"/>
                <w:szCs w:val="18"/>
              </w:rPr>
            </w:pPr>
            <w:r w:rsidRPr="00CE4E1F">
              <w:rPr>
                <w:sz w:val="18"/>
                <w:szCs w:val="18"/>
              </w:rPr>
              <w:t>NM_003014.2:1060</w:t>
            </w:r>
          </w:p>
        </w:tc>
      </w:tr>
      <w:tr w:rsidR="006A68F3" w:rsidRPr="00CE4E1F" w14:paraId="71FF191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FD36836"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C51DE2B" w14:textId="77777777" w:rsidR="006A68F3" w:rsidRPr="00CE4E1F" w:rsidRDefault="006A68F3" w:rsidP="00742F09">
            <w:pPr>
              <w:spacing w:line="360" w:lineRule="auto"/>
              <w:contextualSpacing/>
              <w:jc w:val="both"/>
              <w:rPr>
                <w:i/>
                <w:iCs/>
                <w:sz w:val="18"/>
                <w:szCs w:val="18"/>
              </w:rPr>
            </w:pPr>
            <w:r w:rsidRPr="00CE4E1F">
              <w:rPr>
                <w:i/>
                <w:iCs/>
                <w:sz w:val="18"/>
                <w:szCs w:val="18"/>
              </w:rPr>
              <w:t>SLC7A8</w:t>
            </w:r>
          </w:p>
        </w:tc>
        <w:tc>
          <w:tcPr>
            <w:tcW w:w="6206" w:type="dxa"/>
            <w:tcBorders>
              <w:top w:val="nil"/>
              <w:left w:val="nil"/>
              <w:bottom w:val="single" w:sz="4" w:space="0" w:color="auto"/>
              <w:right w:val="single" w:sz="4" w:space="0" w:color="auto"/>
            </w:tcBorders>
            <w:shd w:val="clear" w:color="auto" w:fill="auto"/>
            <w:noWrap/>
            <w:vAlign w:val="bottom"/>
            <w:hideMark/>
          </w:tcPr>
          <w:p w14:paraId="1BC50FE2" w14:textId="77777777" w:rsidR="006A68F3" w:rsidRPr="00CE4E1F" w:rsidRDefault="006A68F3" w:rsidP="00742F09">
            <w:pPr>
              <w:spacing w:line="360" w:lineRule="auto"/>
              <w:contextualSpacing/>
              <w:jc w:val="both"/>
              <w:rPr>
                <w:sz w:val="18"/>
                <w:szCs w:val="18"/>
              </w:rPr>
            </w:pPr>
            <w:r w:rsidRPr="00CE4E1F">
              <w:rPr>
                <w:sz w:val="18"/>
                <w:szCs w:val="18"/>
              </w:rPr>
              <w:t>NM_001267036.1:2662</w:t>
            </w:r>
          </w:p>
        </w:tc>
      </w:tr>
      <w:tr w:rsidR="006A68F3" w:rsidRPr="00CE4E1F" w14:paraId="21051AC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2731000"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339BF1E" w14:textId="77777777" w:rsidR="006A68F3" w:rsidRPr="00CE4E1F" w:rsidRDefault="006A68F3" w:rsidP="00742F09">
            <w:pPr>
              <w:spacing w:line="360" w:lineRule="auto"/>
              <w:contextualSpacing/>
              <w:jc w:val="both"/>
              <w:rPr>
                <w:i/>
                <w:iCs/>
                <w:sz w:val="18"/>
                <w:szCs w:val="18"/>
              </w:rPr>
            </w:pPr>
            <w:r w:rsidRPr="00CE4E1F">
              <w:rPr>
                <w:i/>
                <w:iCs/>
                <w:sz w:val="18"/>
                <w:szCs w:val="18"/>
              </w:rPr>
              <w:t>SMARCE1</w:t>
            </w:r>
          </w:p>
        </w:tc>
        <w:tc>
          <w:tcPr>
            <w:tcW w:w="6206" w:type="dxa"/>
            <w:tcBorders>
              <w:top w:val="nil"/>
              <w:left w:val="nil"/>
              <w:bottom w:val="single" w:sz="4" w:space="0" w:color="auto"/>
              <w:right w:val="single" w:sz="4" w:space="0" w:color="auto"/>
            </w:tcBorders>
            <w:shd w:val="clear" w:color="auto" w:fill="auto"/>
            <w:noWrap/>
            <w:vAlign w:val="bottom"/>
            <w:hideMark/>
          </w:tcPr>
          <w:p w14:paraId="0965CA0D" w14:textId="77777777" w:rsidR="006A68F3" w:rsidRPr="00CE4E1F" w:rsidRDefault="006A68F3" w:rsidP="00742F09">
            <w:pPr>
              <w:spacing w:line="360" w:lineRule="auto"/>
              <w:contextualSpacing/>
              <w:jc w:val="both"/>
              <w:rPr>
                <w:sz w:val="18"/>
                <w:szCs w:val="18"/>
              </w:rPr>
            </w:pPr>
            <w:r w:rsidRPr="00CE4E1F">
              <w:rPr>
                <w:sz w:val="18"/>
                <w:szCs w:val="18"/>
              </w:rPr>
              <w:t>NM_003079.4:690</w:t>
            </w:r>
          </w:p>
        </w:tc>
      </w:tr>
      <w:tr w:rsidR="006A68F3" w:rsidRPr="00CE4E1F" w14:paraId="6F6D28D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BE13E20"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6B1938CD" w14:textId="77777777" w:rsidR="006A68F3" w:rsidRPr="00CE4E1F" w:rsidRDefault="006A68F3" w:rsidP="00742F09">
            <w:pPr>
              <w:spacing w:line="360" w:lineRule="auto"/>
              <w:contextualSpacing/>
              <w:jc w:val="both"/>
              <w:rPr>
                <w:i/>
                <w:iCs/>
                <w:sz w:val="18"/>
                <w:szCs w:val="18"/>
              </w:rPr>
            </w:pPr>
            <w:r w:rsidRPr="00CE4E1F">
              <w:rPr>
                <w:i/>
                <w:iCs/>
                <w:sz w:val="18"/>
                <w:szCs w:val="18"/>
              </w:rPr>
              <w:t>SOS2</w:t>
            </w:r>
          </w:p>
        </w:tc>
        <w:tc>
          <w:tcPr>
            <w:tcW w:w="6206" w:type="dxa"/>
            <w:tcBorders>
              <w:top w:val="nil"/>
              <w:left w:val="nil"/>
              <w:bottom w:val="single" w:sz="4" w:space="0" w:color="auto"/>
              <w:right w:val="single" w:sz="4" w:space="0" w:color="auto"/>
            </w:tcBorders>
            <w:shd w:val="clear" w:color="auto" w:fill="auto"/>
            <w:noWrap/>
            <w:vAlign w:val="bottom"/>
            <w:hideMark/>
          </w:tcPr>
          <w:p w14:paraId="41A4EEE2" w14:textId="77777777" w:rsidR="006A68F3" w:rsidRPr="00CE4E1F" w:rsidRDefault="006A68F3" w:rsidP="00742F09">
            <w:pPr>
              <w:spacing w:line="360" w:lineRule="auto"/>
              <w:contextualSpacing/>
              <w:jc w:val="both"/>
              <w:rPr>
                <w:sz w:val="18"/>
                <w:szCs w:val="18"/>
              </w:rPr>
            </w:pPr>
            <w:r w:rsidRPr="00CE4E1F">
              <w:rPr>
                <w:sz w:val="18"/>
                <w:szCs w:val="18"/>
              </w:rPr>
              <w:t>NM_006939.2:3845</w:t>
            </w:r>
          </w:p>
        </w:tc>
      </w:tr>
      <w:tr w:rsidR="006A68F3" w:rsidRPr="00CE4E1F" w14:paraId="6E66662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9C4D104"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1E936BAF" w14:textId="77777777" w:rsidR="006A68F3" w:rsidRPr="00CE4E1F" w:rsidRDefault="006A68F3" w:rsidP="00742F09">
            <w:pPr>
              <w:spacing w:line="360" w:lineRule="auto"/>
              <w:contextualSpacing/>
              <w:jc w:val="both"/>
              <w:rPr>
                <w:i/>
                <w:iCs/>
                <w:sz w:val="18"/>
                <w:szCs w:val="18"/>
              </w:rPr>
            </w:pPr>
            <w:r w:rsidRPr="00CE4E1F">
              <w:rPr>
                <w:i/>
                <w:iCs/>
                <w:sz w:val="18"/>
                <w:szCs w:val="18"/>
              </w:rPr>
              <w:t>SPOP</w:t>
            </w:r>
          </w:p>
        </w:tc>
        <w:tc>
          <w:tcPr>
            <w:tcW w:w="6206" w:type="dxa"/>
            <w:tcBorders>
              <w:top w:val="nil"/>
              <w:left w:val="nil"/>
              <w:bottom w:val="single" w:sz="4" w:space="0" w:color="auto"/>
              <w:right w:val="single" w:sz="4" w:space="0" w:color="auto"/>
            </w:tcBorders>
            <w:shd w:val="clear" w:color="auto" w:fill="auto"/>
            <w:noWrap/>
            <w:vAlign w:val="bottom"/>
            <w:hideMark/>
          </w:tcPr>
          <w:p w14:paraId="1896DB43" w14:textId="77777777" w:rsidR="006A68F3" w:rsidRPr="00CE4E1F" w:rsidRDefault="006A68F3" w:rsidP="00742F09">
            <w:pPr>
              <w:spacing w:line="360" w:lineRule="auto"/>
              <w:contextualSpacing/>
              <w:jc w:val="both"/>
              <w:rPr>
                <w:sz w:val="18"/>
                <w:szCs w:val="18"/>
              </w:rPr>
            </w:pPr>
            <w:r w:rsidRPr="00CE4E1F">
              <w:rPr>
                <w:sz w:val="18"/>
                <w:szCs w:val="18"/>
              </w:rPr>
              <w:t>NM_001007226.1:1400</w:t>
            </w:r>
          </w:p>
        </w:tc>
      </w:tr>
      <w:tr w:rsidR="006A68F3" w:rsidRPr="00CE4E1F" w14:paraId="45BD770C"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96953E2"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8C3F905" w14:textId="77777777" w:rsidR="006A68F3" w:rsidRPr="00CE4E1F" w:rsidRDefault="006A68F3" w:rsidP="00742F09">
            <w:pPr>
              <w:spacing w:line="360" w:lineRule="auto"/>
              <w:contextualSpacing/>
              <w:jc w:val="both"/>
              <w:rPr>
                <w:i/>
                <w:iCs/>
                <w:sz w:val="18"/>
                <w:szCs w:val="18"/>
              </w:rPr>
            </w:pPr>
            <w:r w:rsidRPr="00CE4E1F">
              <w:rPr>
                <w:i/>
                <w:iCs/>
                <w:sz w:val="18"/>
                <w:szCs w:val="18"/>
              </w:rPr>
              <w:t>SPP1</w:t>
            </w:r>
          </w:p>
        </w:tc>
        <w:tc>
          <w:tcPr>
            <w:tcW w:w="6206" w:type="dxa"/>
            <w:tcBorders>
              <w:top w:val="nil"/>
              <w:left w:val="nil"/>
              <w:bottom w:val="single" w:sz="4" w:space="0" w:color="auto"/>
              <w:right w:val="single" w:sz="4" w:space="0" w:color="auto"/>
            </w:tcBorders>
            <w:shd w:val="clear" w:color="auto" w:fill="auto"/>
            <w:noWrap/>
            <w:vAlign w:val="bottom"/>
            <w:hideMark/>
          </w:tcPr>
          <w:p w14:paraId="6134E837" w14:textId="77777777" w:rsidR="006A68F3" w:rsidRPr="00CE4E1F" w:rsidRDefault="006A68F3" w:rsidP="00742F09">
            <w:pPr>
              <w:spacing w:line="360" w:lineRule="auto"/>
              <w:contextualSpacing/>
              <w:jc w:val="both"/>
              <w:rPr>
                <w:sz w:val="18"/>
                <w:szCs w:val="18"/>
              </w:rPr>
            </w:pPr>
            <w:r w:rsidRPr="00CE4E1F">
              <w:rPr>
                <w:sz w:val="18"/>
                <w:szCs w:val="18"/>
              </w:rPr>
              <w:t>NM_000582.2:760</w:t>
            </w:r>
          </w:p>
        </w:tc>
      </w:tr>
      <w:tr w:rsidR="006A68F3" w:rsidRPr="00CE4E1F" w14:paraId="5B81D38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08CE4E0"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8350CDE" w14:textId="77777777" w:rsidR="006A68F3" w:rsidRPr="00CE4E1F" w:rsidRDefault="006A68F3" w:rsidP="00742F09">
            <w:pPr>
              <w:spacing w:line="360" w:lineRule="auto"/>
              <w:contextualSpacing/>
              <w:jc w:val="both"/>
              <w:rPr>
                <w:i/>
                <w:iCs/>
                <w:sz w:val="18"/>
                <w:szCs w:val="18"/>
              </w:rPr>
            </w:pPr>
            <w:r w:rsidRPr="00CE4E1F">
              <w:rPr>
                <w:i/>
                <w:iCs/>
                <w:sz w:val="18"/>
                <w:szCs w:val="18"/>
              </w:rPr>
              <w:t>TAGLN</w:t>
            </w:r>
          </w:p>
        </w:tc>
        <w:tc>
          <w:tcPr>
            <w:tcW w:w="6206" w:type="dxa"/>
            <w:tcBorders>
              <w:top w:val="nil"/>
              <w:left w:val="nil"/>
              <w:bottom w:val="single" w:sz="4" w:space="0" w:color="auto"/>
              <w:right w:val="single" w:sz="4" w:space="0" w:color="auto"/>
            </w:tcBorders>
            <w:shd w:val="clear" w:color="auto" w:fill="auto"/>
            <w:noWrap/>
            <w:vAlign w:val="bottom"/>
            <w:hideMark/>
          </w:tcPr>
          <w:p w14:paraId="763B498E" w14:textId="77777777" w:rsidR="006A68F3" w:rsidRPr="00CE4E1F" w:rsidRDefault="006A68F3" w:rsidP="00742F09">
            <w:pPr>
              <w:spacing w:line="360" w:lineRule="auto"/>
              <w:contextualSpacing/>
              <w:jc w:val="both"/>
              <w:rPr>
                <w:sz w:val="18"/>
                <w:szCs w:val="18"/>
              </w:rPr>
            </w:pPr>
            <w:r w:rsidRPr="00CE4E1F">
              <w:rPr>
                <w:sz w:val="18"/>
                <w:szCs w:val="18"/>
              </w:rPr>
              <w:t>NM_003186.3:260</w:t>
            </w:r>
          </w:p>
        </w:tc>
      </w:tr>
      <w:tr w:rsidR="006A68F3" w:rsidRPr="00CE4E1F" w14:paraId="54C9CD06"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E9CE77E"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4699382" w14:textId="77777777" w:rsidR="006A68F3" w:rsidRPr="00CE4E1F" w:rsidRDefault="006A68F3" w:rsidP="00742F09">
            <w:pPr>
              <w:spacing w:line="360" w:lineRule="auto"/>
              <w:contextualSpacing/>
              <w:jc w:val="both"/>
              <w:rPr>
                <w:i/>
                <w:iCs/>
                <w:sz w:val="18"/>
                <w:szCs w:val="18"/>
              </w:rPr>
            </w:pPr>
            <w:r w:rsidRPr="00CE4E1F">
              <w:rPr>
                <w:i/>
                <w:iCs/>
                <w:sz w:val="18"/>
                <w:szCs w:val="18"/>
              </w:rPr>
              <w:t>TERT</w:t>
            </w:r>
          </w:p>
        </w:tc>
        <w:tc>
          <w:tcPr>
            <w:tcW w:w="6206" w:type="dxa"/>
            <w:tcBorders>
              <w:top w:val="nil"/>
              <w:left w:val="nil"/>
              <w:bottom w:val="single" w:sz="4" w:space="0" w:color="auto"/>
              <w:right w:val="single" w:sz="4" w:space="0" w:color="auto"/>
            </w:tcBorders>
            <w:shd w:val="clear" w:color="auto" w:fill="auto"/>
            <w:noWrap/>
            <w:vAlign w:val="bottom"/>
            <w:hideMark/>
          </w:tcPr>
          <w:p w14:paraId="614CA7AF" w14:textId="77777777" w:rsidR="006A68F3" w:rsidRPr="00CE4E1F" w:rsidRDefault="006A68F3" w:rsidP="00742F09">
            <w:pPr>
              <w:spacing w:line="360" w:lineRule="auto"/>
              <w:contextualSpacing/>
              <w:jc w:val="both"/>
              <w:rPr>
                <w:sz w:val="18"/>
                <w:szCs w:val="18"/>
              </w:rPr>
            </w:pPr>
            <w:r w:rsidRPr="00CE4E1F">
              <w:rPr>
                <w:sz w:val="18"/>
                <w:szCs w:val="18"/>
              </w:rPr>
              <w:t>NM_198253.1:2570</w:t>
            </w:r>
          </w:p>
        </w:tc>
      </w:tr>
      <w:tr w:rsidR="006A68F3" w:rsidRPr="00CE4E1F" w14:paraId="03697645"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CCB40F6"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C87F8C7" w14:textId="77777777" w:rsidR="006A68F3" w:rsidRPr="00CE4E1F" w:rsidRDefault="006A68F3" w:rsidP="00742F09">
            <w:pPr>
              <w:spacing w:line="360" w:lineRule="auto"/>
              <w:contextualSpacing/>
              <w:jc w:val="both"/>
              <w:rPr>
                <w:i/>
                <w:iCs/>
                <w:sz w:val="18"/>
                <w:szCs w:val="18"/>
              </w:rPr>
            </w:pPr>
            <w:r w:rsidRPr="00CE4E1F">
              <w:rPr>
                <w:i/>
                <w:iCs/>
                <w:sz w:val="18"/>
                <w:szCs w:val="18"/>
              </w:rPr>
              <w:t>TMEM30B</w:t>
            </w:r>
          </w:p>
        </w:tc>
        <w:tc>
          <w:tcPr>
            <w:tcW w:w="6206" w:type="dxa"/>
            <w:tcBorders>
              <w:top w:val="nil"/>
              <w:left w:val="nil"/>
              <w:bottom w:val="single" w:sz="4" w:space="0" w:color="auto"/>
              <w:right w:val="single" w:sz="4" w:space="0" w:color="auto"/>
            </w:tcBorders>
            <w:shd w:val="clear" w:color="auto" w:fill="auto"/>
            <w:noWrap/>
            <w:vAlign w:val="bottom"/>
            <w:hideMark/>
          </w:tcPr>
          <w:p w14:paraId="075FDB37" w14:textId="77777777" w:rsidR="006A68F3" w:rsidRPr="00CE4E1F" w:rsidRDefault="006A68F3" w:rsidP="00742F09">
            <w:pPr>
              <w:spacing w:line="360" w:lineRule="auto"/>
              <w:contextualSpacing/>
              <w:jc w:val="both"/>
              <w:rPr>
                <w:sz w:val="18"/>
                <w:szCs w:val="18"/>
              </w:rPr>
            </w:pPr>
            <w:r w:rsidRPr="00CE4E1F">
              <w:rPr>
                <w:sz w:val="18"/>
                <w:szCs w:val="18"/>
              </w:rPr>
              <w:t>NM_001017970.2:2420</w:t>
            </w:r>
          </w:p>
        </w:tc>
      </w:tr>
      <w:tr w:rsidR="006A68F3" w:rsidRPr="00CE4E1F" w14:paraId="17D5B6F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FEAEBC3"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7263889B" w14:textId="77777777" w:rsidR="006A68F3" w:rsidRPr="00CE4E1F" w:rsidRDefault="006A68F3" w:rsidP="00742F09">
            <w:pPr>
              <w:spacing w:line="360" w:lineRule="auto"/>
              <w:contextualSpacing/>
              <w:jc w:val="both"/>
              <w:rPr>
                <w:i/>
                <w:iCs/>
                <w:sz w:val="18"/>
                <w:szCs w:val="18"/>
              </w:rPr>
            </w:pPr>
            <w:r w:rsidRPr="00CE4E1F">
              <w:rPr>
                <w:i/>
                <w:iCs/>
                <w:sz w:val="18"/>
                <w:szCs w:val="18"/>
              </w:rPr>
              <w:t>TOP2A</w:t>
            </w:r>
          </w:p>
        </w:tc>
        <w:tc>
          <w:tcPr>
            <w:tcW w:w="6206" w:type="dxa"/>
            <w:tcBorders>
              <w:top w:val="nil"/>
              <w:left w:val="nil"/>
              <w:bottom w:val="single" w:sz="4" w:space="0" w:color="auto"/>
              <w:right w:val="single" w:sz="4" w:space="0" w:color="auto"/>
            </w:tcBorders>
            <w:shd w:val="clear" w:color="auto" w:fill="auto"/>
            <w:noWrap/>
            <w:vAlign w:val="bottom"/>
            <w:hideMark/>
          </w:tcPr>
          <w:p w14:paraId="6F7C8A62" w14:textId="77777777" w:rsidR="006A68F3" w:rsidRPr="00CE4E1F" w:rsidRDefault="006A68F3" w:rsidP="00742F09">
            <w:pPr>
              <w:spacing w:line="360" w:lineRule="auto"/>
              <w:contextualSpacing/>
              <w:jc w:val="both"/>
              <w:rPr>
                <w:sz w:val="18"/>
                <w:szCs w:val="18"/>
              </w:rPr>
            </w:pPr>
            <w:r w:rsidRPr="00CE4E1F">
              <w:rPr>
                <w:sz w:val="18"/>
                <w:szCs w:val="18"/>
              </w:rPr>
              <w:t>NM_001067.3:3563</w:t>
            </w:r>
          </w:p>
        </w:tc>
      </w:tr>
      <w:tr w:rsidR="006A68F3" w:rsidRPr="00CE4E1F" w14:paraId="4C6D9BF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CD98BE1"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40D828A1" w14:textId="77777777" w:rsidR="006A68F3" w:rsidRPr="00CE4E1F" w:rsidRDefault="006A68F3" w:rsidP="00742F09">
            <w:pPr>
              <w:spacing w:line="360" w:lineRule="auto"/>
              <w:contextualSpacing/>
              <w:jc w:val="both"/>
              <w:rPr>
                <w:i/>
                <w:iCs/>
                <w:sz w:val="18"/>
                <w:szCs w:val="18"/>
              </w:rPr>
            </w:pPr>
            <w:r w:rsidRPr="00CE4E1F">
              <w:rPr>
                <w:i/>
                <w:iCs/>
                <w:sz w:val="18"/>
                <w:szCs w:val="18"/>
              </w:rPr>
              <w:t>TRIM37</w:t>
            </w:r>
          </w:p>
        </w:tc>
        <w:tc>
          <w:tcPr>
            <w:tcW w:w="6206" w:type="dxa"/>
            <w:tcBorders>
              <w:top w:val="nil"/>
              <w:left w:val="nil"/>
              <w:bottom w:val="single" w:sz="4" w:space="0" w:color="auto"/>
              <w:right w:val="single" w:sz="4" w:space="0" w:color="auto"/>
            </w:tcBorders>
            <w:shd w:val="clear" w:color="auto" w:fill="auto"/>
            <w:noWrap/>
            <w:vAlign w:val="bottom"/>
            <w:hideMark/>
          </w:tcPr>
          <w:p w14:paraId="3F9B85ED" w14:textId="77777777" w:rsidR="006A68F3" w:rsidRPr="00CE4E1F" w:rsidRDefault="006A68F3" w:rsidP="00742F09">
            <w:pPr>
              <w:spacing w:line="360" w:lineRule="auto"/>
              <w:contextualSpacing/>
              <w:jc w:val="both"/>
              <w:rPr>
                <w:sz w:val="18"/>
                <w:szCs w:val="18"/>
              </w:rPr>
            </w:pPr>
            <w:r w:rsidRPr="00CE4E1F">
              <w:rPr>
                <w:sz w:val="18"/>
                <w:szCs w:val="18"/>
              </w:rPr>
              <w:t>NM_015294.4:1910</w:t>
            </w:r>
          </w:p>
        </w:tc>
      </w:tr>
      <w:tr w:rsidR="006A68F3" w:rsidRPr="00CE4E1F" w14:paraId="704DD847"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405BF95"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0B9370FA" w14:textId="77777777" w:rsidR="006A68F3" w:rsidRPr="00CE4E1F" w:rsidRDefault="006A68F3" w:rsidP="00742F09">
            <w:pPr>
              <w:spacing w:line="360" w:lineRule="auto"/>
              <w:contextualSpacing/>
              <w:jc w:val="both"/>
              <w:rPr>
                <w:i/>
                <w:iCs/>
                <w:sz w:val="18"/>
                <w:szCs w:val="18"/>
              </w:rPr>
            </w:pPr>
            <w:r w:rsidRPr="00CE4E1F">
              <w:rPr>
                <w:i/>
                <w:iCs/>
                <w:sz w:val="18"/>
                <w:szCs w:val="18"/>
              </w:rPr>
              <w:t>TROAP</w:t>
            </w:r>
          </w:p>
        </w:tc>
        <w:tc>
          <w:tcPr>
            <w:tcW w:w="6206" w:type="dxa"/>
            <w:tcBorders>
              <w:top w:val="nil"/>
              <w:left w:val="nil"/>
              <w:bottom w:val="single" w:sz="4" w:space="0" w:color="auto"/>
              <w:right w:val="single" w:sz="4" w:space="0" w:color="auto"/>
            </w:tcBorders>
            <w:shd w:val="clear" w:color="auto" w:fill="auto"/>
            <w:noWrap/>
            <w:vAlign w:val="bottom"/>
            <w:hideMark/>
          </w:tcPr>
          <w:p w14:paraId="3261E2FD" w14:textId="77777777" w:rsidR="006A68F3" w:rsidRPr="00CE4E1F" w:rsidRDefault="006A68F3" w:rsidP="00742F09">
            <w:pPr>
              <w:spacing w:line="360" w:lineRule="auto"/>
              <w:contextualSpacing/>
              <w:jc w:val="both"/>
              <w:rPr>
                <w:sz w:val="18"/>
                <w:szCs w:val="18"/>
              </w:rPr>
            </w:pPr>
            <w:r w:rsidRPr="00CE4E1F">
              <w:rPr>
                <w:sz w:val="18"/>
                <w:szCs w:val="18"/>
              </w:rPr>
              <w:t>NM_001100620.2:127</w:t>
            </w:r>
          </w:p>
        </w:tc>
      </w:tr>
      <w:tr w:rsidR="006A68F3" w:rsidRPr="00CE4E1F" w14:paraId="468A7846"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56F09DC" w14:textId="77777777" w:rsidR="006A68F3" w:rsidRPr="00CE4E1F" w:rsidRDefault="006A68F3" w:rsidP="00742F09">
            <w:pPr>
              <w:spacing w:line="360" w:lineRule="auto"/>
              <w:contextualSpacing/>
              <w:jc w:val="both"/>
              <w:rPr>
                <w:sz w:val="18"/>
                <w:szCs w:val="18"/>
              </w:rPr>
            </w:pPr>
            <w:r w:rsidRPr="00CE4E1F">
              <w:rPr>
                <w:sz w:val="18"/>
                <w:szCs w:val="18"/>
              </w:rPr>
              <w:t>Meningioma</w:t>
            </w:r>
          </w:p>
        </w:tc>
        <w:tc>
          <w:tcPr>
            <w:tcW w:w="1740" w:type="dxa"/>
            <w:tcBorders>
              <w:top w:val="nil"/>
              <w:left w:val="nil"/>
              <w:bottom w:val="single" w:sz="4" w:space="0" w:color="auto"/>
              <w:right w:val="single" w:sz="4" w:space="0" w:color="auto"/>
            </w:tcBorders>
            <w:shd w:val="clear" w:color="auto" w:fill="auto"/>
            <w:noWrap/>
            <w:vAlign w:val="bottom"/>
            <w:hideMark/>
          </w:tcPr>
          <w:p w14:paraId="3FDA36AE" w14:textId="77777777" w:rsidR="006A68F3" w:rsidRPr="00CE4E1F" w:rsidRDefault="006A68F3" w:rsidP="00742F09">
            <w:pPr>
              <w:spacing w:line="360" w:lineRule="auto"/>
              <w:contextualSpacing/>
              <w:jc w:val="both"/>
              <w:rPr>
                <w:i/>
                <w:iCs/>
                <w:sz w:val="18"/>
                <w:szCs w:val="18"/>
              </w:rPr>
            </w:pPr>
            <w:r w:rsidRPr="00CE4E1F">
              <w:rPr>
                <w:i/>
                <w:iCs/>
                <w:sz w:val="18"/>
                <w:szCs w:val="18"/>
              </w:rPr>
              <w:t>USF1</w:t>
            </w:r>
          </w:p>
        </w:tc>
        <w:tc>
          <w:tcPr>
            <w:tcW w:w="6206" w:type="dxa"/>
            <w:tcBorders>
              <w:top w:val="nil"/>
              <w:left w:val="nil"/>
              <w:bottom w:val="single" w:sz="4" w:space="0" w:color="auto"/>
              <w:right w:val="single" w:sz="4" w:space="0" w:color="auto"/>
            </w:tcBorders>
            <w:shd w:val="clear" w:color="auto" w:fill="auto"/>
            <w:noWrap/>
            <w:vAlign w:val="bottom"/>
            <w:hideMark/>
          </w:tcPr>
          <w:p w14:paraId="3170917F" w14:textId="77777777" w:rsidR="006A68F3" w:rsidRPr="00CE4E1F" w:rsidRDefault="006A68F3" w:rsidP="00742F09">
            <w:pPr>
              <w:spacing w:line="360" w:lineRule="auto"/>
              <w:contextualSpacing/>
              <w:jc w:val="both"/>
              <w:rPr>
                <w:sz w:val="18"/>
                <w:szCs w:val="18"/>
              </w:rPr>
            </w:pPr>
            <w:r w:rsidRPr="00CE4E1F">
              <w:rPr>
                <w:sz w:val="18"/>
                <w:szCs w:val="18"/>
              </w:rPr>
              <w:t>NM_007122.3:1516</w:t>
            </w:r>
          </w:p>
        </w:tc>
      </w:tr>
      <w:tr w:rsidR="006A68F3" w:rsidRPr="00CE4E1F" w14:paraId="6ADAB5FE"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934E5AD"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0D5C0C4C" w14:textId="77777777" w:rsidR="006A68F3" w:rsidRPr="00CE4E1F" w:rsidRDefault="006A68F3" w:rsidP="00742F09">
            <w:pPr>
              <w:spacing w:line="360" w:lineRule="auto"/>
              <w:contextualSpacing/>
              <w:jc w:val="both"/>
              <w:rPr>
                <w:i/>
                <w:iCs/>
                <w:sz w:val="18"/>
                <w:szCs w:val="18"/>
              </w:rPr>
            </w:pPr>
            <w:r w:rsidRPr="00CE4E1F">
              <w:rPr>
                <w:i/>
                <w:iCs/>
                <w:sz w:val="18"/>
                <w:szCs w:val="18"/>
              </w:rPr>
              <w:t>ACTB</w:t>
            </w:r>
          </w:p>
        </w:tc>
        <w:tc>
          <w:tcPr>
            <w:tcW w:w="6206" w:type="dxa"/>
            <w:tcBorders>
              <w:top w:val="nil"/>
              <w:left w:val="nil"/>
              <w:bottom w:val="single" w:sz="4" w:space="0" w:color="auto"/>
              <w:right w:val="single" w:sz="4" w:space="0" w:color="auto"/>
            </w:tcBorders>
            <w:shd w:val="clear" w:color="auto" w:fill="auto"/>
            <w:noWrap/>
            <w:vAlign w:val="bottom"/>
            <w:hideMark/>
          </w:tcPr>
          <w:p w14:paraId="1F50690C" w14:textId="77777777" w:rsidR="006A68F3" w:rsidRPr="00CE4E1F" w:rsidRDefault="006A68F3" w:rsidP="00742F09">
            <w:pPr>
              <w:spacing w:line="360" w:lineRule="auto"/>
              <w:contextualSpacing/>
              <w:jc w:val="both"/>
              <w:rPr>
                <w:sz w:val="18"/>
                <w:szCs w:val="18"/>
              </w:rPr>
            </w:pPr>
            <w:r w:rsidRPr="00CE4E1F">
              <w:rPr>
                <w:sz w:val="18"/>
                <w:szCs w:val="18"/>
              </w:rPr>
              <w:t>NM_001101.2:1010</w:t>
            </w:r>
          </w:p>
        </w:tc>
      </w:tr>
      <w:tr w:rsidR="006A68F3" w:rsidRPr="00CE4E1F" w14:paraId="470E0CF3"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384B9CC"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75D8AFEE" w14:textId="77777777" w:rsidR="006A68F3" w:rsidRPr="00CE4E1F" w:rsidRDefault="006A68F3" w:rsidP="00742F09">
            <w:pPr>
              <w:spacing w:line="360" w:lineRule="auto"/>
              <w:contextualSpacing/>
              <w:jc w:val="both"/>
              <w:rPr>
                <w:i/>
                <w:iCs/>
                <w:sz w:val="18"/>
                <w:szCs w:val="18"/>
              </w:rPr>
            </w:pPr>
            <w:r w:rsidRPr="00CE4E1F">
              <w:rPr>
                <w:i/>
                <w:iCs/>
                <w:sz w:val="18"/>
                <w:szCs w:val="18"/>
              </w:rPr>
              <w:t>AK3</w:t>
            </w:r>
          </w:p>
        </w:tc>
        <w:tc>
          <w:tcPr>
            <w:tcW w:w="6206" w:type="dxa"/>
            <w:tcBorders>
              <w:top w:val="nil"/>
              <w:left w:val="nil"/>
              <w:bottom w:val="single" w:sz="4" w:space="0" w:color="auto"/>
              <w:right w:val="single" w:sz="4" w:space="0" w:color="auto"/>
            </w:tcBorders>
            <w:shd w:val="clear" w:color="auto" w:fill="auto"/>
            <w:noWrap/>
            <w:vAlign w:val="bottom"/>
            <w:hideMark/>
          </w:tcPr>
          <w:p w14:paraId="14E24216" w14:textId="77777777" w:rsidR="006A68F3" w:rsidRPr="00CE4E1F" w:rsidRDefault="006A68F3" w:rsidP="00742F09">
            <w:pPr>
              <w:spacing w:line="360" w:lineRule="auto"/>
              <w:contextualSpacing/>
              <w:jc w:val="both"/>
              <w:rPr>
                <w:sz w:val="18"/>
                <w:szCs w:val="18"/>
              </w:rPr>
            </w:pPr>
            <w:r w:rsidRPr="00CE4E1F">
              <w:rPr>
                <w:sz w:val="18"/>
                <w:szCs w:val="18"/>
              </w:rPr>
              <w:t>NM_016282.2:450</w:t>
            </w:r>
          </w:p>
        </w:tc>
      </w:tr>
      <w:tr w:rsidR="006A68F3" w:rsidRPr="00CE4E1F" w14:paraId="28770912"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113A0A5"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69068FAA" w14:textId="77777777" w:rsidR="006A68F3" w:rsidRPr="00CE4E1F" w:rsidRDefault="006A68F3" w:rsidP="00742F09">
            <w:pPr>
              <w:spacing w:line="360" w:lineRule="auto"/>
              <w:contextualSpacing/>
              <w:jc w:val="both"/>
              <w:rPr>
                <w:i/>
                <w:iCs/>
                <w:sz w:val="18"/>
                <w:szCs w:val="18"/>
              </w:rPr>
            </w:pPr>
            <w:r w:rsidRPr="00CE4E1F">
              <w:rPr>
                <w:i/>
                <w:iCs/>
                <w:sz w:val="18"/>
                <w:szCs w:val="18"/>
              </w:rPr>
              <w:t>B2M</w:t>
            </w:r>
          </w:p>
        </w:tc>
        <w:tc>
          <w:tcPr>
            <w:tcW w:w="6206" w:type="dxa"/>
            <w:tcBorders>
              <w:top w:val="nil"/>
              <w:left w:val="nil"/>
              <w:bottom w:val="single" w:sz="4" w:space="0" w:color="auto"/>
              <w:right w:val="single" w:sz="4" w:space="0" w:color="auto"/>
            </w:tcBorders>
            <w:shd w:val="clear" w:color="auto" w:fill="auto"/>
            <w:noWrap/>
            <w:vAlign w:val="bottom"/>
            <w:hideMark/>
          </w:tcPr>
          <w:p w14:paraId="3BC24FAA" w14:textId="77777777" w:rsidR="006A68F3" w:rsidRPr="00CE4E1F" w:rsidRDefault="006A68F3" w:rsidP="00742F09">
            <w:pPr>
              <w:spacing w:line="360" w:lineRule="auto"/>
              <w:contextualSpacing/>
              <w:jc w:val="both"/>
              <w:rPr>
                <w:sz w:val="18"/>
                <w:szCs w:val="18"/>
              </w:rPr>
            </w:pPr>
            <w:r w:rsidRPr="00CE4E1F">
              <w:rPr>
                <w:sz w:val="18"/>
                <w:szCs w:val="18"/>
              </w:rPr>
              <w:t>NM_004048.2:235</w:t>
            </w:r>
          </w:p>
        </w:tc>
      </w:tr>
      <w:tr w:rsidR="006A68F3" w:rsidRPr="00CE4E1F" w14:paraId="5F89C386"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9A3C8FC"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1B625666" w14:textId="77777777" w:rsidR="006A68F3" w:rsidRPr="00CE4E1F" w:rsidRDefault="006A68F3" w:rsidP="00742F09">
            <w:pPr>
              <w:spacing w:line="360" w:lineRule="auto"/>
              <w:contextualSpacing/>
              <w:jc w:val="both"/>
              <w:rPr>
                <w:i/>
                <w:iCs/>
                <w:sz w:val="18"/>
                <w:szCs w:val="18"/>
              </w:rPr>
            </w:pPr>
            <w:r w:rsidRPr="00CE4E1F">
              <w:rPr>
                <w:i/>
                <w:iCs/>
                <w:sz w:val="18"/>
                <w:szCs w:val="18"/>
              </w:rPr>
              <w:t>CASC3</w:t>
            </w:r>
          </w:p>
        </w:tc>
        <w:tc>
          <w:tcPr>
            <w:tcW w:w="6206" w:type="dxa"/>
            <w:tcBorders>
              <w:top w:val="nil"/>
              <w:left w:val="nil"/>
              <w:bottom w:val="single" w:sz="4" w:space="0" w:color="auto"/>
              <w:right w:val="single" w:sz="4" w:space="0" w:color="auto"/>
            </w:tcBorders>
            <w:shd w:val="clear" w:color="auto" w:fill="auto"/>
            <w:noWrap/>
            <w:vAlign w:val="bottom"/>
            <w:hideMark/>
          </w:tcPr>
          <w:p w14:paraId="26993B6E" w14:textId="77777777" w:rsidR="006A68F3" w:rsidRPr="00CE4E1F" w:rsidRDefault="006A68F3" w:rsidP="00742F09">
            <w:pPr>
              <w:spacing w:line="360" w:lineRule="auto"/>
              <w:contextualSpacing/>
              <w:jc w:val="both"/>
              <w:rPr>
                <w:sz w:val="18"/>
                <w:szCs w:val="18"/>
              </w:rPr>
            </w:pPr>
            <w:r w:rsidRPr="00CE4E1F">
              <w:rPr>
                <w:sz w:val="18"/>
                <w:szCs w:val="18"/>
              </w:rPr>
              <w:t>NM_007359.3:3505</w:t>
            </w:r>
          </w:p>
        </w:tc>
      </w:tr>
      <w:tr w:rsidR="006A68F3" w:rsidRPr="00CE4E1F" w14:paraId="556E27CA"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31EE058"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129162B1" w14:textId="77777777" w:rsidR="006A68F3" w:rsidRPr="00CE4E1F" w:rsidRDefault="006A68F3" w:rsidP="00742F09">
            <w:pPr>
              <w:spacing w:line="360" w:lineRule="auto"/>
              <w:contextualSpacing/>
              <w:jc w:val="both"/>
              <w:rPr>
                <w:i/>
                <w:iCs/>
                <w:sz w:val="18"/>
                <w:szCs w:val="18"/>
              </w:rPr>
            </w:pPr>
            <w:r w:rsidRPr="00CE4E1F">
              <w:rPr>
                <w:i/>
                <w:iCs/>
                <w:sz w:val="18"/>
                <w:szCs w:val="18"/>
              </w:rPr>
              <w:t>COQ4</w:t>
            </w:r>
          </w:p>
        </w:tc>
        <w:tc>
          <w:tcPr>
            <w:tcW w:w="6206" w:type="dxa"/>
            <w:tcBorders>
              <w:top w:val="nil"/>
              <w:left w:val="nil"/>
              <w:bottom w:val="single" w:sz="4" w:space="0" w:color="auto"/>
              <w:right w:val="single" w:sz="4" w:space="0" w:color="auto"/>
            </w:tcBorders>
            <w:shd w:val="clear" w:color="auto" w:fill="auto"/>
            <w:noWrap/>
            <w:vAlign w:val="bottom"/>
            <w:hideMark/>
          </w:tcPr>
          <w:p w14:paraId="6E83E828" w14:textId="77777777" w:rsidR="006A68F3" w:rsidRPr="00CE4E1F" w:rsidRDefault="006A68F3" w:rsidP="00742F09">
            <w:pPr>
              <w:spacing w:line="360" w:lineRule="auto"/>
              <w:contextualSpacing/>
              <w:jc w:val="both"/>
              <w:rPr>
                <w:sz w:val="18"/>
                <w:szCs w:val="18"/>
              </w:rPr>
            </w:pPr>
            <w:r w:rsidRPr="00CE4E1F">
              <w:rPr>
                <w:sz w:val="18"/>
                <w:szCs w:val="18"/>
              </w:rPr>
              <w:t>NM_016035.3:114</w:t>
            </w:r>
          </w:p>
        </w:tc>
      </w:tr>
      <w:tr w:rsidR="006A68F3" w:rsidRPr="00CE4E1F" w14:paraId="68749EEF"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DF94187"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5E53CD61" w14:textId="77777777" w:rsidR="006A68F3" w:rsidRPr="00CE4E1F" w:rsidRDefault="006A68F3" w:rsidP="00742F09">
            <w:pPr>
              <w:spacing w:line="360" w:lineRule="auto"/>
              <w:contextualSpacing/>
              <w:jc w:val="both"/>
              <w:rPr>
                <w:i/>
                <w:iCs/>
                <w:sz w:val="18"/>
                <w:szCs w:val="18"/>
              </w:rPr>
            </w:pPr>
            <w:r w:rsidRPr="00CE4E1F">
              <w:rPr>
                <w:i/>
                <w:iCs/>
                <w:sz w:val="18"/>
                <w:szCs w:val="18"/>
              </w:rPr>
              <w:t>GUSB</w:t>
            </w:r>
          </w:p>
        </w:tc>
        <w:tc>
          <w:tcPr>
            <w:tcW w:w="6206" w:type="dxa"/>
            <w:tcBorders>
              <w:top w:val="nil"/>
              <w:left w:val="nil"/>
              <w:bottom w:val="single" w:sz="4" w:space="0" w:color="auto"/>
              <w:right w:val="single" w:sz="4" w:space="0" w:color="auto"/>
            </w:tcBorders>
            <w:shd w:val="clear" w:color="auto" w:fill="auto"/>
            <w:noWrap/>
            <w:vAlign w:val="bottom"/>
            <w:hideMark/>
          </w:tcPr>
          <w:p w14:paraId="4FFAED76" w14:textId="77777777" w:rsidR="006A68F3" w:rsidRPr="00CE4E1F" w:rsidRDefault="006A68F3" w:rsidP="00742F09">
            <w:pPr>
              <w:spacing w:line="360" w:lineRule="auto"/>
              <w:contextualSpacing/>
              <w:jc w:val="both"/>
              <w:rPr>
                <w:sz w:val="18"/>
                <w:szCs w:val="18"/>
              </w:rPr>
            </w:pPr>
            <w:r w:rsidRPr="00CE4E1F">
              <w:rPr>
                <w:sz w:val="18"/>
                <w:szCs w:val="18"/>
              </w:rPr>
              <w:t>NM_000181.3:1899</w:t>
            </w:r>
          </w:p>
        </w:tc>
      </w:tr>
      <w:tr w:rsidR="006A68F3" w:rsidRPr="00CE4E1F" w14:paraId="687D05D0"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D021336"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33A7D709" w14:textId="77777777" w:rsidR="006A68F3" w:rsidRPr="00CE4E1F" w:rsidRDefault="006A68F3" w:rsidP="00742F09">
            <w:pPr>
              <w:spacing w:line="360" w:lineRule="auto"/>
              <w:contextualSpacing/>
              <w:jc w:val="both"/>
              <w:rPr>
                <w:i/>
                <w:iCs/>
                <w:sz w:val="18"/>
                <w:szCs w:val="18"/>
              </w:rPr>
            </w:pPr>
            <w:r w:rsidRPr="00CE4E1F">
              <w:rPr>
                <w:i/>
                <w:iCs/>
                <w:sz w:val="18"/>
                <w:szCs w:val="18"/>
              </w:rPr>
              <w:t>HPRT1</w:t>
            </w:r>
          </w:p>
        </w:tc>
        <w:tc>
          <w:tcPr>
            <w:tcW w:w="6206" w:type="dxa"/>
            <w:tcBorders>
              <w:top w:val="nil"/>
              <w:left w:val="nil"/>
              <w:bottom w:val="single" w:sz="4" w:space="0" w:color="auto"/>
              <w:right w:val="single" w:sz="4" w:space="0" w:color="auto"/>
            </w:tcBorders>
            <w:shd w:val="clear" w:color="auto" w:fill="auto"/>
            <w:noWrap/>
            <w:vAlign w:val="bottom"/>
            <w:hideMark/>
          </w:tcPr>
          <w:p w14:paraId="48F134A2" w14:textId="77777777" w:rsidR="006A68F3" w:rsidRPr="00CE4E1F" w:rsidRDefault="006A68F3" w:rsidP="00742F09">
            <w:pPr>
              <w:spacing w:line="360" w:lineRule="auto"/>
              <w:contextualSpacing/>
              <w:jc w:val="both"/>
              <w:rPr>
                <w:sz w:val="18"/>
                <w:szCs w:val="18"/>
              </w:rPr>
            </w:pPr>
            <w:r w:rsidRPr="00CE4E1F">
              <w:rPr>
                <w:sz w:val="18"/>
                <w:szCs w:val="18"/>
              </w:rPr>
              <w:t>NM_000194.1:240</w:t>
            </w:r>
          </w:p>
        </w:tc>
      </w:tr>
      <w:tr w:rsidR="006A68F3" w:rsidRPr="00CE4E1F" w14:paraId="2554F8B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F54EA09"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17A31D36" w14:textId="77777777" w:rsidR="006A68F3" w:rsidRPr="00CE4E1F" w:rsidRDefault="006A68F3" w:rsidP="00742F09">
            <w:pPr>
              <w:spacing w:line="360" w:lineRule="auto"/>
              <w:contextualSpacing/>
              <w:jc w:val="both"/>
              <w:rPr>
                <w:i/>
                <w:iCs/>
                <w:sz w:val="18"/>
                <w:szCs w:val="18"/>
              </w:rPr>
            </w:pPr>
            <w:r w:rsidRPr="00CE4E1F">
              <w:rPr>
                <w:i/>
                <w:iCs/>
                <w:sz w:val="18"/>
                <w:szCs w:val="18"/>
              </w:rPr>
              <w:t>LDHA</w:t>
            </w:r>
          </w:p>
        </w:tc>
        <w:tc>
          <w:tcPr>
            <w:tcW w:w="6206" w:type="dxa"/>
            <w:tcBorders>
              <w:top w:val="nil"/>
              <w:left w:val="nil"/>
              <w:bottom w:val="single" w:sz="4" w:space="0" w:color="auto"/>
              <w:right w:val="single" w:sz="4" w:space="0" w:color="auto"/>
            </w:tcBorders>
            <w:shd w:val="clear" w:color="auto" w:fill="auto"/>
            <w:noWrap/>
            <w:vAlign w:val="bottom"/>
            <w:hideMark/>
          </w:tcPr>
          <w:p w14:paraId="67A44E19" w14:textId="77777777" w:rsidR="006A68F3" w:rsidRPr="00CE4E1F" w:rsidRDefault="006A68F3" w:rsidP="00742F09">
            <w:pPr>
              <w:spacing w:line="360" w:lineRule="auto"/>
              <w:contextualSpacing/>
              <w:jc w:val="both"/>
              <w:rPr>
                <w:sz w:val="18"/>
                <w:szCs w:val="18"/>
              </w:rPr>
            </w:pPr>
            <w:r w:rsidRPr="00CE4E1F">
              <w:rPr>
                <w:sz w:val="18"/>
                <w:szCs w:val="18"/>
              </w:rPr>
              <w:t>NM_001165414.1:1690</w:t>
            </w:r>
          </w:p>
        </w:tc>
      </w:tr>
      <w:tr w:rsidR="006A68F3" w:rsidRPr="00CE4E1F" w14:paraId="1E9A86B6"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7D73477"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26048FD9" w14:textId="77777777" w:rsidR="006A68F3" w:rsidRPr="00CE4E1F" w:rsidRDefault="006A68F3" w:rsidP="00742F09">
            <w:pPr>
              <w:spacing w:line="360" w:lineRule="auto"/>
              <w:contextualSpacing/>
              <w:jc w:val="both"/>
              <w:rPr>
                <w:i/>
                <w:iCs/>
                <w:sz w:val="18"/>
                <w:szCs w:val="18"/>
              </w:rPr>
            </w:pPr>
            <w:r w:rsidRPr="00CE4E1F">
              <w:rPr>
                <w:i/>
                <w:iCs/>
                <w:sz w:val="18"/>
                <w:szCs w:val="18"/>
              </w:rPr>
              <w:t>LNPK</w:t>
            </w:r>
          </w:p>
        </w:tc>
        <w:tc>
          <w:tcPr>
            <w:tcW w:w="6206" w:type="dxa"/>
            <w:tcBorders>
              <w:top w:val="nil"/>
              <w:left w:val="nil"/>
              <w:bottom w:val="single" w:sz="4" w:space="0" w:color="auto"/>
              <w:right w:val="single" w:sz="4" w:space="0" w:color="auto"/>
            </w:tcBorders>
            <w:shd w:val="clear" w:color="auto" w:fill="auto"/>
            <w:noWrap/>
            <w:vAlign w:val="bottom"/>
            <w:hideMark/>
          </w:tcPr>
          <w:p w14:paraId="180F50C6" w14:textId="77777777" w:rsidR="006A68F3" w:rsidRPr="00CE4E1F" w:rsidRDefault="006A68F3" w:rsidP="00742F09">
            <w:pPr>
              <w:spacing w:line="360" w:lineRule="auto"/>
              <w:contextualSpacing/>
              <w:jc w:val="both"/>
              <w:rPr>
                <w:sz w:val="18"/>
                <w:szCs w:val="18"/>
              </w:rPr>
            </w:pPr>
            <w:r w:rsidRPr="00CE4E1F">
              <w:rPr>
                <w:sz w:val="18"/>
                <w:szCs w:val="18"/>
              </w:rPr>
              <w:t>NM_030650.1:1144</w:t>
            </w:r>
          </w:p>
        </w:tc>
      </w:tr>
      <w:tr w:rsidR="006A68F3" w:rsidRPr="00CE4E1F" w14:paraId="2DA1BE70"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92EB23C"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7F787186" w14:textId="77777777" w:rsidR="006A68F3" w:rsidRPr="00CE4E1F" w:rsidRDefault="006A68F3" w:rsidP="00742F09">
            <w:pPr>
              <w:spacing w:line="360" w:lineRule="auto"/>
              <w:contextualSpacing/>
              <w:jc w:val="both"/>
              <w:rPr>
                <w:i/>
                <w:iCs/>
                <w:sz w:val="18"/>
                <w:szCs w:val="18"/>
              </w:rPr>
            </w:pPr>
            <w:r w:rsidRPr="00CE4E1F">
              <w:rPr>
                <w:i/>
                <w:iCs/>
                <w:sz w:val="18"/>
                <w:szCs w:val="18"/>
              </w:rPr>
              <w:t>MRPL19</w:t>
            </w:r>
          </w:p>
        </w:tc>
        <w:tc>
          <w:tcPr>
            <w:tcW w:w="6206" w:type="dxa"/>
            <w:tcBorders>
              <w:top w:val="nil"/>
              <w:left w:val="nil"/>
              <w:bottom w:val="single" w:sz="4" w:space="0" w:color="auto"/>
              <w:right w:val="single" w:sz="4" w:space="0" w:color="auto"/>
            </w:tcBorders>
            <w:shd w:val="clear" w:color="auto" w:fill="auto"/>
            <w:noWrap/>
            <w:vAlign w:val="bottom"/>
            <w:hideMark/>
          </w:tcPr>
          <w:p w14:paraId="4AA817B1" w14:textId="77777777" w:rsidR="006A68F3" w:rsidRPr="00CE4E1F" w:rsidRDefault="006A68F3" w:rsidP="00742F09">
            <w:pPr>
              <w:spacing w:line="360" w:lineRule="auto"/>
              <w:contextualSpacing/>
              <w:jc w:val="both"/>
              <w:rPr>
                <w:sz w:val="18"/>
                <w:szCs w:val="18"/>
              </w:rPr>
            </w:pPr>
            <w:r w:rsidRPr="00CE4E1F">
              <w:rPr>
                <w:sz w:val="18"/>
                <w:szCs w:val="18"/>
              </w:rPr>
              <w:t>NM_014763.3:364</w:t>
            </w:r>
          </w:p>
        </w:tc>
      </w:tr>
      <w:tr w:rsidR="006A68F3" w:rsidRPr="00CE4E1F" w14:paraId="6DCE9752"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113A010"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58F04354" w14:textId="77777777" w:rsidR="006A68F3" w:rsidRPr="00CE4E1F" w:rsidRDefault="006A68F3" w:rsidP="00742F09">
            <w:pPr>
              <w:spacing w:line="360" w:lineRule="auto"/>
              <w:contextualSpacing/>
              <w:jc w:val="both"/>
              <w:rPr>
                <w:i/>
                <w:iCs/>
                <w:sz w:val="18"/>
                <w:szCs w:val="18"/>
              </w:rPr>
            </w:pPr>
            <w:r w:rsidRPr="00CE4E1F">
              <w:rPr>
                <w:i/>
                <w:iCs/>
                <w:sz w:val="18"/>
                <w:szCs w:val="18"/>
              </w:rPr>
              <w:t>NUDT2</w:t>
            </w:r>
          </w:p>
        </w:tc>
        <w:tc>
          <w:tcPr>
            <w:tcW w:w="6206" w:type="dxa"/>
            <w:tcBorders>
              <w:top w:val="nil"/>
              <w:left w:val="nil"/>
              <w:bottom w:val="single" w:sz="4" w:space="0" w:color="auto"/>
              <w:right w:val="single" w:sz="4" w:space="0" w:color="auto"/>
            </w:tcBorders>
            <w:shd w:val="clear" w:color="auto" w:fill="auto"/>
            <w:noWrap/>
            <w:vAlign w:val="bottom"/>
            <w:hideMark/>
          </w:tcPr>
          <w:p w14:paraId="1453CC3A" w14:textId="77777777" w:rsidR="006A68F3" w:rsidRPr="00CE4E1F" w:rsidRDefault="006A68F3" w:rsidP="00742F09">
            <w:pPr>
              <w:spacing w:line="360" w:lineRule="auto"/>
              <w:contextualSpacing/>
              <w:jc w:val="both"/>
              <w:rPr>
                <w:sz w:val="18"/>
                <w:szCs w:val="18"/>
              </w:rPr>
            </w:pPr>
            <w:r w:rsidRPr="00CE4E1F">
              <w:rPr>
                <w:sz w:val="18"/>
                <w:szCs w:val="18"/>
              </w:rPr>
              <w:t>NM_147173.1:445</w:t>
            </w:r>
          </w:p>
        </w:tc>
      </w:tr>
      <w:tr w:rsidR="006A68F3" w:rsidRPr="00CE4E1F" w14:paraId="0EB028F4"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9902538"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19F095B6" w14:textId="77777777" w:rsidR="006A68F3" w:rsidRPr="00CE4E1F" w:rsidRDefault="006A68F3" w:rsidP="00742F09">
            <w:pPr>
              <w:spacing w:line="360" w:lineRule="auto"/>
              <w:contextualSpacing/>
              <w:jc w:val="both"/>
              <w:rPr>
                <w:i/>
                <w:iCs/>
                <w:sz w:val="18"/>
                <w:szCs w:val="18"/>
              </w:rPr>
            </w:pPr>
            <w:r w:rsidRPr="00CE4E1F">
              <w:rPr>
                <w:i/>
                <w:iCs/>
                <w:sz w:val="18"/>
                <w:szCs w:val="18"/>
              </w:rPr>
              <w:t>POP4</w:t>
            </w:r>
          </w:p>
        </w:tc>
        <w:tc>
          <w:tcPr>
            <w:tcW w:w="6206" w:type="dxa"/>
            <w:tcBorders>
              <w:top w:val="nil"/>
              <w:left w:val="nil"/>
              <w:bottom w:val="single" w:sz="4" w:space="0" w:color="auto"/>
              <w:right w:val="single" w:sz="4" w:space="0" w:color="auto"/>
            </w:tcBorders>
            <w:shd w:val="clear" w:color="auto" w:fill="auto"/>
            <w:noWrap/>
            <w:vAlign w:val="bottom"/>
            <w:hideMark/>
          </w:tcPr>
          <w:p w14:paraId="3DAC1BB8" w14:textId="77777777" w:rsidR="006A68F3" w:rsidRPr="00CE4E1F" w:rsidRDefault="006A68F3" w:rsidP="00742F09">
            <w:pPr>
              <w:spacing w:line="360" w:lineRule="auto"/>
              <w:contextualSpacing/>
              <w:jc w:val="both"/>
              <w:rPr>
                <w:sz w:val="18"/>
                <w:szCs w:val="18"/>
              </w:rPr>
            </w:pPr>
            <w:r w:rsidRPr="00CE4E1F">
              <w:rPr>
                <w:sz w:val="18"/>
                <w:szCs w:val="18"/>
              </w:rPr>
              <w:t>NM_006627.1:765</w:t>
            </w:r>
          </w:p>
        </w:tc>
      </w:tr>
      <w:tr w:rsidR="006A68F3" w:rsidRPr="00CE4E1F" w14:paraId="42861F52"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71FDA95"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3C11339C" w14:textId="77777777" w:rsidR="006A68F3" w:rsidRPr="00CE4E1F" w:rsidRDefault="006A68F3" w:rsidP="00742F09">
            <w:pPr>
              <w:spacing w:line="360" w:lineRule="auto"/>
              <w:contextualSpacing/>
              <w:jc w:val="both"/>
              <w:rPr>
                <w:i/>
                <w:iCs/>
                <w:sz w:val="18"/>
                <w:szCs w:val="18"/>
              </w:rPr>
            </w:pPr>
            <w:r w:rsidRPr="00CE4E1F">
              <w:rPr>
                <w:i/>
                <w:iCs/>
                <w:sz w:val="18"/>
                <w:szCs w:val="18"/>
              </w:rPr>
              <w:t>PPIA</w:t>
            </w:r>
          </w:p>
        </w:tc>
        <w:tc>
          <w:tcPr>
            <w:tcW w:w="6206" w:type="dxa"/>
            <w:tcBorders>
              <w:top w:val="nil"/>
              <w:left w:val="nil"/>
              <w:bottom w:val="single" w:sz="4" w:space="0" w:color="auto"/>
              <w:right w:val="single" w:sz="4" w:space="0" w:color="auto"/>
            </w:tcBorders>
            <w:shd w:val="clear" w:color="auto" w:fill="auto"/>
            <w:noWrap/>
            <w:vAlign w:val="bottom"/>
            <w:hideMark/>
          </w:tcPr>
          <w:p w14:paraId="7AF5CB53" w14:textId="77777777" w:rsidR="006A68F3" w:rsidRPr="00CE4E1F" w:rsidRDefault="006A68F3" w:rsidP="00742F09">
            <w:pPr>
              <w:spacing w:line="360" w:lineRule="auto"/>
              <w:contextualSpacing/>
              <w:jc w:val="both"/>
              <w:rPr>
                <w:sz w:val="18"/>
                <w:szCs w:val="18"/>
              </w:rPr>
            </w:pPr>
            <w:r w:rsidRPr="00CE4E1F">
              <w:rPr>
                <w:sz w:val="18"/>
                <w:szCs w:val="18"/>
              </w:rPr>
              <w:t>NM_021130.3:315</w:t>
            </w:r>
          </w:p>
        </w:tc>
      </w:tr>
      <w:tr w:rsidR="006A68F3" w:rsidRPr="00CE4E1F" w14:paraId="06A6DC3B"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E6C637C"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0F314598" w14:textId="77777777" w:rsidR="006A68F3" w:rsidRPr="00CE4E1F" w:rsidRDefault="006A68F3" w:rsidP="00742F09">
            <w:pPr>
              <w:spacing w:line="360" w:lineRule="auto"/>
              <w:contextualSpacing/>
              <w:jc w:val="both"/>
              <w:rPr>
                <w:i/>
                <w:iCs/>
                <w:sz w:val="18"/>
                <w:szCs w:val="18"/>
              </w:rPr>
            </w:pPr>
            <w:r w:rsidRPr="00CE4E1F">
              <w:rPr>
                <w:i/>
                <w:iCs/>
                <w:sz w:val="18"/>
                <w:szCs w:val="18"/>
              </w:rPr>
              <w:t>RAPGEF1</w:t>
            </w:r>
          </w:p>
        </w:tc>
        <w:tc>
          <w:tcPr>
            <w:tcW w:w="6206" w:type="dxa"/>
            <w:tcBorders>
              <w:top w:val="nil"/>
              <w:left w:val="nil"/>
              <w:bottom w:val="single" w:sz="4" w:space="0" w:color="auto"/>
              <w:right w:val="single" w:sz="4" w:space="0" w:color="auto"/>
            </w:tcBorders>
            <w:shd w:val="clear" w:color="auto" w:fill="auto"/>
            <w:noWrap/>
            <w:vAlign w:val="bottom"/>
            <w:hideMark/>
          </w:tcPr>
          <w:p w14:paraId="70479EE0" w14:textId="77777777" w:rsidR="006A68F3" w:rsidRPr="00CE4E1F" w:rsidRDefault="006A68F3" w:rsidP="00742F09">
            <w:pPr>
              <w:spacing w:line="360" w:lineRule="auto"/>
              <w:contextualSpacing/>
              <w:jc w:val="both"/>
              <w:rPr>
                <w:sz w:val="18"/>
                <w:szCs w:val="18"/>
              </w:rPr>
            </w:pPr>
            <w:r w:rsidRPr="00CE4E1F">
              <w:rPr>
                <w:sz w:val="18"/>
                <w:szCs w:val="18"/>
              </w:rPr>
              <w:t>NM_005312.2:1705</w:t>
            </w:r>
          </w:p>
        </w:tc>
      </w:tr>
      <w:tr w:rsidR="006A68F3" w:rsidRPr="00CE4E1F" w14:paraId="6C06893F" w14:textId="77777777" w:rsidTr="000239D5">
        <w:trPr>
          <w:trHeight w:val="320"/>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A5B89CA"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34C1F9BA" w14:textId="77777777" w:rsidR="006A68F3" w:rsidRPr="00CE4E1F" w:rsidRDefault="006A68F3" w:rsidP="00742F09">
            <w:pPr>
              <w:spacing w:line="360" w:lineRule="auto"/>
              <w:contextualSpacing/>
              <w:jc w:val="both"/>
              <w:rPr>
                <w:i/>
                <w:iCs/>
                <w:sz w:val="18"/>
                <w:szCs w:val="18"/>
              </w:rPr>
            </w:pPr>
            <w:r w:rsidRPr="00CE4E1F">
              <w:rPr>
                <w:i/>
                <w:iCs/>
                <w:sz w:val="18"/>
                <w:szCs w:val="18"/>
              </w:rPr>
              <w:t>RETREG2</w:t>
            </w:r>
          </w:p>
        </w:tc>
        <w:tc>
          <w:tcPr>
            <w:tcW w:w="6206" w:type="dxa"/>
            <w:tcBorders>
              <w:top w:val="nil"/>
              <w:left w:val="nil"/>
              <w:bottom w:val="single" w:sz="4" w:space="0" w:color="auto"/>
              <w:right w:val="single" w:sz="4" w:space="0" w:color="auto"/>
            </w:tcBorders>
            <w:shd w:val="clear" w:color="auto" w:fill="auto"/>
            <w:noWrap/>
            <w:vAlign w:val="bottom"/>
            <w:hideMark/>
          </w:tcPr>
          <w:p w14:paraId="10962B44" w14:textId="77777777" w:rsidR="006A68F3" w:rsidRPr="00CE4E1F" w:rsidRDefault="006A68F3" w:rsidP="00742F09">
            <w:pPr>
              <w:spacing w:line="360" w:lineRule="auto"/>
              <w:contextualSpacing/>
              <w:jc w:val="both"/>
              <w:rPr>
                <w:sz w:val="18"/>
                <w:szCs w:val="18"/>
              </w:rPr>
            </w:pPr>
            <w:r w:rsidRPr="00CE4E1F">
              <w:rPr>
                <w:sz w:val="18"/>
                <w:szCs w:val="18"/>
              </w:rPr>
              <w:t>NM_024293.4:2341</w:t>
            </w:r>
          </w:p>
        </w:tc>
      </w:tr>
      <w:tr w:rsidR="006A68F3" w:rsidRPr="00CE4E1F" w14:paraId="4457780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51CC22E8"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1F640336" w14:textId="77777777" w:rsidR="006A68F3" w:rsidRPr="00CE4E1F" w:rsidRDefault="006A68F3" w:rsidP="00742F09">
            <w:pPr>
              <w:spacing w:line="360" w:lineRule="auto"/>
              <w:contextualSpacing/>
              <w:jc w:val="both"/>
              <w:rPr>
                <w:i/>
                <w:iCs/>
                <w:sz w:val="18"/>
                <w:szCs w:val="18"/>
              </w:rPr>
            </w:pPr>
            <w:r w:rsidRPr="00CE4E1F">
              <w:rPr>
                <w:i/>
                <w:iCs/>
                <w:sz w:val="18"/>
                <w:szCs w:val="18"/>
              </w:rPr>
              <w:t>RPL19</w:t>
            </w:r>
          </w:p>
        </w:tc>
        <w:tc>
          <w:tcPr>
            <w:tcW w:w="6206" w:type="dxa"/>
            <w:tcBorders>
              <w:top w:val="nil"/>
              <w:left w:val="nil"/>
              <w:bottom w:val="single" w:sz="4" w:space="0" w:color="auto"/>
              <w:right w:val="single" w:sz="4" w:space="0" w:color="auto"/>
            </w:tcBorders>
            <w:shd w:val="clear" w:color="auto" w:fill="auto"/>
            <w:noWrap/>
            <w:vAlign w:val="bottom"/>
            <w:hideMark/>
          </w:tcPr>
          <w:p w14:paraId="5ADBFBCB" w14:textId="77777777" w:rsidR="006A68F3" w:rsidRPr="00CE4E1F" w:rsidRDefault="006A68F3" w:rsidP="00742F09">
            <w:pPr>
              <w:spacing w:line="360" w:lineRule="auto"/>
              <w:contextualSpacing/>
              <w:jc w:val="both"/>
              <w:rPr>
                <w:sz w:val="18"/>
                <w:szCs w:val="18"/>
              </w:rPr>
            </w:pPr>
            <w:r w:rsidRPr="00CE4E1F">
              <w:rPr>
                <w:sz w:val="18"/>
                <w:szCs w:val="18"/>
              </w:rPr>
              <w:t>NM_000981.3:315</w:t>
            </w:r>
          </w:p>
        </w:tc>
      </w:tr>
      <w:tr w:rsidR="006A68F3" w:rsidRPr="00CE4E1F" w14:paraId="3A498A22" w14:textId="77777777" w:rsidTr="000239D5">
        <w:trPr>
          <w:trHeight w:val="89"/>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AA4AA36"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4A22DB9E" w14:textId="77777777" w:rsidR="006A68F3" w:rsidRPr="00CE4E1F" w:rsidRDefault="006A68F3" w:rsidP="00742F09">
            <w:pPr>
              <w:spacing w:line="360" w:lineRule="auto"/>
              <w:contextualSpacing/>
              <w:jc w:val="both"/>
              <w:rPr>
                <w:i/>
                <w:iCs/>
                <w:sz w:val="18"/>
                <w:szCs w:val="18"/>
              </w:rPr>
            </w:pPr>
            <w:r w:rsidRPr="00CE4E1F">
              <w:rPr>
                <w:i/>
                <w:iCs/>
                <w:sz w:val="18"/>
                <w:szCs w:val="18"/>
              </w:rPr>
              <w:t>RPLP0</w:t>
            </w:r>
          </w:p>
        </w:tc>
        <w:tc>
          <w:tcPr>
            <w:tcW w:w="6206" w:type="dxa"/>
            <w:tcBorders>
              <w:top w:val="nil"/>
              <w:left w:val="nil"/>
              <w:bottom w:val="single" w:sz="4" w:space="0" w:color="auto"/>
              <w:right w:val="single" w:sz="4" w:space="0" w:color="auto"/>
            </w:tcBorders>
            <w:shd w:val="clear" w:color="auto" w:fill="auto"/>
            <w:noWrap/>
            <w:vAlign w:val="bottom"/>
            <w:hideMark/>
          </w:tcPr>
          <w:p w14:paraId="36501BDC" w14:textId="77777777" w:rsidR="006A68F3" w:rsidRPr="00CE4E1F" w:rsidRDefault="006A68F3" w:rsidP="00742F09">
            <w:pPr>
              <w:spacing w:line="360" w:lineRule="auto"/>
              <w:contextualSpacing/>
              <w:jc w:val="both"/>
              <w:rPr>
                <w:sz w:val="18"/>
                <w:szCs w:val="18"/>
              </w:rPr>
            </w:pPr>
            <w:r w:rsidRPr="00CE4E1F">
              <w:rPr>
                <w:sz w:val="18"/>
                <w:szCs w:val="18"/>
              </w:rPr>
              <w:t>NM_001002.3:250</w:t>
            </w:r>
          </w:p>
        </w:tc>
      </w:tr>
      <w:tr w:rsidR="006A68F3" w:rsidRPr="00CE4E1F" w14:paraId="4640F176"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2451192" w14:textId="77777777" w:rsidR="006A68F3" w:rsidRPr="00CE4E1F" w:rsidRDefault="006A68F3" w:rsidP="00742F09">
            <w:pPr>
              <w:spacing w:line="360" w:lineRule="auto"/>
              <w:contextualSpacing/>
              <w:jc w:val="both"/>
              <w:rPr>
                <w:sz w:val="18"/>
                <w:szCs w:val="18"/>
              </w:rPr>
            </w:pPr>
            <w:r w:rsidRPr="00CE4E1F">
              <w:rPr>
                <w:sz w:val="18"/>
                <w:szCs w:val="18"/>
              </w:rPr>
              <w:lastRenderedPageBreak/>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1EBFD200" w14:textId="77777777" w:rsidR="006A68F3" w:rsidRPr="00CE4E1F" w:rsidRDefault="006A68F3" w:rsidP="00742F09">
            <w:pPr>
              <w:spacing w:line="360" w:lineRule="auto"/>
              <w:contextualSpacing/>
              <w:jc w:val="both"/>
              <w:rPr>
                <w:i/>
                <w:iCs/>
                <w:sz w:val="18"/>
                <w:szCs w:val="18"/>
              </w:rPr>
            </w:pPr>
            <w:r w:rsidRPr="00CE4E1F">
              <w:rPr>
                <w:i/>
                <w:iCs/>
                <w:sz w:val="18"/>
                <w:szCs w:val="18"/>
              </w:rPr>
              <w:t>SCRN3</w:t>
            </w:r>
          </w:p>
        </w:tc>
        <w:tc>
          <w:tcPr>
            <w:tcW w:w="6206" w:type="dxa"/>
            <w:tcBorders>
              <w:top w:val="nil"/>
              <w:left w:val="nil"/>
              <w:bottom w:val="single" w:sz="4" w:space="0" w:color="auto"/>
              <w:right w:val="single" w:sz="4" w:space="0" w:color="auto"/>
            </w:tcBorders>
            <w:shd w:val="clear" w:color="auto" w:fill="auto"/>
            <w:noWrap/>
            <w:vAlign w:val="bottom"/>
            <w:hideMark/>
          </w:tcPr>
          <w:p w14:paraId="3FE81A2C" w14:textId="77777777" w:rsidR="006A68F3" w:rsidRPr="00CE4E1F" w:rsidRDefault="006A68F3" w:rsidP="00742F09">
            <w:pPr>
              <w:spacing w:line="360" w:lineRule="auto"/>
              <w:contextualSpacing/>
              <w:jc w:val="both"/>
              <w:rPr>
                <w:sz w:val="18"/>
                <w:szCs w:val="18"/>
              </w:rPr>
            </w:pPr>
            <w:r w:rsidRPr="00CE4E1F">
              <w:rPr>
                <w:sz w:val="18"/>
                <w:szCs w:val="18"/>
              </w:rPr>
              <w:t>NM_001193528.1:564</w:t>
            </w:r>
          </w:p>
        </w:tc>
      </w:tr>
      <w:tr w:rsidR="006A68F3" w:rsidRPr="00CE4E1F" w14:paraId="7931501D"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47C0FC9"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66767CA4" w14:textId="77777777" w:rsidR="006A68F3" w:rsidRPr="00CE4E1F" w:rsidRDefault="006A68F3" w:rsidP="00742F09">
            <w:pPr>
              <w:spacing w:line="360" w:lineRule="auto"/>
              <w:contextualSpacing/>
              <w:jc w:val="both"/>
              <w:rPr>
                <w:i/>
                <w:iCs/>
                <w:sz w:val="18"/>
                <w:szCs w:val="18"/>
              </w:rPr>
            </w:pPr>
            <w:r w:rsidRPr="00CE4E1F">
              <w:rPr>
                <w:i/>
                <w:iCs/>
                <w:sz w:val="18"/>
                <w:szCs w:val="18"/>
              </w:rPr>
              <w:t>SDHA</w:t>
            </w:r>
          </w:p>
        </w:tc>
        <w:tc>
          <w:tcPr>
            <w:tcW w:w="6206" w:type="dxa"/>
            <w:tcBorders>
              <w:top w:val="nil"/>
              <w:left w:val="nil"/>
              <w:bottom w:val="single" w:sz="4" w:space="0" w:color="auto"/>
              <w:right w:val="single" w:sz="4" w:space="0" w:color="auto"/>
            </w:tcBorders>
            <w:shd w:val="clear" w:color="auto" w:fill="auto"/>
            <w:noWrap/>
            <w:vAlign w:val="bottom"/>
            <w:hideMark/>
          </w:tcPr>
          <w:p w14:paraId="6A988B9F" w14:textId="77777777" w:rsidR="006A68F3" w:rsidRPr="00CE4E1F" w:rsidRDefault="006A68F3" w:rsidP="00742F09">
            <w:pPr>
              <w:spacing w:line="360" w:lineRule="auto"/>
              <w:contextualSpacing/>
              <w:jc w:val="both"/>
              <w:rPr>
                <w:sz w:val="18"/>
                <w:szCs w:val="18"/>
              </w:rPr>
            </w:pPr>
            <w:r w:rsidRPr="00CE4E1F">
              <w:rPr>
                <w:sz w:val="18"/>
                <w:szCs w:val="18"/>
              </w:rPr>
              <w:t>NM_004168.1:230</w:t>
            </w:r>
          </w:p>
        </w:tc>
      </w:tr>
      <w:tr w:rsidR="006A68F3" w:rsidRPr="00CE4E1F" w14:paraId="707D5332"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3DB6450"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42A453F6" w14:textId="77777777" w:rsidR="006A68F3" w:rsidRPr="00CE4E1F" w:rsidRDefault="006A68F3" w:rsidP="00742F09">
            <w:pPr>
              <w:spacing w:line="360" w:lineRule="auto"/>
              <w:contextualSpacing/>
              <w:jc w:val="both"/>
              <w:rPr>
                <w:i/>
                <w:iCs/>
                <w:sz w:val="18"/>
                <w:szCs w:val="18"/>
              </w:rPr>
            </w:pPr>
            <w:r w:rsidRPr="00CE4E1F">
              <w:rPr>
                <w:i/>
                <w:iCs/>
                <w:sz w:val="18"/>
                <w:szCs w:val="18"/>
              </w:rPr>
              <w:t>SMC5</w:t>
            </w:r>
          </w:p>
        </w:tc>
        <w:tc>
          <w:tcPr>
            <w:tcW w:w="6206" w:type="dxa"/>
            <w:tcBorders>
              <w:top w:val="nil"/>
              <w:left w:val="nil"/>
              <w:bottom w:val="single" w:sz="4" w:space="0" w:color="auto"/>
              <w:right w:val="single" w:sz="4" w:space="0" w:color="auto"/>
            </w:tcBorders>
            <w:shd w:val="clear" w:color="auto" w:fill="auto"/>
            <w:noWrap/>
            <w:vAlign w:val="bottom"/>
            <w:hideMark/>
          </w:tcPr>
          <w:p w14:paraId="3535EACC" w14:textId="77777777" w:rsidR="006A68F3" w:rsidRPr="00CE4E1F" w:rsidRDefault="006A68F3" w:rsidP="00742F09">
            <w:pPr>
              <w:spacing w:line="360" w:lineRule="auto"/>
              <w:contextualSpacing/>
              <w:jc w:val="both"/>
              <w:rPr>
                <w:sz w:val="18"/>
                <w:szCs w:val="18"/>
              </w:rPr>
            </w:pPr>
            <w:r w:rsidRPr="00CE4E1F">
              <w:rPr>
                <w:sz w:val="18"/>
                <w:szCs w:val="18"/>
              </w:rPr>
              <w:t>NM_015110.3:236</w:t>
            </w:r>
          </w:p>
        </w:tc>
      </w:tr>
      <w:tr w:rsidR="006A68F3" w:rsidRPr="00CE4E1F" w14:paraId="1DD1EA3F"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2EDA31F"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41979CC6" w14:textId="77777777" w:rsidR="006A68F3" w:rsidRPr="00CE4E1F" w:rsidRDefault="006A68F3" w:rsidP="00742F09">
            <w:pPr>
              <w:spacing w:line="360" w:lineRule="auto"/>
              <w:contextualSpacing/>
              <w:jc w:val="both"/>
              <w:rPr>
                <w:i/>
                <w:iCs/>
                <w:sz w:val="18"/>
                <w:szCs w:val="18"/>
              </w:rPr>
            </w:pPr>
            <w:r w:rsidRPr="00CE4E1F">
              <w:rPr>
                <w:i/>
                <w:iCs/>
                <w:sz w:val="18"/>
                <w:szCs w:val="18"/>
              </w:rPr>
              <w:t>TTC21B</w:t>
            </w:r>
          </w:p>
        </w:tc>
        <w:tc>
          <w:tcPr>
            <w:tcW w:w="6206" w:type="dxa"/>
            <w:tcBorders>
              <w:top w:val="nil"/>
              <w:left w:val="nil"/>
              <w:bottom w:val="single" w:sz="4" w:space="0" w:color="auto"/>
              <w:right w:val="single" w:sz="4" w:space="0" w:color="auto"/>
            </w:tcBorders>
            <w:shd w:val="clear" w:color="auto" w:fill="auto"/>
            <w:noWrap/>
            <w:vAlign w:val="bottom"/>
            <w:hideMark/>
          </w:tcPr>
          <w:p w14:paraId="706640D4" w14:textId="77777777" w:rsidR="006A68F3" w:rsidRPr="00CE4E1F" w:rsidRDefault="006A68F3" w:rsidP="00742F09">
            <w:pPr>
              <w:spacing w:line="360" w:lineRule="auto"/>
              <w:contextualSpacing/>
              <w:jc w:val="both"/>
              <w:rPr>
                <w:sz w:val="18"/>
                <w:szCs w:val="18"/>
              </w:rPr>
            </w:pPr>
            <w:r w:rsidRPr="00CE4E1F">
              <w:rPr>
                <w:sz w:val="18"/>
                <w:szCs w:val="18"/>
              </w:rPr>
              <w:t>NM_024753.4:916</w:t>
            </w:r>
          </w:p>
        </w:tc>
      </w:tr>
      <w:tr w:rsidR="006A68F3" w:rsidRPr="00CE4E1F" w14:paraId="2D018CC8"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91435A7"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375AF513" w14:textId="77777777" w:rsidR="006A68F3" w:rsidRPr="00CE4E1F" w:rsidRDefault="006A68F3" w:rsidP="00742F09">
            <w:pPr>
              <w:spacing w:line="360" w:lineRule="auto"/>
              <w:contextualSpacing/>
              <w:jc w:val="both"/>
              <w:rPr>
                <w:i/>
                <w:iCs/>
                <w:sz w:val="18"/>
                <w:szCs w:val="18"/>
              </w:rPr>
            </w:pPr>
            <w:r w:rsidRPr="00CE4E1F">
              <w:rPr>
                <w:i/>
                <w:iCs/>
                <w:sz w:val="18"/>
                <w:szCs w:val="18"/>
              </w:rPr>
              <w:t>UBQLN1</w:t>
            </w:r>
          </w:p>
        </w:tc>
        <w:tc>
          <w:tcPr>
            <w:tcW w:w="6206" w:type="dxa"/>
            <w:tcBorders>
              <w:top w:val="nil"/>
              <w:left w:val="nil"/>
              <w:bottom w:val="single" w:sz="4" w:space="0" w:color="auto"/>
              <w:right w:val="single" w:sz="4" w:space="0" w:color="auto"/>
            </w:tcBorders>
            <w:shd w:val="clear" w:color="auto" w:fill="auto"/>
            <w:noWrap/>
            <w:vAlign w:val="bottom"/>
            <w:hideMark/>
          </w:tcPr>
          <w:p w14:paraId="3778B697" w14:textId="77777777" w:rsidR="006A68F3" w:rsidRPr="00CE4E1F" w:rsidRDefault="006A68F3" w:rsidP="00742F09">
            <w:pPr>
              <w:spacing w:line="360" w:lineRule="auto"/>
              <w:contextualSpacing/>
              <w:jc w:val="both"/>
              <w:rPr>
                <w:sz w:val="18"/>
                <w:szCs w:val="18"/>
              </w:rPr>
            </w:pPr>
            <w:r w:rsidRPr="00CE4E1F">
              <w:rPr>
                <w:sz w:val="18"/>
                <w:szCs w:val="18"/>
              </w:rPr>
              <w:t>NM_053067.2:990</w:t>
            </w:r>
          </w:p>
        </w:tc>
      </w:tr>
      <w:tr w:rsidR="006A68F3" w:rsidRPr="00CE4E1F" w14:paraId="046BD25A"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2F82AAE6"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42E31604" w14:textId="77777777" w:rsidR="006A68F3" w:rsidRPr="00CE4E1F" w:rsidRDefault="006A68F3" w:rsidP="00742F09">
            <w:pPr>
              <w:spacing w:line="360" w:lineRule="auto"/>
              <w:contextualSpacing/>
              <w:jc w:val="both"/>
              <w:rPr>
                <w:i/>
                <w:iCs/>
                <w:sz w:val="18"/>
                <w:szCs w:val="18"/>
              </w:rPr>
            </w:pPr>
            <w:r w:rsidRPr="00CE4E1F">
              <w:rPr>
                <w:i/>
                <w:iCs/>
                <w:sz w:val="18"/>
                <w:szCs w:val="18"/>
              </w:rPr>
              <w:t>UXS1</w:t>
            </w:r>
          </w:p>
        </w:tc>
        <w:tc>
          <w:tcPr>
            <w:tcW w:w="6206" w:type="dxa"/>
            <w:tcBorders>
              <w:top w:val="nil"/>
              <w:left w:val="nil"/>
              <w:bottom w:val="single" w:sz="4" w:space="0" w:color="auto"/>
              <w:right w:val="single" w:sz="4" w:space="0" w:color="auto"/>
            </w:tcBorders>
            <w:shd w:val="clear" w:color="auto" w:fill="auto"/>
            <w:noWrap/>
            <w:vAlign w:val="bottom"/>
            <w:hideMark/>
          </w:tcPr>
          <w:p w14:paraId="1CD076D7" w14:textId="77777777" w:rsidR="006A68F3" w:rsidRPr="00CE4E1F" w:rsidRDefault="006A68F3" w:rsidP="00742F09">
            <w:pPr>
              <w:spacing w:line="360" w:lineRule="auto"/>
              <w:contextualSpacing/>
              <w:jc w:val="both"/>
              <w:rPr>
                <w:sz w:val="18"/>
                <w:szCs w:val="18"/>
              </w:rPr>
            </w:pPr>
            <w:r w:rsidRPr="00CE4E1F">
              <w:rPr>
                <w:sz w:val="18"/>
                <w:szCs w:val="18"/>
              </w:rPr>
              <w:t>NM_001253875.1:986</w:t>
            </w:r>
          </w:p>
        </w:tc>
      </w:tr>
      <w:tr w:rsidR="006A68F3" w:rsidRPr="00CE4E1F" w14:paraId="17114285" w14:textId="77777777" w:rsidTr="000239D5">
        <w:trPr>
          <w:trHeight w:val="63"/>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37717BAC" w14:textId="77777777" w:rsidR="006A68F3" w:rsidRPr="00CE4E1F" w:rsidRDefault="006A68F3" w:rsidP="00742F09">
            <w:pPr>
              <w:spacing w:line="360" w:lineRule="auto"/>
              <w:contextualSpacing/>
              <w:jc w:val="both"/>
              <w:rPr>
                <w:sz w:val="18"/>
                <w:szCs w:val="18"/>
              </w:rPr>
            </w:pPr>
            <w:r w:rsidRPr="00CE4E1F">
              <w:rPr>
                <w:sz w:val="18"/>
                <w:szCs w:val="18"/>
              </w:rPr>
              <w:t>Housekeeping</w:t>
            </w:r>
          </w:p>
        </w:tc>
        <w:tc>
          <w:tcPr>
            <w:tcW w:w="1740" w:type="dxa"/>
            <w:tcBorders>
              <w:top w:val="nil"/>
              <w:left w:val="nil"/>
              <w:bottom w:val="single" w:sz="4" w:space="0" w:color="auto"/>
              <w:right w:val="single" w:sz="4" w:space="0" w:color="auto"/>
            </w:tcBorders>
            <w:shd w:val="clear" w:color="auto" w:fill="auto"/>
            <w:noWrap/>
            <w:vAlign w:val="bottom"/>
            <w:hideMark/>
          </w:tcPr>
          <w:p w14:paraId="17A23913" w14:textId="77777777" w:rsidR="006A68F3" w:rsidRPr="00CE4E1F" w:rsidRDefault="006A68F3" w:rsidP="00742F09">
            <w:pPr>
              <w:spacing w:line="360" w:lineRule="auto"/>
              <w:contextualSpacing/>
              <w:jc w:val="both"/>
              <w:rPr>
                <w:i/>
                <w:iCs/>
                <w:sz w:val="18"/>
                <w:szCs w:val="18"/>
              </w:rPr>
            </w:pPr>
            <w:r w:rsidRPr="00CE4E1F">
              <w:rPr>
                <w:i/>
                <w:iCs/>
                <w:sz w:val="18"/>
                <w:szCs w:val="18"/>
              </w:rPr>
              <w:t>VCP</w:t>
            </w:r>
          </w:p>
        </w:tc>
        <w:tc>
          <w:tcPr>
            <w:tcW w:w="6206" w:type="dxa"/>
            <w:tcBorders>
              <w:top w:val="nil"/>
              <w:left w:val="nil"/>
              <w:bottom w:val="single" w:sz="4" w:space="0" w:color="auto"/>
              <w:right w:val="single" w:sz="4" w:space="0" w:color="auto"/>
            </w:tcBorders>
            <w:shd w:val="clear" w:color="auto" w:fill="auto"/>
            <w:noWrap/>
            <w:vAlign w:val="bottom"/>
            <w:hideMark/>
          </w:tcPr>
          <w:p w14:paraId="45743B3C" w14:textId="77777777" w:rsidR="006A68F3" w:rsidRPr="00CE4E1F" w:rsidRDefault="006A68F3" w:rsidP="00742F09">
            <w:pPr>
              <w:spacing w:line="360" w:lineRule="auto"/>
              <w:contextualSpacing/>
              <w:jc w:val="both"/>
              <w:rPr>
                <w:sz w:val="18"/>
                <w:szCs w:val="18"/>
              </w:rPr>
            </w:pPr>
            <w:r w:rsidRPr="00CE4E1F">
              <w:rPr>
                <w:sz w:val="18"/>
                <w:szCs w:val="18"/>
              </w:rPr>
              <w:t>NM_007126.2:615</w:t>
            </w:r>
          </w:p>
        </w:tc>
      </w:tr>
    </w:tbl>
    <w:p w14:paraId="2B15A071" w14:textId="14AD839A" w:rsidR="00276C8E" w:rsidRPr="00CE4E1F" w:rsidRDefault="00607ADC" w:rsidP="00742F09">
      <w:pPr>
        <w:spacing w:line="360" w:lineRule="auto"/>
        <w:contextualSpacing/>
        <w:jc w:val="both"/>
        <w:rPr>
          <w:b/>
        </w:rPr>
      </w:pPr>
      <w:r w:rsidRPr="00CE4E1F">
        <w:rPr>
          <w:b/>
        </w:rPr>
        <w:br w:type="column"/>
      </w:r>
      <w:r w:rsidR="00276C8E" w:rsidRPr="00CE4E1F">
        <w:rPr>
          <w:b/>
        </w:rPr>
        <w:lastRenderedPageBreak/>
        <w:t>Table S</w:t>
      </w:r>
      <w:r w:rsidR="00BD7064" w:rsidRPr="00CE4E1F">
        <w:rPr>
          <w:b/>
        </w:rPr>
        <w:t>2</w:t>
      </w:r>
      <w:r w:rsidR="00276C8E" w:rsidRPr="00CE4E1F">
        <w:rPr>
          <w:b/>
        </w:rPr>
        <w:t xml:space="preserve">. </w:t>
      </w:r>
      <w:r w:rsidR="00825AF7" w:rsidRPr="00CE4E1F">
        <w:rPr>
          <w:b/>
        </w:rPr>
        <w:t xml:space="preserve">UCSF </w:t>
      </w:r>
      <w:r w:rsidR="00276C8E" w:rsidRPr="00CE4E1F">
        <w:rPr>
          <w:b/>
        </w:rPr>
        <w:t>discovery cohort characteristics.</w:t>
      </w:r>
    </w:p>
    <w:tbl>
      <w:tblPr>
        <w:tblW w:w="9355" w:type="dxa"/>
        <w:tblLook w:val="04A0" w:firstRow="1" w:lastRow="0" w:firstColumn="1" w:lastColumn="0" w:noHBand="0" w:noVBand="1"/>
      </w:tblPr>
      <w:tblGrid>
        <w:gridCol w:w="5575"/>
        <w:gridCol w:w="3780"/>
      </w:tblGrid>
      <w:tr w:rsidR="008A12C8" w:rsidRPr="00CE4E1F" w14:paraId="55DBB744" w14:textId="77777777" w:rsidTr="000239D5">
        <w:trPr>
          <w:trHeight w:val="320"/>
        </w:trPr>
        <w:tc>
          <w:tcPr>
            <w:tcW w:w="5575" w:type="dxa"/>
            <w:tcBorders>
              <w:top w:val="single" w:sz="4" w:space="0" w:color="auto"/>
              <w:left w:val="single" w:sz="4" w:space="0" w:color="auto"/>
              <w:bottom w:val="single" w:sz="4" w:space="0" w:color="auto"/>
              <w:right w:val="single" w:sz="4" w:space="0" w:color="auto"/>
            </w:tcBorders>
            <w:shd w:val="clear" w:color="auto" w:fill="auto"/>
            <w:noWrap/>
            <w:hideMark/>
          </w:tcPr>
          <w:p w14:paraId="28F46EAA" w14:textId="77777777" w:rsidR="008A12C8" w:rsidRPr="00CE4E1F" w:rsidRDefault="008A12C8" w:rsidP="00742F09">
            <w:pPr>
              <w:spacing w:line="360" w:lineRule="auto"/>
              <w:contextualSpacing/>
              <w:jc w:val="both"/>
              <w:rPr>
                <w:color w:val="000000"/>
                <w:sz w:val="18"/>
                <w:szCs w:val="18"/>
              </w:rPr>
            </w:pPr>
            <w:r w:rsidRPr="00CE4E1F">
              <w:rPr>
                <w:b/>
                <w:bCs/>
                <w:color w:val="000000"/>
                <w:sz w:val="18"/>
                <w:szCs w:val="18"/>
              </w:rPr>
              <w:t>Meningiomas - no.</w:t>
            </w:r>
          </w:p>
        </w:tc>
        <w:tc>
          <w:tcPr>
            <w:tcW w:w="3780" w:type="dxa"/>
            <w:tcBorders>
              <w:top w:val="single" w:sz="4" w:space="0" w:color="auto"/>
              <w:left w:val="nil"/>
              <w:bottom w:val="single" w:sz="4" w:space="0" w:color="auto"/>
              <w:right w:val="single" w:sz="4" w:space="0" w:color="auto"/>
            </w:tcBorders>
            <w:shd w:val="clear" w:color="auto" w:fill="auto"/>
            <w:noWrap/>
            <w:hideMark/>
          </w:tcPr>
          <w:p w14:paraId="44463E95" w14:textId="77777777" w:rsidR="008A12C8" w:rsidRPr="00CE4E1F" w:rsidRDefault="008A12C8" w:rsidP="00742F09">
            <w:pPr>
              <w:spacing w:line="360" w:lineRule="auto"/>
              <w:contextualSpacing/>
              <w:jc w:val="both"/>
              <w:rPr>
                <w:b/>
                <w:bCs/>
                <w:color w:val="000000"/>
                <w:sz w:val="18"/>
                <w:szCs w:val="18"/>
              </w:rPr>
            </w:pPr>
            <w:r w:rsidRPr="00CE4E1F">
              <w:rPr>
                <w:color w:val="000000"/>
                <w:sz w:val="18"/>
                <w:szCs w:val="18"/>
              </w:rPr>
              <w:t>173</w:t>
            </w:r>
          </w:p>
        </w:tc>
      </w:tr>
      <w:tr w:rsidR="008A12C8" w:rsidRPr="00CE4E1F" w14:paraId="2E97485E"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9127D13" w14:textId="77777777" w:rsidR="008A12C8" w:rsidRPr="00CE4E1F" w:rsidRDefault="008A12C8" w:rsidP="00742F09">
            <w:pPr>
              <w:spacing w:line="360" w:lineRule="auto"/>
              <w:contextualSpacing/>
              <w:jc w:val="both"/>
              <w:rPr>
                <w:b/>
                <w:bCs/>
                <w:color w:val="000000"/>
                <w:sz w:val="18"/>
                <w:szCs w:val="18"/>
              </w:rPr>
            </w:pPr>
            <w:r w:rsidRPr="00CE4E1F">
              <w:rPr>
                <w:b/>
                <w:bCs/>
                <w:color w:val="000000"/>
                <w:sz w:val="18"/>
                <w:szCs w:val="18"/>
              </w:rPr>
              <w:t>Patients - no.</w:t>
            </w:r>
          </w:p>
        </w:tc>
        <w:tc>
          <w:tcPr>
            <w:tcW w:w="3780" w:type="dxa"/>
            <w:tcBorders>
              <w:top w:val="nil"/>
              <w:left w:val="nil"/>
              <w:bottom w:val="single" w:sz="4" w:space="0" w:color="auto"/>
              <w:right w:val="single" w:sz="4" w:space="0" w:color="auto"/>
            </w:tcBorders>
            <w:shd w:val="clear" w:color="auto" w:fill="auto"/>
            <w:noWrap/>
            <w:hideMark/>
          </w:tcPr>
          <w:p w14:paraId="055525C9"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166</w:t>
            </w:r>
          </w:p>
        </w:tc>
      </w:tr>
      <w:tr w:rsidR="008A12C8" w:rsidRPr="00CE4E1F" w14:paraId="57EA2269"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CC00866" w14:textId="77777777" w:rsidR="008A12C8" w:rsidRPr="00CE4E1F" w:rsidRDefault="008A12C8" w:rsidP="00742F09">
            <w:pPr>
              <w:spacing w:line="360" w:lineRule="auto"/>
              <w:contextualSpacing/>
              <w:jc w:val="both"/>
              <w:rPr>
                <w:b/>
                <w:bCs/>
                <w:color w:val="000000"/>
                <w:sz w:val="18"/>
                <w:szCs w:val="18"/>
              </w:rPr>
            </w:pPr>
            <w:r w:rsidRPr="00CE4E1F">
              <w:rPr>
                <w:b/>
                <w:bCs/>
                <w:color w:val="000000"/>
                <w:sz w:val="18"/>
                <w:szCs w:val="18"/>
              </w:rPr>
              <w:t>Females - no. (%)</w:t>
            </w:r>
          </w:p>
        </w:tc>
        <w:tc>
          <w:tcPr>
            <w:tcW w:w="3780" w:type="dxa"/>
            <w:tcBorders>
              <w:top w:val="nil"/>
              <w:left w:val="nil"/>
              <w:bottom w:val="single" w:sz="4" w:space="0" w:color="auto"/>
              <w:right w:val="single" w:sz="4" w:space="0" w:color="auto"/>
            </w:tcBorders>
            <w:shd w:val="clear" w:color="auto" w:fill="auto"/>
            <w:noWrap/>
            <w:hideMark/>
          </w:tcPr>
          <w:p w14:paraId="6E0F317B"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112 (67.5)</w:t>
            </w:r>
          </w:p>
        </w:tc>
      </w:tr>
      <w:tr w:rsidR="008A12C8" w:rsidRPr="00CE4E1F" w14:paraId="198EA3FD"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4C36F12F" w14:textId="77777777" w:rsidR="008A12C8" w:rsidRPr="00CE4E1F" w:rsidRDefault="008A12C8" w:rsidP="00742F09">
            <w:pPr>
              <w:spacing w:line="360" w:lineRule="auto"/>
              <w:contextualSpacing/>
              <w:jc w:val="both"/>
              <w:rPr>
                <w:b/>
                <w:bCs/>
                <w:color w:val="000000"/>
                <w:sz w:val="18"/>
                <w:szCs w:val="18"/>
              </w:rPr>
            </w:pPr>
            <w:r w:rsidRPr="00CE4E1F">
              <w:rPr>
                <w:b/>
                <w:bCs/>
                <w:color w:val="000000"/>
                <w:sz w:val="18"/>
                <w:szCs w:val="18"/>
              </w:rPr>
              <w:t>Median age (IQR) - yr.</w:t>
            </w:r>
          </w:p>
        </w:tc>
        <w:tc>
          <w:tcPr>
            <w:tcW w:w="3780" w:type="dxa"/>
            <w:tcBorders>
              <w:top w:val="nil"/>
              <w:left w:val="nil"/>
              <w:bottom w:val="single" w:sz="4" w:space="0" w:color="auto"/>
              <w:right w:val="single" w:sz="4" w:space="0" w:color="auto"/>
            </w:tcBorders>
            <w:shd w:val="clear" w:color="auto" w:fill="auto"/>
            <w:noWrap/>
            <w:hideMark/>
          </w:tcPr>
          <w:p w14:paraId="72CF6626"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57.0 (45.0-65.1)</w:t>
            </w:r>
          </w:p>
        </w:tc>
      </w:tr>
      <w:tr w:rsidR="008A12C8" w:rsidRPr="00CE4E1F" w14:paraId="5267C9B2"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035CED8" w14:textId="77777777" w:rsidR="008A12C8" w:rsidRPr="00CE4E1F" w:rsidRDefault="008A12C8" w:rsidP="00742F09">
            <w:pPr>
              <w:spacing w:line="360" w:lineRule="auto"/>
              <w:contextualSpacing/>
              <w:jc w:val="both"/>
              <w:rPr>
                <w:b/>
                <w:bCs/>
                <w:color w:val="000000"/>
                <w:sz w:val="18"/>
                <w:szCs w:val="18"/>
              </w:rPr>
            </w:pPr>
            <w:r w:rsidRPr="00CE4E1F">
              <w:rPr>
                <w:b/>
                <w:bCs/>
                <w:color w:val="000000"/>
                <w:sz w:val="18"/>
                <w:szCs w:val="18"/>
              </w:rPr>
              <w:t>Setting - no. (%)</w:t>
            </w:r>
          </w:p>
        </w:tc>
        <w:tc>
          <w:tcPr>
            <w:tcW w:w="3780" w:type="dxa"/>
            <w:tcBorders>
              <w:top w:val="nil"/>
              <w:left w:val="nil"/>
              <w:bottom w:val="single" w:sz="4" w:space="0" w:color="auto"/>
              <w:right w:val="single" w:sz="4" w:space="0" w:color="auto"/>
            </w:tcBorders>
            <w:shd w:val="clear" w:color="auto" w:fill="auto"/>
            <w:noWrap/>
            <w:hideMark/>
          </w:tcPr>
          <w:p w14:paraId="7B4CF534"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 </w:t>
            </w:r>
          </w:p>
        </w:tc>
      </w:tr>
      <w:tr w:rsidR="008A12C8" w:rsidRPr="00CE4E1F" w14:paraId="662B5B9E"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2B18A9A" w14:textId="77777777" w:rsidR="008A12C8" w:rsidRPr="00CE4E1F" w:rsidRDefault="008A12C8" w:rsidP="00742F09">
            <w:pPr>
              <w:spacing w:line="360" w:lineRule="auto"/>
              <w:contextualSpacing/>
              <w:jc w:val="both"/>
              <w:rPr>
                <w:b/>
                <w:bCs/>
                <w:color w:val="000000"/>
                <w:sz w:val="18"/>
                <w:szCs w:val="18"/>
              </w:rPr>
            </w:pPr>
            <w:r w:rsidRPr="00CE4E1F">
              <w:rPr>
                <w:color w:val="000000"/>
                <w:sz w:val="18"/>
                <w:szCs w:val="18"/>
              </w:rPr>
              <w:t xml:space="preserve">        Primary</w:t>
            </w:r>
          </w:p>
        </w:tc>
        <w:tc>
          <w:tcPr>
            <w:tcW w:w="3780" w:type="dxa"/>
            <w:tcBorders>
              <w:top w:val="nil"/>
              <w:left w:val="nil"/>
              <w:bottom w:val="single" w:sz="4" w:space="0" w:color="auto"/>
              <w:right w:val="single" w:sz="4" w:space="0" w:color="auto"/>
            </w:tcBorders>
            <w:shd w:val="clear" w:color="auto" w:fill="auto"/>
            <w:noWrap/>
            <w:hideMark/>
          </w:tcPr>
          <w:p w14:paraId="201F2717"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143 (82.7)</w:t>
            </w:r>
          </w:p>
        </w:tc>
      </w:tr>
      <w:tr w:rsidR="008A12C8" w:rsidRPr="00CE4E1F" w14:paraId="22A854F6"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866BA6E" w14:textId="77777777" w:rsidR="008A12C8" w:rsidRPr="00CE4E1F" w:rsidRDefault="008A12C8" w:rsidP="00742F09">
            <w:pPr>
              <w:spacing w:line="360" w:lineRule="auto"/>
              <w:ind w:firstLineChars="200" w:firstLine="360"/>
              <w:contextualSpacing/>
              <w:jc w:val="both"/>
              <w:rPr>
                <w:color w:val="000000"/>
                <w:sz w:val="18"/>
                <w:szCs w:val="18"/>
              </w:rPr>
            </w:pPr>
            <w:r w:rsidRPr="00CE4E1F">
              <w:rPr>
                <w:color w:val="000000"/>
                <w:sz w:val="18"/>
                <w:szCs w:val="18"/>
              </w:rPr>
              <w:t>Recurrent</w:t>
            </w:r>
          </w:p>
        </w:tc>
        <w:tc>
          <w:tcPr>
            <w:tcW w:w="3780" w:type="dxa"/>
            <w:tcBorders>
              <w:top w:val="nil"/>
              <w:left w:val="nil"/>
              <w:bottom w:val="single" w:sz="4" w:space="0" w:color="auto"/>
              <w:right w:val="single" w:sz="4" w:space="0" w:color="auto"/>
            </w:tcBorders>
            <w:shd w:val="clear" w:color="auto" w:fill="auto"/>
            <w:noWrap/>
            <w:hideMark/>
          </w:tcPr>
          <w:p w14:paraId="080AD55F"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30 (17.3)</w:t>
            </w:r>
          </w:p>
        </w:tc>
      </w:tr>
      <w:tr w:rsidR="008A12C8" w:rsidRPr="00CE4E1F" w14:paraId="4E10134A"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ED024BB" w14:textId="77777777" w:rsidR="008A12C8" w:rsidRPr="00CE4E1F" w:rsidRDefault="008A12C8" w:rsidP="00742F09">
            <w:pPr>
              <w:spacing w:line="360" w:lineRule="auto"/>
              <w:contextualSpacing/>
              <w:jc w:val="both"/>
              <w:rPr>
                <w:color w:val="000000"/>
                <w:sz w:val="18"/>
                <w:szCs w:val="18"/>
              </w:rPr>
            </w:pPr>
            <w:r w:rsidRPr="00CE4E1F">
              <w:rPr>
                <w:b/>
                <w:bCs/>
                <w:color w:val="000000"/>
                <w:sz w:val="18"/>
                <w:szCs w:val="18"/>
              </w:rPr>
              <w:t>Extent of resection - no. (%)</w:t>
            </w:r>
          </w:p>
        </w:tc>
        <w:tc>
          <w:tcPr>
            <w:tcW w:w="3780" w:type="dxa"/>
            <w:tcBorders>
              <w:top w:val="nil"/>
              <w:left w:val="nil"/>
              <w:bottom w:val="single" w:sz="4" w:space="0" w:color="auto"/>
              <w:right w:val="single" w:sz="4" w:space="0" w:color="auto"/>
            </w:tcBorders>
            <w:shd w:val="clear" w:color="auto" w:fill="auto"/>
            <w:noWrap/>
            <w:hideMark/>
          </w:tcPr>
          <w:p w14:paraId="021DD8BA"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 </w:t>
            </w:r>
          </w:p>
        </w:tc>
      </w:tr>
      <w:tr w:rsidR="008A12C8" w:rsidRPr="00CE4E1F" w14:paraId="7E3FC16F"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9C0CECE" w14:textId="77777777" w:rsidR="008A12C8" w:rsidRPr="00CE4E1F" w:rsidRDefault="008A12C8" w:rsidP="00742F09">
            <w:pPr>
              <w:spacing w:line="360" w:lineRule="auto"/>
              <w:contextualSpacing/>
              <w:jc w:val="both"/>
              <w:rPr>
                <w:b/>
                <w:bCs/>
                <w:color w:val="000000"/>
                <w:sz w:val="18"/>
                <w:szCs w:val="18"/>
              </w:rPr>
            </w:pPr>
            <w:r w:rsidRPr="00CE4E1F">
              <w:rPr>
                <w:color w:val="000000"/>
                <w:sz w:val="18"/>
                <w:szCs w:val="18"/>
              </w:rPr>
              <w:t xml:space="preserve">        Gross total</w:t>
            </w:r>
          </w:p>
        </w:tc>
        <w:tc>
          <w:tcPr>
            <w:tcW w:w="3780" w:type="dxa"/>
            <w:tcBorders>
              <w:top w:val="nil"/>
              <w:left w:val="nil"/>
              <w:bottom w:val="single" w:sz="4" w:space="0" w:color="auto"/>
              <w:right w:val="single" w:sz="4" w:space="0" w:color="auto"/>
            </w:tcBorders>
            <w:shd w:val="clear" w:color="auto" w:fill="auto"/>
            <w:noWrap/>
            <w:hideMark/>
          </w:tcPr>
          <w:p w14:paraId="54CAAC45"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110 (63.6)</w:t>
            </w:r>
          </w:p>
        </w:tc>
      </w:tr>
      <w:tr w:rsidR="008A12C8" w:rsidRPr="00CE4E1F" w14:paraId="7766B3C3"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EECAE84" w14:textId="77777777" w:rsidR="008A12C8" w:rsidRPr="00CE4E1F" w:rsidRDefault="008A12C8" w:rsidP="00742F09">
            <w:pPr>
              <w:spacing w:line="360" w:lineRule="auto"/>
              <w:ind w:firstLineChars="200" w:firstLine="360"/>
              <w:contextualSpacing/>
              <w:jc w:val="both"/>
              <w:rPr>
                <w:color w:val="000000"/>
                <w:sz w:val="18"/>
                <w:szCs w:val="18"/>
              </w:rPr>
            </w:pPr>
            <w:r w:rsidRPr="00CE4E1F">
              <w:rPr>
                <w:color w:val="000000"/>
                <w:sz w:val="18"/>
                <w:szCs w:val="18"/>
              </w:rPr>
              <w:t>Subtotal</w:t>
            </w:r>
          </w:p>
        </w:tc>
        <w:tc>
          <w:tcPr>
            <w:tcW w:w="3780" w:type="dxa"/>
            <w:tcBorders>
              <w:top w:val="nil"/>
              <w:left w:val="nil"/>
              <w:bottom w:val="single" w:sz="4" w:space="0" w:color="auto"/>
              <w:right w:val="single" w:sz="4" w:space="0" w:color="auto"/>
            </w:tcBorders>
            <w:shd w:val="clear" w:color="auto" w:fill="auto"/>
            <w:noWrap/>
            <w:hideMark/>
          </w:tcPr>
          <w:p w14:paraId="08EFED13"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63 (36.4)</w:t>
            </w:r>
          </w:p>
        </w:tc>
      </w:tr>
      <w:tr w:rsidR="008A12C8" w:rsidRPr="00CE4E1F" w14:paraId="3097252B"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A0B3315" w14:textId="77777777" w:rsidR="008A12C8" w:rsidRPr="00CE4E1F" w:rsidRDefault="008A12C8" w:rsidP="00742F09">
            <w:pPr>
              <w:spacing w:line="360" w:lineRule="auto"/>
              <w:contextualSpacing/>
              <w:jc w:val="both"/>
              <w:rPr>
                <w:color w:val="000000"/>
                <w:sz w:val="18"/>
                <w:szCs w:val="18"/>
              </w:rPr>
            </w:pPr>
            <w:r w:rsidRPr="00CE4E1F">
              <w:rPr>
                <w:b/>
                <w:bCs/>
                <w:color w:val="000000"/>
                <w:sz w:val="18"/>
                <w:szCs w:val="18"/>
              </w:rPr>
              <w:t>WHO 2016 grade - no. (%)</w:t>
            </w:r>
          </w:p>
        </w:tc>
        <w:tc>
          <w:tcPr>
            <w:tcW w:w="3780" w:type="dxa"/>
            <w:tcBorders>
              <w:top w:val="nil"/>
              <w:left w:val="nil"/>
              <w:bottom w:val="single" w:sz="4" w:space="0" w:color="auto"/>
              <w:right w:val="single" w:sz="4" w:space="0" w:color="auto"/>
            </w:tcBorders>
            <w:shd w:val="clear" w:color="auto" w:fill="auto"/>
            <w:noWrap/>
            <w:hideMark/>
          </w:tcPr>
          <w:p w14:paraId="5AB36E31"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 </w:t>
            </w:r>
          </w:p>
        </w:tc>
      </w:tr>
      <w:tr w:rsidR="008A12C8" w:rsidRPr="00CE4E1F" w14:paraId="4F6ECB1D"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179B485" w14:textId="77777777" w:rsidR="008A12C8" w:rsidRPr="00CE4E1F" w:rsidRDefault="008A12C8" w:rsidP="00742F09">
            <w:pPr>
              <w:spacing w:line="360" w:lineRule="auto"/>
              <w:contextualSpacing/>
              <w:jc w:val="both"/>
              <w:rPr>
                <w:b/>
                <w:bCs/>
                <w:color w:val="000000"/>
                <w:sz w:val="18"/>
                <w:szCs w:val="18"/>
              </w:rPr>
            </w:pPr>
            <w:r w:rsidRPr="00CE4E1F">
              <w:rPr>
                <w:color w:val="000000"/>
                <w:sz w:val="18"/>
                <w:szCs w:val="18"/>
              </w:rPr>
              <w:t xml:space="preserve">        1</w:t>
            </w:r>
          </w:p>
        </w:tc>
        <w:tc>
          <w:tcPr>
            <w:tcW w:w="3780" w:type="dxa"/>
            <w:tcBorders>
              <w:top w:val="nil"/>
              <w:left w:val="nil"/>
              <w:bottom w:val="single" w:sz="4" w:space="0" w:color="auto"/>
              <w:right w:val="single" w:sz="4" w:space="0" w:color="auto"/>
            </w:tcBorders>
            <w:shd w:val="clear" w:color="auto" w:fill="auto"/>
            <w:noWrap/>
            <w:hideMark/>
          </w:tcPr>
          <w:p w14:paraId="250F1A40"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83 (50.0)</w:t>
            </w:r>
          </w:p>
        </w:tc>
      </w:tr>
      <w:tr w:rsidR="008A12C8" w:rsidRPr="00CE4E1F" w14:paraId="2552622B"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872E469" w14:textId="77777777" w:rsidR="008A12C8" w:rsidRPr="00CE4E1F" w:rsidRDefault="008A12C8"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hideMark/>
          </w:tcPr>
          <w:p w14:paraId="1AB177EC"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65 (37.6)</w:t>
            </w:r>
          </w:p>
        </w:tc>
      </w:tr>
      <w:tr w:rsidR="008A12C8" w:rsidRPr="00CE4E1F" w14:paraId="7B2CB410"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48CBF65" w14:textId="77777777" w:rsidR="008A12C8" w:rsidRPr="00CE4E1F" w:rsidRDefault="008A12C8"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hideMark/>
          </w:tcPr>
          <w:p w14:paraId="0697733E" w14:textId="77777777" w:rsidR="008A12C8" w:rsidRPr="00CE4E1F" w:rsidRDefault="008A12C8" w:rsidP="00742F09">
            <w:pPr>
              <w:spacing w:line="360" w:lineRule="auto"/>
              <w:contextualSpacing/>
              <w:jc w:val="both"/>
              <w:rPr>
                <w:color w:val="000000"/>
                <w:sz w:val="18"/>
                <w:szCs w:val="18"/>
              </w:rPr>
            </w:pPr>
            <w:r w:rsidRPr="00CE4E1F">
              <w:rPr>
                <w:color w:val="000000"/>
                <w:sz w:val="18"/>
                <w:szCs w:val="18"/>
              </w:rPr>
              <w:t>25 (14.4)</w:t>
            </w:r>
          </w:p>
        </w:tc>
      </w:tr>
      <w:tr w:rsidR="00797EA7" w:rsidRPr="00CE4E1F" w14:paraId="39F0ED20"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06085026" w14:textId="54B79001" w:rsidR="00797EA7" w:rsidRPr="00CE4E1F" w:rsidRDefault="00797EA7" w:rsidP="00742F09">
            <w:pPr>
              <w:spacing w:line="360" w:lineRule="auto"/>
              <w:contextualSpacing/>
              <w:jc w:val="both"/>
              <w:rPr>
                <w:color w:val="000000"/>
                <w:sz w:val="18"/>
                <w:szCs w:val="18"/>
              </w:rPr>
            </w:pPr>
            <w:r w:rsidRPr="00CE4E1F">
              <w:rPr>
                <w:b/>
                <w:bCs/>
                <w:color w:val="000000"/>
                <w:sz w:val="18"/>
                <w:szCs w:val="18"/>
              </w:rPr>
              <w:t>WHO 2021 grade - no. (%)</w:t>
            </w:r>
          </w:p>
        </w:tc>
        <w:tc>
          <w:tcPr>
            <w:tcW w:w="3780" w:type="dxa"/>
            <w:tcBorders>
              <w:top w:val="nil"/>
              <w:left w:val="nil"/>
              <w:bottom w:val="single" w:sz="4" w:space="0" w:color="auto"/>
              <w:right w:val="single" w:sz="4" w:space="0" w:color="auto"/>
            </w:tcBorders>
            <w:shd w:val="clear" w:color="auto" w:fill="auto"/>
            <w:noWrap/>
          </w:tcPr>
          <w:p w14:paraId="07F76BD8" w14:textId="4CA7062D" w:rsidR="00797EA7" w:rsidRPr="00CE4E1F" w:rsidRDefault="00797EA7" w:rsidP="00742F09">
            <w:pPr>
              <w:spacing w:line="360" w:lineRule="auto"/>
              <w:contextualSpacing/>
              <w:jc w:val="both"/>
              <w:rPr>
                <w:color w:val="000000"/>
                <w:sz w:val="18"/>
                <w:szCs w:val="18"/>
              </w:rPr>
            </w:pPr>
            <w:r w:rsidRPr="00CE4E1F">
              <w:rPr>
                <w:color w:val="000000"/>
                <w:sz w:val="18"/>
                <w:szCs w:val="18"/>
              </w:rPr>
              <w:t> </w:t>
            </w:r>
          </w:p>
        </w:tc>
      </w:tr>
      <w:tr w:rsidR="00797EA7" w:rsidRPr="00CE4E1F" w14:paraId="25BDAEB3"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19063CC0" w14:textId="31D59CDD" w:rsidR="00797EA7" w:rsidRPr="00CE4E1F" w:rsidRDefault="00797EA7" w:rsidP="00742F09">
            <w:pPr>
              <w:spacing w:line="360" w:lineRule="auto"/>
              <w:ind w:firstLineChars="200" w:firstLine="360"/>
              <w:contextualSpacing/>
              <w:jc w:val="both"/>
              <w:rPr>
                <w:color w:val="000000"/>
                <w:sz w:val="18"/>
                <w:szCs w:val="18"/>
              </w:rPr>
            </w:pPr>
            <w:r w:rsidRPr="00CE4E1F">
              <w:rPr>
                <w:color w:val="000000"/>
                <w:sz w:val="18"/>
                <w:szCs w:val="18"/>
              </w:rPr>
              <w:t>1</w:t>
            </w:r>
          </w:p>
        </w:tc>
        <w:tc>
          <w:tcPr>
            <w:tcW w:w="3780" w:type="dxa"/>
            <w:tcBorders>
              <w:top w:val="nil"/>
              <w:left w:val="nil"/>
              <w:bottom w:val="single" w:sz="4" w:space="0" w:color="auto"/>
              <w:right w:val="single" w:sz="4" w:space="0" w:color="auto"/>
            </w:tcBorders>
            <w:shd w:val="clear" w:color="auto" w:fill="auto"/>
            <w:noWrap/>
          </w:tcPr>
          <w:p w14:paraId="1F554826" w14:textId="06C079CA" w:rsidR="00797EA7" w:rsidRPr="00CE4E1F" w:rsidRDefault="00CE6719" w:rsidP="00742F09">
            <w:pPr>
              <w:spacing w:line="360" w:lineRule="auto"/>
              <w:contextualSpacing/>
              <w:jc w:val="both"/>
              <w:rPr>
                <w:color w:val="000000"/>
                <w:sz w:val="18"/>
                <w:szCs w:val="18"/>
              </w:rPr>
            </w:pPr>
            <w:r w:rsidRPr="00CE4E1F">
              <w:rPr>
                <w:color w:val="000000"/>
                <w:sz w:val="18"/>
                <w:szCs w:val="18"/>
              </w:rPr>
              <w:t>8</w:t>
            </w:r>
            <w:r w:rsidR="003B677A" w:rsidRPr="00CE4E1F">
              <w:rPr>
                <w:color w:val="000000"/>
                <w:sz w:val="18"/>
                <w:szCs w:val="18"/>
              </w:rPr>
              <w:t>2 (47.4)</w:t>
            </w:r>
          </w:p>
        </w:tc>
      </w:tr>
      <w:tr w:rsidR="00797EA7" w:rsidRPr="00CE4E1F" w14:paraId="69061762"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60F79AD3" w14:textId="679C0273" w:rsidR="00797EA7" w:rsidRPr="00CE4E1F" w:rsidRDefault="00797EA7"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tcPr>
          <w:p w14:paraId="15FB695F" w14:textId="06E0102D" w:rsidR="00797EA7" w:rsidRPr="00CE4E1F" w:rsidRDefault="00CE6719" w:rsidP="00742F09">
            <w:pPr>
              <w:spacing w:line="360" w:lineRule="auto"/>
              <w:contextualSpacing/>
              <w:jc w:val="both"/>
              <w:rPr>
                <w:color w:val="000000"/>
                <w:sz w:val="18"/>
                <w:szCs w:val="18"/>
              </w:rPr>
            </w:pPr>
            <w:r w:rsidRPr="00CE4E1F">
              <w:rPr>
                <w:color w:val="000000"/>
                <w:sz w:val="18"/>
                <w:szCs w:val="18"/>
              </w:rPr>
              <w:t>6</w:t>
            </w:r>
            <w:r w:rsidR="003B677A" w:rsidRPr="00CE4E1F">
              <w:rPr>
                <w:color w:val="000000"/>
                <w:sz w:val="18"/>
                <w:szCs w:val="18"/>
              </w:rPr>
              <w:t>2 (35.8)</w:t>
            </w:r>
          </w:p>
        </w:tc>
      </w:tr>
      <w:tr w:rsidR="00797EA7" w:rsidRPr="00CE4E1F" w14:paraId="3D655671"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1D258C3C" w14:textId="75384340" w:rsidR="00797EA7" w:rsidRPr="00CE4E1F" w:rsidRDefault="00797EA7"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tcPr>
          <w:p w14:paraId="4481AA0C" w14:textId="773FBB02" w:rsidR="00797EA7" w:rsidRPr="00CE4E1F" w:rsidRDefault="00CE6719" w:rsidP="00742F09">
            <w:pPr>
              <w:spacing w:line="360" w:lineRule="auto"/>
              <w:contextualSpacing/>
              <w:jc w:val="both"/>
              <w:rPr>
                <w:color w:val="000000"/>
                <w:sz w:val="18"/>
                <w:szCs w:val="18"/>
              </w:rPr>
            </w:pPr>
            <w:r w:rsidRPr="00CE4E1F">
              <w:rPr>
                <w:color w:val="000000"/>
                <w:sz w:val="18"/>
                <w:szCs w:val="18"/>
              </w:rPr>
              <w:t>29</w:t>
            </w:r>
            <w:r w:rsidR="003B677A" w:rsidRPr="00CE4E1F">
              <w:rPr>
                <w:color w:val="000000"/>
                <w:sz w:val="18"/>
                <w:szCs w:val="18"/>
              </w:rPr>
              <w:t xml:space="preserve"> (16.8)</w:t>
            </w:r>
          </w:p>
        </w:tc>
      </w:tr>
      <w:tr w:rsidR="00797EA7" w:rsidRPr="00CE4E1F" w14:paraId="2D9646DA"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7D04BFE5" w14:textId="0406A308" w:rsidR="00797EA7" w:rsidRPr="00CE4E1F" w:rsidRDefault="00797EA7" w:rsidP="00742F09">
            <w:pPr>
              <w:spacing w:line="360" w:lineRule="auto"/>
              <w:contextualSpacing/>
              <w:jc w:val="both"/>
              <w:rPr>
                <w:b/>
                <w:bCs/>
                <w:color w:val="000000"/>
                <w:sz w:val="18"/>
                <w:szCs w:val="18"/>
              </w:rPr>
            </w:pPr>
            <w:r w:rsidRPr="00CE4E1F">
              <w:rPr>
                <w:b/>
                <w:bCs/>
                <w:i/>
                <w:iCs/>
                <w:color w:val="000000"/>
                <w:sz w:val="18"/>
                <w:szCs w:val="18"/>
              </w:rPr>
              <w:t xml:space="preserve">TERT </w:t>
            </w:r>
            <w:r w:rsidRPr="00CE4E1F">
              <w:rPr>
                <w:b/>
                <w:bCs/>
                <w:color w:val="000000"/>
                <w:sz w:val="18"/>
                <w:szCs w:val="18"/>
              </w:rPr>
              <w:t>promoter sequencing</w:t>
            </w:r>
            <w:r w:rsidR="009379BA" w:rsidRPr="00CE4E1F">
              <w:rPr>
                <w:b/>
                <w:bCs/>
                <w:color w:val="000000"/>
                <w:sz w:val="18"/>
                <w:szCs w:val="18"/>
              </w:rPr>
              <w:t>*</w:t>
            </w:r>
          </w:p>
        </w:tc>
        <w:tc>
          <w:tcPr>
            <w:tcW w:w="3780" w:type="dxa"/>
            <w:tcBorders>
              <w:top w:val="nil"/>
              <w:left w:val="nil"/>
              <w:bottom w:val="single" w:sz="4" w:space="0" w:color="auto"/>
              <w:right w:val="single" w:sz="4" w:space="0" w:color="auto"/>
            </w:tcBorders>
            <w:shd w:val="clear" w:color="auto" w:fill="auto"/>
            <w:noWrap/>
          </w:tcPr>
          <w:p w14:paraId="3A42BE96" w14:textId="54D93879" w:rsidR="00797EA7" w:rsidRPr="00CE4E1F" w:rsidRDefault="00797EA7" w:rsidP="00742F09">
            <w:pPr>
              <w:spacing w:line="360" w:lineRule="auto"/>
              <w:contextualSpacing/>
              <w:jc w:val="both"/>
              <w:rPr>
                <w:color w:val="000000"/>
                <w:sz w:val="18"/>
                <w:szCs w:val="18"/>
              </w:rPr>
            </w:pPr>
            <w:r w:rsidRPr="00CE4E1F">
              <w:rPr>
                <w:color w:val="000000"/>
                <w:sz w:val="18"/>
                <w:szCs w:val="18"/>
              </w:rPr>
              <w:t>171 (98.8)</w:t>
            </w:r>
          </w:p>
        </w:tc>
      </w:tr>
      <w:tr w:rsidR="0050211B" w:rsidRPr="00CE4E1F" w14:paraId="6784B6BF"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59F413B" w14:textId="591DE058" w:rsidR="0050211B" w:rsidRPr="00CE4E1F" w:rsidRDefault="0050211B" w:rsidP="00742F09">
            <w:pPr>
              <w:spacing w:line="360" w:lineRule="auto"/>
              <w:ind w:firstLine="519"/>
              <w:contextualSpacing/>
              <w:jc w:val="both"/>
              <w:rPr>
                <w:b/>
                <w:bCs/>
                <w:i/>
                <w:iCs/>
                <w:color w:val="000000"/>
                <w:sz w:val="18"/>
                <w:szCs w:val="18"/>
              </w:rPr>
            </w:pPr>
            <w:r w:rsidRPr="00CE4E1F">
              <w:rPr>
                <w:bCs/>
                <w:iCs/>
                <w:color w:val="000000"/>
                <w:sz w:val="18"/>
                <w:szCs w:val="18"/>
              </w:rPr>
              <w:t>C228T mutant</w:t>
            </w:r>
          </w:p>
        </w:tc>
        <w:tc>
          <w:tcPr>
            <w:tcW w:w="3780" w:type="dxa"/>
            <w:tcBorders>
              <w:top w:val="nil"/>
              <w:left w:val="nil"/>
              <w:bottom w:val="single" w:sz="4" w:space="0" w:color="auto"/>
              <w:right w:val="single" w:sz="4" w:space="0" w:color="auto"/>
            </w:tcBorders>
            <w:shd w:val="clear" w:color="auto" w:fill="auto"/>
            <w:noWrap/>
          </w:tcPr>
          <w:p w14:paraId="09965698" w14:textId="67DF62DB" w:rsidR="0050211B" w:rsidRPr="00CE4E1F" w:rsidRDefault="0050211B" w:rsidP="00742F09">
            <w:pPr>
              <w:spacing w:line="360" w:lineRule="auto"/>
              <w:contextualSpacing/>
              <w:jc w:val="both"/>
              <w:rPr>
                <w:color w:val="000000"/>
                <w:sz w:val="18"/>
                <w:szCs w:val="18"/>
              </w:rPr>
            </w:pPr>
            <w:r w:rsidRPr="00CE4E1F">
              <w:rPr>
                <w:color w:val="000000"/>
                <w:sz w:val="18"/>
                <w:szCs w:val="18"/>
              </w:rPr>
              <w:t>0 (0.0)</w:t>
            </w:r>
          </w:p>
        </w:tc>
      </w:tr>
      <w:tr w:rsidR="0050211B" w:rsidRPr="00CE4E1F" w14:paraId="0361BE43"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64B61F9C" w14:textId="79642981" w:rsidR="0050211B" w:rsidRPr="00CE4E1F" w:rsidRDefault="0050211B" w:rsidP="00742F09">
            <w:pPr>
              <w:spacing w:line="360" w:lineRule="auto"/>
              <w:ind w:firstLine="519"/>
              <w:contextualSpacing/>
              <w:jc w:val="both"/>
              <w:rPr>
                <w:b/>
                <w:bCs/>
                <w:i/>
                <w:iCs/>
                <w:color w:val="000000"/>
                <w:sz w:val="18"/>
                <w:szCs w:val="18"/>
              </w:rPr>
            </w:pPr>
            <w:r w:rsidRPr="00CE4E1F">
              <w:rPr>
                <w:bCs/>
                <w:iCs/>
                <w:color w:val="000000"/>
                <w:sz w:val="18"/>
                <w:szCs w:val="18"/>
              </w:rPr>
              <w:t>C250T mutant</w:t>
            </w:r>
          </w:p>
        </w:tc>
        <w:tc>
          <w:tcPr>
            <w:tcW w:w="3780" w:type="dxa"/>
            <w:tcBorders>
              <w:top w:val="nil"/>
              <w:left w:val="nil"/>
              <w:bottom w:val="single" w:sz="4" w:space="0" w:color="auto"/>
              <w:right w:val="single" w:sz="4" w:space="0" w:color="auto"/>
            </w:tcBorders>
            <w:shd w:val="clear" w:color="auto" w:fill="auto"/>
            <w:noWrap/>
          </w:tcPr>
          <w:p w14:paraId="39E78EE5" w14:textId="12992FE1" w:rsidR="0050211B" w:rsidRPr="00CE4E1F" w:rsidRDefault="0050211B" w:rsidP="00742F09">
            <w:pPr>
              <w:spacing w:line="360" w:lineRule="auto"/>
              <w:contextualSpacing/>
              <w:jc w:val="both"/>
              <w:rPr>
                <w:color w:val="000000"/>
                <w:sz w:val="18"/>
                <w:szCs w:val="18"/>
              </w:rPr>
            </w:pPr>
            <w:r w:rsidRPr="00CE4E1F">
              <w:rPr>
                <w:color w:val="000000"/>
                <w:sz w:val="18"/>
                <w:szCs w:val="18"/>
              </w:rPr>
              <w:t>0 (0.0)</w:t>
            </w:r>
          </w:p>
        </w:tc>
      </w:tr>
      <w:tr w:rsidR="0050211B" w:rsidRPr="00CE4E1F" w14:paraId="208BF814"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39DCF7AF" w14:textId="75E5A4E1" w:rsidR="0050211B" w:rsidRPr="00CE4E1F" w:rsidRDefault="0050211B" w:rsidP="00742F09">
            <w:pPr>
              <w:spacing w:line="360" w:lineRule="auto"/>
              <w:ind w:firstLine="519"/>
              <w:contextualSpacing/>
              <w:jc w:val="both"/>
              <w:rPr>
                <w:b/>
                <w:bCs/>
                <w:i/>
                <w:iCs/>
                <w:color w:val="000000"/>
                <w:sz w:val="18"/>
                <w:szCs w:val="18"/>
              </w:rPr>
            </w:pPr>
            <w:r w:rsidRPr="00CE4E1F">
              <w:rPr>
                <w:bCs/>
                <w:iCs/>
                <w:color w:val="000000"/>
                <w:sz w:val="18"/>
                <w:szCs w:val="18"/>
              </w:rPr>
              <w:t>Other SNV</w:t>
            </w:r>
          </w:p>
        </w:tc>
        <w:tc>
          <w:tcPr>
            <w:tcW w:w="3780" w:type="dxa"/>
            <w:tcBorders>
              <w:top w:val="nil"/>
              <w:left w:val="nil"/>
              <w:bottom w:val="single" w:sz="4" w:space="0" w:color="auto"/>
              <w:right w:val="single" w:sz="4" w:space="0" w:color="auto"/>
            </w:tcBorders>
            <w:shd w:val="clear" w:color="auto" w:fill="auto"/>
            <w:noWrap/>
          </w:tcPr>
          <w:p w14:paraId="6D16D8E7" w14:textId="76D57490" w:rsidR="0050211B" w:rsidRPr="00CE4E1F" w:rsidRDefault="0050211B" w:rsidP="00742F09">
            <w:pPr>
              <w:spacing w:line="360" w:lineRule="auto"/>
              <w:contextualSpacing/>
              <w:jc w:val="both"/>
              <w:rPr>
                <w:color w:val="000000"/>
                <w:sz w:val="18"/>
                <w:szCs w:val="18"/>
              </w:rPr>
            </w:pPr>
            <w:r w:rsidRPr="00CE4E1F">
              <w:rPr>
                <w:color w:val="000000"/>
                <w:sz w:val="18"/>
                <w:szCs w:val="18"/>
              </w:rPr>
              <w:t>0 (0.0)</w:t>
            </w:r>
          </w:p>
        </w:tc>
      </w:tr>
      <w:tr w:rsidR="0050211B" w:rsidRPr="00CE4E1F" w14:paraId="473CF29E"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7928E22C" w14:textId="1684C519" w:rsidR="0050211B" w:rsidRPr="00CE4E1F" w:rsidRDefault="0050211B" w:rsidP="00742F09">
            <w:pPr>
              <w:spacing w:line="360" w:lineRule="auto"/>
              <w:contextualSpacing/>
              <w:jc w:val="both"/>
              <w:rPr>
                <w:b/>
                <w:bCs/>
                <w:color w:val="000000"/>
                <w:sz w:val="18"/>
                <w:szCs w:val="18"/>
              </w:rPr>
            </w:pPr>
            <w:r w:rsidRPr="00CE4E1F">
              <w:rPr>
                <w:b/>
                <w:bCs/>
                <w:color w:val="000000"/>
                <w:sz w:val="18"/>
                <w:szCs w:val="18"/>
              </w:rPr>
              <w:t xml:space="preserve">Copy number variants (including </w:t>
            </w:r>
            <w:r w:rsidRPr="00CE4E1F">
              <w:rPr>
                <w:b/>
                <w:bCs/>
                <w:i/>
                <w:iCs/>
                <w:color w:val="000000"/>
                <w:sz w:val="18"/>
                <w:szCs w:val="18"/>
              </w:rPr>
              <w:t>CDKN2A</w:t>
            </w:r>
            <w:r w:rsidR="009F254E">
              <w:rPr>
                <w:b/>
                <w:bCs/>
                <w:i/>
                <w:iCs/>
                <w:color w:val="000000"/>
                <w:sz w:val="18"/>
                <w:szCs w:val="18"/>
              </w:rPr>
              <w:t>/B</w:t>
            </w:r>
            <w:r w:rsidRPr="00CE4E1F">
              <w:rPr>
                <w:b/>
                <w:bCs/>
                <w:color w:val="000000"/>
                <w:sz w:val="18"/>
                <w:szCs w:val="18"/>
              </w:rPr>
              <w:t xml:space="preserve"> zygosity)</w:t>
            </w:r>
          </w:p>
        </w:tc>
        <w:tc>
          <w:tcPr>
            <w:tcW w:w="3780" w:type="dxa"/>
            <w:tcBorders>
              <w:top w:val="nil"/>
              <w:left w:val="nil"/>
              <w:bottom w:val="single" w:sz="4" w:space="0" w:color="auto"/>
              <w:right w:val="single" w:sz="4" w:space="0" w:color="auto"/>
            </w:tcBorders>
            <w:shd w:val="clear" w:color="auto" w:fill="auto"/>
            <w:noWrap/>
          </w:tcPr>
          <w:p w14:paraId="3079AF0A"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173 (100)</w:t>
            </w:r>
          </w:p>
        </w:tc>
      </w:tr>
      <w:tr w:rsidR="00B70416" w:rsidRPr="00CE4E1F" w14:paraId="2E24AE7E"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513143FF" w14:textId="1DA05A1B" w:rsidR="00B70416" w:rsidRPr="00CE4E1F" w:rsidRDefault="00B70416" w:rsidP="00742F09">
            <w:pPr>
              <w:spacing w:line="360" w:lineRule="auto"/>
              <w:contextualSpacing/>
              <w:jc w:val="both"/>
              <w:rPr>
                <w:b/>
                <w:bCs/>
                <w:color w:val="000000"/>
                <w:sz w:val="18"/>
                <w:szCs w:val="18"/>
              </w:rPr>
            </w:pPr>
            <w:r w:rsidRPr="00CE4E1F">
              <w:rPr>
                <w:b/>
                <w:bCs/>
                <w:i/>
                <w:color w:val="000000"/>
                <w:sz w:val="18"/>
                <w:szCs w:val="18"/>
              </w:rPr>
              <w:t>CDKN2A</w:t>
            </w:r>
            <w:r w:rsidR="009F254E">
              <w:rPr>
                <w:b/>
                <w:bCs/>
                <w:i/>
                <w:color w:val="000000"/>
                <w:sz w:val="18"/>
                <w:szCs w:val="18"/>
              </w:rPr>
              <w:t>/B</w:t>
            </w:r>
            <w:r w:rsidRPr="00CE4E1F">
              <w:rPr>
                <w:b/>
                <w:bCs/>
                <w:i/>
                <w:color w:val="000000"/>
                <w:sz w:val="18"/>
                <w:szCs w:val="18"/>
              </w:rPr>
              <w:t xml:space="preserve"> </w:t>
            </w:r>
            <w:r w:rsidRPr="00CE4E1F">
              <w:rPr>
                <w:b/>
                <w:bCs/>
                <w:color w:val="000000"/>
                <w:sz w:val="18"/>
                <w:szCs w:val="18"/>
              </w:rPr>
              <w:t>deletion (hetero</w:t>
            </w:r>
            <w:r w:rsidR="009F254E">
              <w:rPr>
                <w:b/>
                <w:bCs/>
                <w:color w:val="000000"/>
                <w:sz w:val="18"/>
                <w:szCs w:val="18"/>
              </w:rPr>
              <w:t>zygous/</w:t>
            </w:r>
            <w:r w:rsidRPr="00CE4E1F">
              <w:rPr>
                <w:b/>
                <w:bCs/>
                <w:color w:val="000000"/>
                <w:sz w:val="18"/>
                <w:szCs w:val="18"/>
              </w:rPr>
              <w:t>homozygous)</w:t>
            </w:r>
          </w:p>
        </w:tc>
        <w:tc>
          <w:tcPr>
            <w:tcW w:w="3780" w:type="dxa"/>
            <w:tcBorders>
              <w:top w:val="nil"/>
              <w:left w:val="nil"/>
              <w:bottom w:val="single" w:sz="4" w:space="0" w:color="auto"/>
              <w:right w:val="single" w:sz="4" w:space="0" w:color="auto"/>
            </w:tcBorders>
            <w:shd w:val="clear" w:color="auto" w:fill="auto"/>
            <w:noWrap/>
          </w:tcPr>
          <w:p w14:paraId="6A0A7483" w14:textId="1813612D" w:rsidR="00B70416" w:rsidRPr="00CE4E1F" w:rsidRDefault="00B70416" w:rsidP="00742F09">
            <w:pPr>
              <w:spacing w:line="360" w:lineRule="auto"/>
              <w:contextualSpacing/>
              <w:jc w:val="both"/>
              <w:rPr>
                <w:color w:val="000000"/>
                <w:sz w:val="18"/>
                <w:szCs w:val="18"/>
              </w:rPr>
            </w:pPr>
            <w:r w:rsidRPr="00CE4E1F">
              <w:rPr>
                <w:color w:val="000000"/>
                <w:sz w:val="18"/>
                <w:szCs w:val="18"/>
              </w:rPr>
              <w:t>5 (2.9)/13 (7.5)</w:t>
            </w:r>
          </w:p>
        </w:tc>
      </w:tr>
      <w:tr w:rsidR="0050211B" w:rsidRPr="00CE4E1F" w14:paraId="75491296"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8346507" w14:textId="77777777" w:rsidR="0050211B" w:rsidRPr="00CE4E1F" w:rsidRDefault="0050211B" w:rsidP="00742F09">
            <w:pPr>
              <w:spacing w:line="360" w:lineRule="auto"/>
              <w:contextualSpacing/>
              <w:jc w:val="both"/>
              <w:rPr>
                <w:b/>
                <w:bCs/>
                <w:color w:val="000000"/>
                <w:sz w:val="18"/>
                <w:szCs w:val="18"/>
              </w:rPr>
            </w:pPr>
            <w:r w:rsidRPr="00CE4E1F">
              <w:rPr>
                <w:b/>
                <w:bCs/>
                <w:color w:val="000000"/>
                <w:sz w:val="18"/>
                <w:szCs w:val="18"/>
              </w:rPr>
              <w:t>DNA methylation profiling - no. (%)</w:t>
            </w:r>
          </w:p>
        </w:tc>
        <w:tc>
          <w:tcPr>
            <w:tcW w:w="3780" w:type="dxa"/>
            <w:tcBorders>
              <w:top w:val="nil"/>
              <w:left w:val="nil"/>
              <w:bottom w:val="single" w:sz="4" w:space="0" w:color="auto"/>
              <w:right w:val="single" w:sz="4" w:space="0" w:color="auto"/>
            </w:tcBorders>
            <w:shd w:val="clear" w:color="auto" w:fill="auto"/>
            <w:noWrap/>
            <w:hideMark/>
          </w:tcPr>
          <w:p w14:paraId="5D1477E9"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173 (100)</w:t>
            </w:r>
          </w:p>
        </w:tc>
      </w:tr>
      <w:tr w:rsidR="0050211B" w:rsidRPr="00CE4E1F" w14:paraId="546DDC99"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0F5B08BE" w14:textId="77777777" w:rsidR="0050211B" w:rsidRPr="00CE4E1F" w:rsidRDefault="0050211B" w:rsidP="00742F09">
            <w:pPr>
              <w:spacing w:line="360" w:lineRule="auto"/>
              <w:contextualSpacing/>
              <w:jc w:val="both"/>
              <w:rPr>
                <w:b/>
                <w:bCs/>
                <w:color w:val="000000"/>
                <w:sz w:val="18"/>
                <w:szCs w:val="18"/>
              </w:rPr>
            </w:pPr>
            <w:r w:rsidRPr="00CE4E1F">
              <w:rPr>
                <w:b/>
                <w:bCs/>
                <w:color w:val="000000"/>
                <w:sz w:val="18"/>
                <w:szCs w:val="18"/>
              </w:rPr>
              <w:t>RNA sequencing</w:t>
            </w:r>
          </w:p>
        </w:tc>
        <w:tc>
          <w:tcPr>
            <w:tcW w:w="3780" w:type="dxa"/>
            <w:tcBorders>
              <w:top w:val="nil"/>
              <w:left w:val="nil"/>
              <w:bottom w:val="single" w:sz="4" w:space="0" w:color="auto"/>
              <w:right w:val="single" w:sz="4" w:space="0" w:color="auto"/>
            </w:tcBorders>
            <w:shd w:val="clear" w:color="auto" w:fill="auto"/>
            <w:noWrap/>
          </w:tcPr>
          <w:p w14:paraId="326B2B6E" w14:textId="77777777" w:rsidR="0050211B" w:rsidRPr="00CE4E1F" w:rsidDel="0017755E" w:rsidRDefault="0050211B" w:rsidP="00742F09">
            <w:pPr>
              <w:spacing w:line="360" w:lineRule="auto"/>
              <w:contextualSpacing/>
              <w:jc w:val="both"/>
              <w:rPr>
                <w:color w:val="000000"/>
                <w:sz w:val="18"/>
                <w:szCs w:val="18"/>
              </w:rPr>
            </w:pPr>
            <w:r w:rsidRPr="00CE4E1F">
              <w:rPr>
                <w:color w:val="000000"/>
                <w:sz w:val="18"/>
                <w:szCs w:val="18"/>
              </w:rPr>
              <w:t>173 (100)</w:t>
            </w:r>
          </w:p>
        </w:tc>
      </w:tr>
      <w:tr w:rsidR="000239D5" w:rsidRPr="00CE4E1F" w14:paraId="07E5AA61"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28731EB5" w14:textId="0F8B648B" w:rsidR="000239D5" w:rsidRPr="00CE4E1F" w:rsidRDefault="000239D5" w:rsidP="00742F09">
            <w:pPr>
              <w:spacing w:line="360" w:lineRule="auto"/>
              <w:contextualSpacing/>
              <w:jc w:val="both"/>
              <w:rPr>
                <w:b/>
                <w:bCs/>
                <w:color w:val="000000"/>
                <w:sz w:val="18"/>
                <w:szCs w:val="18"/>
              </w:rPr>
            </w:pPr>
            <w:r>
              <w:rPr>
                <w:b/>
                <w:bCs/>
                <w:color w:val="000000"/>
                <w:sz w:val="18"/>
                <w:szCs w:val="18"/>
              </w:rPr>
              <w:t xml:space="preserve">Nanostring targeted gene expression profiling </w:t>
            </w:r>
            <w:r w:rsidRPr="00CE4E1F">
              <w:rPr>
                <w:b/>
                <w:bCs/>
                <w:color w:val="000000"/>
                <w:sz w:val="18"/>
                <w:szCs w:val="18"/>
              </w:rPr>
              <w:t>- no. (%)</w:t>
            </w:r>
          </w:p>
        </w:tc>
        <w:tc>
          <w:tcPr>
            <w:tcW w:w="3780" w:type="dxa"/>
            <w:tcBorders>
              <w:top w:val="nil"/>
              <w:left w:val="nil"/>
              <w:bottom w:val="single" w:sz="4" w:space="0" w:color="auto"/>
              <w:right w:val="single" w:sz="4" w:space="0" w:color="auto"/>
            </w:tcBorders>
            <w:shd w:val="clear" w:color="auto" w:fill="auto"/>
            <w:noWrap/>
          </w:tcPr>
          <w:p w14:paraId="636DD733" w14:textId="2F9374FC" w:rsidR="000239D5" w:rsidRPr="00CE4E1F" w:rsidRDefault="000239D5" w:rsidP="00742F09">
            <w:pPr>
              <w:spacing w:line="360" w:lineRule="auto"/>
              <w:contextualSpacing/>
              <w:jc w:val="both"/>
              <w:rPr>
                <w:color w:val="000000"/>
                <w:sz w:val="18"/>
                <w:szCs w:val="18"/>
              </w:rPr>
            </w:pPr>
            <w:r>
              <w:rPr>
                <w:color w:val="000000"/>
                <w:sz w:val="18"/>
                <w:szCs w:val="18"/>
              </w:rPr>
              <w:t>173 (100)</w:t>
            </w:r>
          </w:p>
        </w:tc>
      </w:tr>
      <w:tr w:rsidR="0050211B" w:rsidRPr="00CE4E1F" w14:paraId="1B40FA1D"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5B4B7EB" w14:textId="510C5690" w:rsidR="0050211B" w:rsidRPr="00CE4E1F" w:rsidRDefault="0050211B" w:rsidP="00742F09">
            <w:pPr>
              <w:spacing w:line="360" w:lineRule="auto"/>
              <w:contextualSpacing/>
              <w:jc w:val="both"/>
              <w:rPr>
                <w:color w:val="000000"/>
                <w:sz w:val="18"/>
                <w:szCs w:val="18"/>
              </w:rPr>
            </w:pPr>
            <w:r w:rsidRPr="00CE4E1F">
              <w:rPr>
                <w:b/>
                <w:bCs/>
                <w:color w:val="000000"/>
                <w:sz w:val="18"/>
                <w:szCs w:val="18"/>
              </w:rPr>
              <w:t>Gene expression risk score - no. (%)</w:t>
            </w:r>
          </w:p>
        </w:tc>
        <w:tc>
          <w:tcPr>
            <w:tcW w:w="3780" w:type="dxa"/>
            <w:tcBorders>
              <w:top w:val="nil"/>
              <w:left w:val="nil"/>
              <w:bottom w:val="single" w:sz="4" w:space="0" w:color="auto"/>
              <w:right w:val="single" w:sz="4" w:space="0" w:color="auto"/>
            </w:tcBorders>
            <w:shd w:val="clear" w:color="auto" w:fill="auto"/>
            <w:noWrap/>
            <w:hideMark/>
          </w:tcPr>
          <w:p w14:paraId="51008025" w14:textId="77777777" w:rsidR="0050211B" w:rsidRPr="00CE4E1F" w:rsidRDefault="0050211B" w:rsidP="00742F09">
            <w:pPr>
              <w:spacing w:line="360" w:lineRule="auto"/>
              <w:contextualSpacing/>
              <w:jc w:val="both"/>
              <w:rPr>
                <w:color w:val="000000"/>
                <w:sz w:val="18"/>
                <w:szCs w:val="18"/>
              </w:rPr>
            </w:pPr>
          </w:p>
        </w:tc>
      </w:tr>
      <w:tr w:rsidR="0050211B" w:rsidRPr="00CE4E1F" w14:paraId="00C90E61"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26C7E8E1"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 xml:space="preserve">        </w:t>
            </w:r>
            <w:r w:rsidRPr="00CE4E1F">
              <w:rPr>
                <w:bCs/>
                <w:color w:val="000000"/>
                <w:sz w:val="18"/>
                <w:szCs w:val="18"/>
              </w:rPr>
              <w:t xml:space="preserve">Low </w:t>
            </w:r>
          </w:p>
        </w:tc>
        <w:tc>
          <w:tcPr>
            <w:tcW w:w="3780" w:type="dxa"/>
            <w:tcBorders>
              <w:top w:val="nil"/>
              <w:left w:val="nil"/>
              <w:bottom w:val="single" w:sz="4" w:space="0" w:color="auto"/>
              <w:right w:val="single" w:sz="4" w:space="0" w:color="auto"/>
            </w:tcBorders>
            <w:shd w:val="clear" w:color="auto" w:fill="auto"/>
            <w:noWrap/>
          </w:tcPr>
          <w:p w14:paraId="5E3DB802" w14:textId="560BEE54" w:rsidR="0050211B" w:rsidRPr="00CE4E1F" w:rsidRDefault="0050211B" w:rsidP="00742F09">
            <w:pPr>
              <w:spacing w:line="360" w:lineRule="auto"/>
              <w:contextualSpacing/>
              <w:jc w:val="both"/>
              <w:rPr>
                <w:color w:val="000000"/>
                <w:sz w:val="18"/>
                <w:szCs w:val="18"/>
              </w:rPr>
            </w:pPr>
            <w:r w:rsidRPr="00CE4E1F">
              <w:rPr>
                <w:color w:val="000000"/>
                <w:sz w:val="18"/>
                <w:szCs w:val="18"/>
              </w:rPr>
              <w:t>63 (36.4)</w:t>
            </w:r>
          </w:p>
        </w:tc>
      </w:tr>
      <w:tr w:rsidR="0050211B" w:rsidRPr="00CE4E1F" w14:paraId="3664A2AE"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3C39570F" w14:textId="77777777" w:rsidR="0050211B" w:rsidRPr="00CE4E1F" w:rsidRDefault="0050211B" w:rsidP="00742F09">
            <w:pPr>
              <w:spacing w:line="360" w:lineRule="auto"/>
              <w:ind w:firstLineChars="200" w:firstLine="360"/>
              <w:contextualSpacing/>
              <w:jc w:val="both"/>
              <w:rPr>
                <w:color w:val="000000"/>
                <w:sz w:val="18"/>
                <w:szCs w:val="18"/>
              </w:rPr>
            </w:pPr>
            <w:r w:rsidRPr="00CE4E1F">
              <w:rPr>
                <w:bCs/>
                <w:color w:val="000000"/>
                <w:sz w:val="18"/>
                <w:szCs w:val="18"/>
              </w:rPr>
              <w:t xml:space="preserve">Intermediate </w:t>
            </w:r>
          </w:p>
        </w:tc>
        <w:tc>
          <w:tcPr>
            <w:tcW w:w="3780" w:type="dxa"/>
            <w:tcBorders>
              <w:top w:val="nil"/>
              <w:left w:val="nil"/>
              <w:bottom w:val="single" w:sz="4" w:space="0" w:color="auto"/>
              <w:right w:val="single" w:sz="4" w:space="0" w:color="auto"/>
            </w:tcBorders>
            <w:shd w:val="clear" w:color="auto" w:fill="auto"/>
            <w:noWrap/>
          </w:tcPr>
          <w:p w14:paraId="7ECDC0A6" w14:textId="2C172B32" w:rsidR="0050211B" w:rsidRPr="00CE4E1F" w:rsidRDefault="0050211B" w:rsidP="00742F09">
            <w:pPr>
              <w:spacing w:line="360" w:lineRule="auto"/>
              <w:contextualSpacing/>
              <w:jc w:val="both"/>
              <w:rPr>
                <w:color w:val="000000"/>
                <w:sz w:val="18"/>
                <w:szCs w:val="18"/>
              </w:rPr>
            </w:pPr>
            <w:r w:rsidRPr="00CE4E1F">
              <w:rPr>
                <w:color w:val="000000"/>
                <w:sz w:val="18"/>
                <w:szCs w:val="18"/>
              </w:rPr>
              <w:t>72 (41.6)</w:t>
            </w:r>
          </w:p>
        </w:tc>
      </w:tr>
      <w:tr w:rsidR="0050211B" w:rsidRPr="00CE4E1F" w14:paraId="46550405"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DC1C926" w14:textId="77777777" w:rsidR="0050211B" w:rsidRPr="00CE4E1F" w:rsidRDefault="0050211B" w:rsidP="00742F09">
            <w:pPr>
              <w:spacing w:line="360" w:lineRule="auto"/>
              <w:ind w:firstLineChars="200" w:firstLine="360"/>
              <w:contextualSpacing/>
              <w:jc w:val="both"/>
              <w:rPr>
                <w:color w:val="000000"/>
                <w:sz w:val="18"/>
                <w:szCs w:val="18"/>
              </w:rPr>
            </w:pPr>
            <w:r w:rsidRPr="00CE4E1F">
              <w:rPr>
                <w:bCs/>
                <w:color w:val="000000"/>
                <w:sz w:val="18"/>
                <w:szCs w:val="18"/>
              </w:rPr>
              <w:t xml:space="preserve">High </w:t>
            </w:r>
          </w:p>
        </w:tc>
        <w:tc>
          <w:tcPr>
            <w:tcW w:w="3780" w:type="dxa"/>
            <w:tcBorders>
              <w:top w:val="nil"/>
              <w:left w:val="nil"/>
              <w:bottom w:val="single" w:sz="4" w:space="0" w:color="auto"/>
              <w:right w:val="single" w:sz="4" w:space="0" w:color="auto"/>
            </w:tcBorders>
            <w:shd w:val="clear" w:color="auto" w:fill="auto"/>
            <w:noWrap/>
          </w:tcPr>
          <w:p w14:paraId="1E4E8BC7" w14:textId="4134D848" w:rsidR="0050211B" w:rsidRPr="00CE4E1F" w:rsidRDefault="0050211B" w:rsidP="00742F09">
            <w:pPr>
              <w:spacing w:line="360" w:lineRule="auto"/>
              <w:contextualSpacing/>
              <w:jc w:val="both"/>
              <w:rPr>
                <w:color w:val="000000"/>
                <w:sz w:val="18"/>
                <w:szCs w:val="18"/>
              </w:rPr>
            </w:pPr>
            <w:r w:rsidRPr="00CE4E1F">
              <w:rPr>
                <w:color w:val="000000"/>
                <w:sz w:val="18"/>
                <w:szCs w:val="18"/>
              </w:rPr>
              <w:t>38 (22.0)</w:t>
            </w:r>
          </w:p>
        </w:tc>
      </w:tr>
      <w:tr w:rsidR="0050211B" w:rsidRPr="00CE4E1F" w14:paraId="2AF4196C"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6880C88" w14:textId="77777777" w:rsidR="0050211B" w:rsidRPr="00CE4E1F" w:rsidRDefault="0050211B" w:rsidP="00742F09">
            <w:pPr>
              <w:spacing w:line="360" w:lineRule="auto"/>
              <w:contextualSpacing/>
              <w:jc w:val="both"/>
              <w:rPr>
                <w:color w:val="000000"/>
                <w:sz w:val="18"/>
                <w:szCs w:val="18"/>
              </w:rPr>
            </w:pPr>
            <w:r w:rsidRPr="00CE4E1F">
              <w:rPr>
                <w:b/>
                <w:bCs/>
                <w:color w:val="000000"/>
                <w:sz w:val="18"/>
                <w:szCs w:val="18"/>
              </w:rPr>
              <w:t>Postoperative radiotherapy - no. (%)</w:t>
            </w:r>
          </w:p>
        </w:tc>
        <w:tc>
          <w:tcPr>
            <w:tcW w:w="3780" w:type="dxa"/>
            <w:tcBorders>
              <w:top w:val="nil"/>
              <w:left w:val="nil"/>
              <w:bottom w:val="single" w:sz="4" w:space="0" w:color="auto"/>
              <w:right w:val="single" w:sz="4" w:space="0" w:color="auto"/>
            </w:tcBorders>
            <w:shd w:val="clear" w:color="auto" w:fill="auto"/>
            <w:noWrap/>
          </w:tcPr>
          <w:p w14:paraId="6C5599A4"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33 (19.1)</w:t>
            </w:r>
          </w:p>
        </w:tc>
      </w:tr>
      <w:tr w:rsidR="0050211B" w:rsidRPr="00CE4E1F" w14:paraId="2216E1DF"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1800CFD" w14:textId="3229AE0B" w:rsidR="0050211B" w:rsidRPr="00CE4E1F" w:rsidRDefault="0050211B" w:rsidP="00742F09">
            <w:pPr>
              <w:spacing w:line="360" w:lineRule="auto"/>
              <w:contextualSpacing/>
              <w:jc w:val="both"/>
              <w:rPr>
                <w:b/>
                <w:bCs/>
                <w:color w:val="000000"/>
                <w:sz w:val="18"/>
                <w:szCs w:val="18"/>
              </w:rPr>
            </w:pPr>
            <w:r w:rsidRPr="00CE4E1F">
              <w:rPr>
                <w:b/>
                <w:bCs/>
                <w:color w:val="000000"/>
                <w:sz w:val="18"/>
                <w:szCs w:val="18"/>
              </w:rPr>
              <w:t>Median follow up (IQR) - yr.*</w:t>
            </w:r>
            <w:r w:rsidR="009379BA" w:rsidRPr="00CE4E1F">
              <w:rPr>
                <w:b/>
                <w:bCs/>
                <w:color w:val="000000"/>
                <w:sz w:val="18"/>
                <w:szCs w:val="18"/>
              </w:rPr>
              <w:t>*</w:t>
            </w:r>
          </w:p>
        </w:tc>
        <w:tc>
          <w:tcPr>
            <w:tcW w:w="3780" w:type="dxa"/>
            <w:tcBorders>
              <w:top w:val="nil"/>
              <w:left w:val="nil"/>
              <w:bottom w:val="single" w:sz="4" w:space="0" w:color="auto"/>
              <w:right w:val="single" w:sz="4" w:space="0" w:color="auto"/>
            </w:tcBorders>
            <w:shd w:val="clear" w:color="auto" w:fill="auto"/>
            <w:noWrap/>
            <w:hideMark/>
          </w:tcPr>
          <w:p w14:paraId="587F2E0F"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8.1 (3.9-11.9)</w:t>
            </w:r>
          </w:p>
        </w:tc>
      </w:tr>
      <w:tr w:rsidR="0050211B" w:rsidRPr="00CE4E1F" w14:paraId="567CCA55"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2E3FB7B" w14:textId="77777777" w:rsidR="0050211B" w:rsidRPr="00CE4E1F" w:rsidRDefault="0050211B" w:rsidP="00742F09">
            <w:pPr>
              <w:spacing w:line="360" w:lineRule="auto"/>
              <w:contextualSpacing/>
              <w:jc w:val="both"/>
              <w:rPr>
                <w:b/>
                <w:bCs/>
                <w:color w:val="000000"/>
                <w:sz w:val="18"/>
                <w:szCs w:val="18"/>
              </w:rPr>
            </w:pPr>
            <w:r w:rsidRPr="00CE4E1F">
              <w:rPr>
                <w:b/>
                <w:bCs/>
                <w:color w:val="000000"/>
                <w:sz w:val="18"/>
                <w:szCs w:val="18"/>
              </w:rPr>
              <w:t>Local recurrence - no. (%)</w:t>
            </w:r>
          </w:p>
        </w:tc>
        <w:tc>
          <w:tcPr>
            <w:tcW w:w="3780" w:type="dxa"/>
            <w:tcBorders>
              <w:top w:val="nil"/>
              <w:left w:val="nil"/>
              <w:bottom w:val="single" w:sz="4" w:space="0" w:color="auto"/>
              <w:right w:val="single" w:sz="4" w:space="0" w:color="auto"/>
            </w:tcBorders>
            <w:shd w:val="clear" w:color="auto" w:fill="auto"/>
            <w:noWrap/>
            <w:hideMark/>
          </w:tcPr>
          <w:p w14:paraId="5F3384DC"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61 (35.3)</w:t>
            </w:r>
          </w:p>
        </w:tc>
      </w:tr>
      <w:tr w:rsidR="0050211B" w:rsidRPr="00CE4E1F" w14:paraId="6E058CC6"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C6AF3A0" w14:textId="77777777" w:rsidR="0050211B" w:rsidRPr="00CE4E1F" w:rsidRDefault="0050211B" w:rsidP="00742F09">
            <w:pPr>
              <w:spacing w:line="360" w:lineRule="auto"/>
              <w:contextualSpacing/>
              <w:jc w:val="both"/>
              <w:rPr>
                <w:b/>
                <w:bCs/>
                <w:color w:val="000000"/>
                <w:sz w:val="18"/>
                <w:szCs w:val="18"/>
              </w:rPr>
            </w:pPr>
            <w:r w:rsidRPr="00CE4E1F">
              <w:rPr>
                <w:b/>
                <w:bCs/>
                <w:color w:val="000000"/>
                <w:sz w:val="18"/>
                <w:szCs w:val="18"/>
              </w:rPr>
              <w:t>Death - no. (%)</w:t>
            </w:r>
          </w:p>
        </w:tc>
        <w:tc>
          <w:tcPr>
            <w:tcW w:w="3780" w:type="dxa"/>
            <w:tcBorders>
              <w:top w:val="nil"/>
              <w:left w:val="nil"/>
              <w:bottom w:val="single" w:sz="4" w:space="0" w:color="auto"/>
              <w:right w:val="single" w:sz="4" w:space="0" w:color="auto"/>
            </w:tcBorders>
            <w:shd w:val="clear" w:color="auto" w:fill="auto"/>
            <w:noWrap/>
            <w:hideMark/>
          </w:tcPr>
          <w:p w14:paraId="7E11054E"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 </w:t>
            </w:r>
          </w:p>
        </w:tc>
      </w:tr>
      <w:tr w:rsidR="0050211B" w:rsidRPr="00CE4E1F" w14:paraId="633ADB78"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5F6897B" w14:textId="77777777" w:rsidR="0050211B" w:rsidRPr="00CE4E1F" w:rsidRDefault="0050211B" w:rsidP="00742F09">
            <w:pPr>
              <w:spacing w:line="360" w:lineRule="auto"/>
              <w:contextualSpacing/>
              <w:jc w:val="both"/>
              <w:rPr>
                <w:b/>
                <w:bCs/>
                <w:color w:val="000000"/>
                <w:sz w:val="18"/>
                <w:szCs w:val="18"/>
              </w:rPr>
            </w:pPr>
            <w:r w:rsidRPr="00CE4E1F">
              <w:rPr>
                <w:color w:val="000000"/>
                <w:sz w:val="18"/>
                <w:szCs w:val="18"/>
              </w:rPr>
              <w:t xml:space="preserve">        Meningioma</w:t>
            </w:r>
          </w:p>
        </w:tc>
        <w:tc>
          <w:tcPr>
            <w:tcW w:w="3780" w:type="dxa"/>
            <w:tcBorders>
              <w:top w:val="nil"/>
              <w:left w:val="nil"/>
              <w:bottom w:val="single" w:sz="4" w:space="0" w:color="auto"/>
              <w:right w:val="single" w:sz="4" w:space="0" w:color="auto"/>
            </w:tcBorders>
            <w:shd w:val="clear" w:color="auto" w:fill="auto"/>
            <w:noWrap/>
            <w:hideMark/>
          </w:tcPr>
          <w:p w14:paraId="3E050FC5"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24 (13.8)</w:t>
            </w:r>
          </w:p>
        </w:tc>
      </w:tr>
      <w:tr w:rsidR="0050211B" w:rsidRPr="00CE4E1F" w14:paraId="157E802B"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40281CE" w14:textId="77777777" w:rsidR="0050211B" w:rsidRPr="00CE4E1F" w:rsidRDefault="0050211B" w:rsidP="00742F09">
            <w:pPr>
              <w:spacing w:line="360" w:lineRule="auto"/>
              <w:ind w:firstLineChars="200" w:firstLine="360"/>
              <w:contextualSpacing/>
              <w:jc w:val="both"/>
              <w:rPr>
                <w:color w:val="000000"/>
                <w:sz w:val="18"/>
                <w:szCs w:val="18"/>
              </w:rPr>
            </w:pPr>
            <w:r w:rsidRPr="00CE4E1F">
              <w:rPr>
                <w:color w:val="000000"/>
                <w:sz w:val="18"/>
                <w:szCs w:val="18"/>
              </w:rPr>
              <w:t>Other</w:t>
            </w:r>
          </w:p>
        </w:tc>
        <w:tc>
          <w:tcPr>
            <w:tcW w:w="3780" w:type="dxa"/>
            <w:tcBorders>
              <w:top w:val="nil"/>
              <w:left w:val="nil"/>
              <w:bottom w:val="single" w:sz="4" w:space="0" w:color="auto"/>
              <w:right w:val="single" w:sz="4" w:space="0" w:color="auto"/>
            </w:tcBorders>
            <w:shd w:val="clear" w:color="auto" w:fill="auto"/>
            <w:noWrap/>
            <w:hideMark/>
          </w:tcPr>
          <w:p w14:paraId="4F3A954D"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11 (6.4)</w:t>
            </w:r>
          </w:p>
        </w:tc>
      </w:tr>
      <w:tr w:rsidR="0050211B" w:rsidRPr="00CE4E1F" w14:paraId="045CE718" w14:textId="77777777" w:rsidTr="000239D5">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107B941" w14:textId="77777777" w:rsidR="0050211B" w:rsidRPr="00CE4E1F" w:rsidRDefault="0050211B" w:rsidP="00742F09">
            <w:pPr>
              <w:spacing w:line="360" w:lineRule="auto"/>
              <w:ind w:firstLineChars="200" w:firstLine="360"/>
              <w:contextualSpacing/>
              <w:jc w:val="both"/>
              <w:rPr>
                <w:color w:val="000000"/>
                <w:sz w:val="18"/>
                <w:szCs w:val="18"/>
              </w:rPr>
            </w:pPr>
            <w:r w:rsidRPr="00CE4E1F">
              <w:rPr>
                <w:color w:val="000000"/>
                <w:sz w:val="18"/>
                <w:szCs w:val="18"/>
              </w:rPr>
              <w:lastRenderedPageBreak/>
              <w:t>Unknown</w:t>
            </w:r>
          </w:p>
        </w:tc>
        <w:tc>
          <w:tcPr>
            <w:tcW w:w="3780" w:type="dxa"/>
            <w:tcBorders>
              <w:top w:val="nil"/>
              <w:left w:val="nil"/>
              <w:bottom w:val="single" w:sz="4" w:space="0" w:color="auto"/>
              <w:right w:val="single" w:sz="4" w:space="0" w:color="auto"/>
            </w:tcBorders>
            <w:shd w:val="clear" w:color="auto" w:fill="auto"/>
            <w:noWrap/>
            <w:hideMark/>
          </w:tcPr>
          <w:p w14:paraId="105ABEF8" w14:textId="77777777" w:rsidR="0050211B" w:rsidRPr="00CE4E1F" w:rsidRDefault="0050211B" w:rsidP="00742F09">
            <w:pPr>
              <w:spacing w:line="360" w:lineRule="auto"/>
              <w:contextualSpacing/>
              <w:jc w:val="both"/>
              <w:rPr>
                <w:color w:val="000000"/>
                <w:sz w:val="18"/>
                <w:szCs w:val="18"/>
              </w:rPr>
            </w:pPr>
            <w:r w:rsidRPr="00CE4E1F">
              <w:rPr>
                <w:color w:val="000000"/>
                <w:sz w:val="18"/>
                <w:szCs w:val="18"/>
              </w:rPr>
              <w:t>11 (6.4)</w:t>
            </w:r>
          </w:p>
        </w:tc>
      </w:tr>
    </w:tbl>
    <w:p w14:paraId="69D9CD08" w14:textId="29E3BA15" w:rsidR="009379BA" w:rsidRPr="00CE4E1F" w:rsidRDefault="009379BA" w:rsidP="00742F09">
      <w:pPr>
        <w:widowControl w:val="0"/>
        <w:autoSpaceDE w:val="0"/>
        <w:autoSpaceDN w:val="0"/>
        <w:adjustRightInd w:val="0"/>
        <w:spacing w:line="360" w:lineRule="auto"/>
        <w:contextualSpacing/>
        <w:jc w:val="both"/>
        <w:rPr>
          <w:bCs/>
        </w:rPr>
      </w:pPr>
      <w:r w:rsidRPr="00CE4E1F">
        <w:rPr>
          <w:b/>
          <w:bCs/>
        </w:rPr>
        <w:t>*</w:t>
      </w:r>
      <w:r w:rsidRPr="00CE4E1F">
        <w:rPr>
          <w:bCs/>
          <w:i/>
        </w:rPr>
        <w:t>TERT</w:t>
      </w:r>
      <w:r w:rsidRPr="00CE4E1F">
        <w:rPr>
          <w:bCs/>
        </w:rPr>
        <w:t xml:space="preserve"> promoter sequencing was performed using next generation targeted sequencing.</w:t>
      </w:r>
    </w:p>
    <w:p w14:paraId="553136DD" w14:textId="086906B3" w:rsidR="00AF70C0" w:rsidRPr="00CE4E1F" w:rsidRDefault="00AF70C0" w:rsidP="00742F09">
      <w:pPr>
        <w:widowControl w:val="0"/>
        <w:autoSpaceDE w:val="0"/>
        <w:autoSpaceDN w:val="0"/>
        <w:adjustRightInd w:val="0"/>
        <w:spacing w:line="360" w:lineRule="auto"/>
        <w:contextualSpacing/>
        <w:jc w:val="both"/>
        <w:rPr>
          <w:b/>
          <w:bCs/>
        </w:rPr>
      </w:pPr>
      <w:r w:rsidRPr="00CE4E1F">
        <w:rPr>
          <w:b/>
          <w:bCs/>
        </w:rPr>
        <w:t>*</w:t>
      </w:r>
      <w:r w:rsidR="009379BA" w:rsidRPr="00CE4E1F">
        <w:rPr>
          <w:b/>
          <w:bCs/>
        </w:rPr>
        <w:t>*</w:t>
      </w:r>
      <w:r w:rsidRPr="00CE4E1F">
        <w:rPr>
          <w:bCs/>
        </w:rPr>
        <w:t xml:space="preserve">Estimated using the reverse Kaplan Meier method. Median </w:t>
      </w:r>
      <w:r w:rsidR="0021551C" w:rsidRPr="00CE4E1F">
        <w:rPr>
          <w:bCs/>
        </w:rPr>
        <w:t xml:space="preserve">clinical </w:t>
      </w:r>
      <w:r w:rsidRPr="00CE4E1F">
        <w:rPr>
          <w:bCs/>
        </w:rPr>
        <w:t xml:space="preserve">follow up time to </w:t>
      </w:r>
      <w:r w:rsidR="0021551C" w:rsidRPr="00CE4E1F">
        <w:rPr>
          <w:bCs/>
        </w:rPr>
        <w:t xml:space="preserve">survival </w:t>
      </w:r>
      <w:r w:rsidRPr="00CE4E1F">
        <w:rPr>
          <w:bCs/>
        </w:rPr>
        <w:t>events or censorship was 7.4 yea</w:t>
      </w:r>
      <w:r w:rsidR="0021551C" w:rsidRPr="00CE4E1F">
        <w:rPr>
          <w:bCs/>
        </w:rPr>
        <w:t>rs</w:t>
      </w:r>
      <w:r w:rsidRPr="00CE4E1F">
        <w:rPr>
          <w:bCs/>
        </w:rPr>
        <w:t>. Median time to censorship among surviving patients without meningioma recurrence was 6.8 years.</w:t>
      </w:r>
      <w:r w:rsidR="0021551C" w:rsidRPr="00CE4E1F">
        <w:rPr>
          <w:bCs/>
        </w:rPr>
        <w:t xml:space="preserve"> Median imaging follow up among patients without recurrence was 5.7 years. Median time to local recurrence was 2.8 years.</w:t>
      </w:r>
      <w:r w:rsidR="00905D69" w:rsidRPr="00CE4E1F">
        <w:rPr>
          <w:bCs/>
        </w:rPr>
        <w:t xml:space="preserve"> Dates of surgery ranged between November 1991 and July 2016. </w:t>
      </w:r>
      <w:r w:rsidR="00012E8C" w:rsidRPr="00CE4E1F">
        <w:rPr>
          <w:bCs/>
        </w:rPr>
        <w:t>Nucleic acids were extracted</w:t>
      </w:r>
      <w:r w:rsidR="00553069" w:rsidRPr="00CE4E1F">
        <w:rPr>
          <w:bCs/>
        </w:rPr>
        <w:t xml:space="preserve"> from frozen </w:t>
      </w:r>
      <w:r w:rsidR="00012E8C" w:rsidRPr="00CE4E1F">
        <w:rPr>
          <w:bCs/>
        </w:rPr>
        <w:t>meningiomas</w:t>
      </w:r>
      <w:r w:rsidR="00553069" w:rsidRPr="00CE4E1F">
        <w:rPr>
          <w:bCs/>
        </w:rPr>
        <w:t>.</w:t>
      </w:r>
      <w:r w:rsidR="0050211B" w:rsidRPr="00CE4E1F">
        <w:rPr>
          <w:bCs/>
        </w:rPr>
        <w:t xml:space="preserve"> </w:t>
      </w:r>
    </w:p>
    <w:p w14:paraId="1C068CF5" w14:textId="6E868DBF" w:rsidR="006A68F3" w:rsidRPr="00CE4E1F" w:rsidRDefault="00276C8E" w:rsidP="00742F09">
      <w:pPr>
        <w:spacing w:line="360" w:lineRule="auto"/>
        <w:contextualSpacing/>
        <w:jc w:val="both"/>
        <w:rPr>
          <w:b/>
        </w:rPr>
      </w:pPr>
      <w:r w:rsidRPr="00CE4E1F">
        <w:rPr>
          <w:b/>
        </w:rPr>
        <w:br w:type="column"/>
      </w:r>
      <w:r w:rsidR="006A68F3" w:rsidRPr="00CE4E1F">
        <w:rPr>
          <w:b/>
        </w:rPr>
        <w:lastRenderedPageBreak/>
        <w:t xml:space="preserve">Table </w:t>
      </w:r>
      <w:r w:rsidRPr="00CE4E1F">
        <w:rPr>
          <w:b/>
        </w:rPr>
        <w:t>S</w:t>
      </w:r>
      <w:r w:rsidR="00BD7064" w:rsidRPr="00CE4E1F">
        <w:rPr>
          <w:b/>
        </w:rPr>
        <w:t>3</w:t>
      </w:r>
      <w:r w:rsidR="006A68F3" w:rsidRPr="00CE4E1F">
        <w:rPr>
          <w:b/>
        </w:rPr>
        <w:t xml:space="preserve">. </w:t>
      </w:r>
      <w:r w:rsidR="006F35CB" w:rsidRPr="00CE4E1F">
        <w:rPr>
          <w:b/>
        </w:rPr>
        <w:t xml:space="preserve">Optimized </w:t>
      </w:r>
      <w:r w:rsidR="006A68F3" w:rsidRPr="00CE4E1F">
        <w:rPr>
          <w:b/>
        </w:rPr>
        <w:t xml:space="preserve">gene expression </w:t>
      </w:r>
      <w:r w:rsidR="006C12DD">
        <w:rPr>
          <w:b/>
        </w:rPr>
        <w:t>biomarker</w:t>
      </w:r>
      <w:r w:rsidR="006C12DD" w:rsidRPr="00CE4E1F">
        <w:rPr>
          <w:b/>
        </w:rPr>
        <w:t xml:space="preserve"> </w:t>
      </w:r>
      <w:r w:rsidR="00F12955" w:rsidRPr="00CE4E1F">
        <w:rPr>
          <w:b/>
        </w:rPr>
        <w:t>panel</w:t>
      </w:r>
      <w:r w:rsidR="006F35CB" w:rsidRPr="00CE4E1F">
        <w:rPr>
          <w:b/>
        </w:rPr>
        <w:t>.</w:t>
      </w:r>
    </w:p>
    <w:tbl>
      <w:tblPr>
        <w:tblStyle w:val="TableGrid"/>
        <w:tblW w:w="9355" w:type="dxa"/>
        <w:tblLayout w:type="fixed"/>
        <w:tblLook w:val="04A0" w:firstRow="1" w:lastRow="0" w:firstColumn="1" w:lastColumn="0" w:noHBand="0" w:noVBand="1"/>
      </w:tblPr>
      <w:tblGrid>
        <w:gridCol w:w="1075"/>
        <w:gridCol w:w="3060"/>
        <w:gridCol w:w="540"/>
        <w:gridCol w:w="720"/>
        <w:gridCol w:w="2490"/>
        <w:gridCol w:w="1470"/>
      </w:tblGrid>
      <w:tr w:rsidR="00DC32DC" w:rsidRPr="00CE4E1F" w14:paraId="0A628B12" w14:textId="77777777" w:rsidTr="001914D7">
        <w:trPr>
          <w:trHeight w:val="63"/>
        </w:trPr>
        <w:tc>
          <w:tcPr>
            <w:tcW w:w="1075" w:type="dxa"/>
            <w:hideMark/>
          </w:tcPr>
          <w:p w14:paraId="006BADAF" w14:textId="77777777" w:rsidR="00DC32DC" w:rsidRPr="00CE4E1F" w:rsidRDefault="00DC32DC" w:rsidP="00742F09">
            <w:pPr>
              <w:spacing w:line="360" w:lineRule="auto"/>
              <w:contextualSpacing/>
              <w:jc w:val="both"/>
              <w:rPr>
                <w:b/>
                <w:bCs/>
                <w:color w:val="000000" w:themeColor="text1"/>
                <w:sz w:val="18"/>
                <w:szCs w:val="18"/>
              </w:rPr>
            </w:pPr>
            <w:r w:rsidRPr="00CE4E1F">
              <w:rPr>
                <w:b/>
                <w:bCs/>
                <w:color w:val="000000" w:themeColor="text1"/>
                <w:sz w:val="18"/>
                <w:szCs w:val="18"/>
              </w:rPr>
              <w:t>Gene</w:t>
            </w:r>
          </w:p>
        </w:tc>
        <w:tc>
          <w:tcPr>
            <w:tcW w:w="3060" w:type="dxa"/>
            <w:hideMark/>
          </w:tcPr>
          <w:p w14:paraId="3DF2B9C3" w14:textId="1F8AAC81" w:rsidR="00DC32DC" w:rsidRPr="00CE4E1F" w:rsidRDefault="00DC32DC" w:rsidP="00742F09">
            <w:pPr>
              <w:spacing w:line="360" w:lineRule="auto"/>
              <w:contextualSpacing/>
              <w:jc w:val="both"/>
              <w:rPr>
                <w:b/>
                <w:bCs/>
                <w:color w:val="000000" w:themeColor="text1"/>
                <w:sz w:val="18"/>
                <w:szCs w:val="18"/>
              </w:rPr>
            </w:pPr>
            <w:r w:rsidRPr="00CE4E1F">
              <w:rPr>
                <w:b/>
                <w:bCs/>
                <w:color w:val="000000" w:themeColor="text1"/>
                <w:sz w:val="18"/>
                <w:szCs w:val="18"/>
              </w:rPr>
              <w:t>Function</w:t>
            </w:r>
          </w:p>
        </w:tc>
        <w:tc>
          <w:tcPr>
            <w:tcW w:w="540" w:type="dxa"/>
            <w:hideMark/>
          </w:tcPr>
          <w:p w14:paraId="23CD479B" w14:textId="3ED51338" w:rsidR="00DC32DC" w:rsidRPr="00CE4E1F" w:rsidRDefault="00DC32DC" w:rsidP="00742F09">
            <w:pPr>
              <w:spacing w:line="360" w:lineRule="auto"/>
              <w:contextualSpacing/>
              <w:jc w:val="both"/>
              <w:rPr>
                <w:b/>
                <w:bCs/>
                <w:color w:val="000000" w:themeColor="text1"/>
                <w:sz w:val="18"/>
                <w:szCs w:val="18"/>
              </w:rPr>
            </w:pPr>
            <w:r w:rsidRPr="00CE4E1F">
              <w:rPr>
                <w:b/>
                <w:bCs/>
                <w:color w:val="000000" w:themeColor="text1"/>
                <w:sz w:val="18"/>
                <w:szCs w:val="18"/>
              </w:rPr>
              <w:t>Chr</w:t>
            </w:r>
          </w:p>
        </w:tc>
        <w:tc>
          <w:tcPr>
            <w:tcW w:w="720" w:type="dxa"/>
            <w:hideMark/>
          </w:tcPr>
          <w:p w14:paraId="1540DB7B" w14:textId="77777777" w:rsidR="00DC32DC" w:rsidRPr="00CE4E1F" w:rsidRDefault="00DC32DC" w:rsidP="00742F09">
            <w:pPr>
              <w:spacing w:line="360" w:lineRule="auto"/>
              <w:contextualSpacing/>
              <w:jc w:val="both"/>
              <w:rPr>
                <w:b/>
                <w:bCs/>
                <w:color w:val="000000" w:themeColor="text1"/>
                <w:sz w:val="18"/>
                <w:szCs w:val="18"/>
              </w:rPr>
            </w:pPr>
            <w:r w:rsidRPr="00CE4E1F">
              <w:rPr>
                <w:b/>
                <w:bCs/>
                <w:color w:val="000000" w:themeColor="text1"/>
                <w:sz w:val="18"/>
                <w:szCs w:val="18"/>
              </w:rPr>
              <w:t>Band</w:t>
            </w:r>
          </w:p>
        </w:tc>
        <w:tc>
          <w:tcPr>
            <w:tcW w:w="2490" w:type="dxa"/>
          </w:tcPr>
          <w:p w14:paraId="2B4F1617" w14:textId="6E96F47B" w:rsidR="00DC32DC" w:rsidRPr="00CE4E1F" w:rsidRDefault="00DC32DC" w:rsidP="00742F09">
            <w:pPr>
              <w:spacing w:line="360" w:lineRule="auto"/>
              <w:contextualSpacing/>
              <w:jc w:val="both"/>
              <w:rPr>
                <w:b/>
                <w:bCs/>
                <w:color w:val="000000" w:themeColor="text1"/>
                <w:sz w:val="18"/>
                <w:szCs w:val="18"/>
              </w:rPr>
            </w:pPr>
            <w:r>
              <w:rPr>
                <w:b/>
                <w:bCs/>
                <w:color w:val="000000" w:themeColor="text1"/>
                <w:sz w:val="18"/>
                <w:szCs w:val="18"/>
              </w:rPr>
              <w:t>Expression in meningiomas with worse clinical outcomes</w:t>
            </w:r>
          </w:p>
        </w:tc>
        <w:tc>
          <w:tcPr>
            <w:tcW w:w="1470" w:type="dxa"/>
            <w:hideMark/>
          </w:tcPr>
          <w:p w14:paraId="7430ACD0" w14:textId="41BDD988" w:rsidR="00DC32DC" w:rsidRPr="00CE4E1F" w:rsidRDefault="00DC32DC" w:rsidP="00742F09">
            <w:pPr>
              <w:spacing w:line="360" w:lineRule="auto"/>
              <w:contextualSpacing/>
              <w:jc w:val="both"/>
              <w:rPr>
                <w:b/>
                <w:bCs/>
                <w:color w:val="000000" w:themeColor="text1"/>
                <w:sz w:val="18"/>
                <w:szCs w:val="18"/>
              </w:rPr>
            </w:pPr>
            <w:r w:rsidRPr="00CE4E1F">
              <w:rPr>
                <w:b/>
                <w:bCs/>
                <w:color w:val="000000" w:themeColor="text1"/>
                <w:sz w:val="18"/>
                <w:szCs w:val="18"/>
              </w:rPr>
              <w:t>Reference PMID</w:t>
            </w:r>
          </w:p>
        </w:tc>
      </w:tr>
      <w:tr w:rsidR="00DC32DC" w:rsidRPr="00CE4E1F" w14:paraId="74A2787F" w14:textId="77777777" w:rsidTr="001914D7">
        <w:trPr>
          <w:trHeight w:val="63"/>
        </w:trPr>
        <w:tc>
          <w:tcPr>
            <w:tcW w:w="1075" w:type="dxa"/>
            <w:noWrap/>
            <w:hideMark/>
          </w:tcPr>
          <w:p w14:paraId="017DED69"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ARID1B</w:t>
            </w:r>
          </w:p>
        </w:tc>
        <w:tc>
          <w:tcPr>
            <w:tcW w:w="3060" w:type="dxa"/>
            <w:noWrap/>
            <w:hideMark/>
          </w:tcPr>
          <w:p w14:paraId="57098DA4"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Chromatin regulation, tumor suppressor</w:t>
            </w:r>
          </w:p>
        </w:tc>
        <w:tc>
          <w:tcPr>
            <w:tcW w:w="540" w:type="dxa"/>
            <w:noWrap/>
            <w:hideMark/>
          </w:tcPr>
          <w:p w14:paraId="248BA4C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6</w:t>
            </w:r>
          </w:p>
        </w:tc>
        <w:tc>
          <w:tcPr>
            <w:tcW w:w="720" w:type="dxa"/>
            <w:noWrap/>
            <w:hideMark/>
          </w:tcPr>
          <w:p w14:paraId="1C3CF6DB"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q25.3</w:t>
            </w:r>
          </w:p>
        </w:tc>
        <w:tc>
          <w:tcPr>
            <w:tcW w:w="2490" w:type="dxa"/>
          </w:tcPr>
          <w:p w14:paraId="295C14D0" w14:textId="553726D0" w:rsidR="00DC32DC" w:rsidRPr="00CE4E1F" w:rsidRDefault="00DC32DC"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69D6E880" w14:textId="140F4879" w:rsidR="00DC32DC" w:rsidRPr="00CE4E1F" w:rsidRDefault="00DC32DC" w:rsidP="00742F09">
            <w:pPr>
              <w:spacing w:line="360" w:lineRule="auto"/>
              <w:contextualSpacing/>
              <w:jc w:val="both"/>
              <w:rPr>
                <w:color w:val="000000"/>
                <w:sz w:val="18"/>
                <w:szCs w:val="18"/>
              </w:rPr>
            </w:pPr>
            <w:r w:rsidRPr="00CE4E1F">
              <w:rPr>
                <w:color w:val="000000"/>
                <w:sz w:val="18"/>
                <w:szCs w:val="18"/>
              </w:rPr>
              <w:t>28195122, 30202034</w:t>
            </w:r>
          </w:p>
        </w:tc>
      </w:tr>
      <w:tr w:rsidR="00DC32DC" w:rsidRPr="00CE4E1F" w14:paraId="42DA9245" w14:textId="77777777" w:rsidTr="001914D7">
        <w:trPr>
          <w:trHeight w:val="80"/>
        </w:trPr>
        <w:tc>
          <w:tcPr>
            <w:tcW w:w="1075" w:type="dxa"/>
            <w:noWrap/>
            <w:hideMark/>
          </w:tcPr>
          <w:p w14:paraId="17F5A5F6"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CCL21</w:t>
            </w:r>
          </w:p>
        </w:tc>
        <w:tc>
          <w:tcPr>
            <w:tcW w:w="3060" w:type="dxa"/>
            <w:noWrap/>
            <w:hideMark/>
          </w:tcPr>
          <w:p w14:paraId="45EC91BA"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Meningeal lymphatics</w:t>
            </w:r>
          </w:p>
        </w:tc>
        <w:tc>
          <w:tcPr>
            <w:tcW w:w="540" w:type="dxa"/>
            <w:noWrap/>
            <w:hideMark/>
          </w:tcPr>
          <w:p w14:paraId="1F9F71BA"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9</w:t>
            </w:r>
          </w:p>
        </w:tc>
        <w:tc>
          <w:tcPr>
            <w:tcW w:w="720" w:type="dxa"/>
            <w:noWrap/>
            <w:hideMark/>
          </w:tcPr>
          <w:p w14:paraId="42DAA84A"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p13.3</w:t>
            </w:r>
          </w:p>
        </w:tc>
        <w:tc>
          <w:tcPr>
            <w:tcW w:w="2490" w:type="dxa"/>
          </w:tcPr>
          <w:p w14:paraId="5FCB89E9" w14:textId="1B590D72" w:rsidR="00DC32DC" w:rsidRPr="00CE4E1F" w:rsidRDefault="00DC32DC" w:rsidP="00742F09">
            <w:pPr>
              <w:spacing w:line="360" w:lineRule="auto"/>
              <w:contextualSpacing/>
              <w:jc w:val="both"/>
              <w:rPr>
                <w:color w:val="000000" w:themeColor="text1"/>
                <w:sz w:val="18"/>
                <w:szCs w:val="18"/>
                <w:shd w:val="clear" w:color="auto" w:fill="FFFFFF"/>
              </w:rPr>
            </w:pPr>
            <w:r>
              <w:rPr>
                <w:color w:val="000000" w:themeColor="text1"/>
                <w:sz w:val="18"/>
                <w:szCs w:val="18"/>
                <w:shd w:val="clear" w:color="auto" w:fill="FFFFFF"/>
              </w:rPr>
              <w:t>Enriched</w:t>
            </w:r>
          </w:p>
        </w:tc>
        <w:tc>
          <w:tcPr>
            <w:tcW w:w="1470" w:type="dxa"/>
            <w:noWrap/>
            <w:hideMark/>
          </w:tcPr>
          <w:p w14:paraId="5976EFCE" w14:textId="4C9734A5" w:rsidR="00DC32DC" w:rsidRPr="00CE4E1F" w:rsidRDefault="00DC32DC" w:rsidP="00742F09">
            <w:pPr>
              <w:spacing w:line="360" w:lineRule="auto"/>
              <w:contextualSpacing/>
              <w:jc w:val="both"/>
              <w:rPr>
                <w:color w:val="000000"/>
                <w:sz w:val="18"/>
                <w:szCs w:val="18"/>
              </w:rPr>
            </w:pPr>
            <w:r w:rsidRPr="00CE4E1F">
              <w:rPr>
                <w:color w:val="000000" w:themeColor="text1"/>
                <w:sz w:val="18"/>
                <w:szCs w:val="18"/>
                <w:shd w:val="clear" w:color="auto" w:fill="FFFFFF"/>
              </w:rPr>
              <w:t>35534562</w:t>
            </w:r>
          </w:p>
        </w:tc>
      </w:tr>
      <w:tr w:rsidR="00DC32DC" w:rsidRPr="00CE4E1F" w14:paraId="00AA49E3" w14:textId="77777777" w:rsidTr="001914D7">
        <w:trPr>
          <w:trHeight w:val="320"/>
        </w:trPr>
        <w:tc>
          <w:tcPr>
            <w:tcW w:w="1075" w:type="dxa"/>
            <w:noWrap/>
            <w:hideMark/>
          </w:tcPr>
          <w:p w14:paraId="562A3223"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CCN1</w:t>
            </w:r>
          </w:p>
        </w:tc>
        <w:tc>
          <w:tcPr>
            <w:tcW w:w="3060" w:type="dxa"/>
            <w:noWrap/>
            <w:hideMark/>
          </w:tcPr>
          <w:p w14:paraId="2BD25716" w14:textId="029A1E64" w:rsidR="00DC32DC" w:rsidRPr="00CE4E1F" w:rsidRDefault="00DC32DC" w:rsidP="00742F09">
            <w:pPr>
              <w:spacing w:line="360" w:lineRule="auto"/>
              <w:contextualSpacing/>
              <w:jc w:val="both"/>
              <w:rPr>
                <w:color w:val="000000"/>
                <w:sz w:val="18"/>
                <w:szCs w:val="18"/>
              </w:rPr>
            </w:pPr>
            <w:r w:rsidRPr="00CE4E1F">
              <w:rPr>
                <w:color w:val="000000"/>
                <w:sz w:val="18"/>
                <w:szCs w:val="18"/>
              </w:rPr>
              <w:t>Growth factor signaling, cell proliferation, preliminary gene expression risk score component</w:t>
            </w:r>
          </w:p>
        </w:tc>
        <w:tc>
          <w:tcPr>
            <w:tcW w:w="540" w:type="dxa"/>
            <w:noWrap/>
            <w:hideMark/>
          </w:tcPr>
          <w:p w14:paraId="3F63AFD3"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w:t>
            </w:r>
          </w:p>
        </w:tc>
        <w:tc>
          <w:tcPr>
            <w:tcW w:w="720" w:type="dxa"/>
            <w:noWrap/>
            <w:hideMark/>
          </w:tcPr>
          <w:p w14:paraId="6E5CFA68"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p22.3</w:t>
            </w:r>
          </w:p>
        </w:tc>
        <w:tc>
          <w:tcPr>
            <w:tcW w:w="2490" w:type="dxa"/>
          </w:tcPr>
          <w:p w14:paraId="48CC5A72" w14:textId="4B8ECE20" w:rsidR="00DC32DC" w:rsidRPr="00CE4E1F" w:rsidRDefault="00DC32DC"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7FFF4FEE" w14:textId="1E76A609"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32860417, 20685720</w:t>
            </w:r>
          </w:p>
        </w:tc>
      </w:tr>
      <w:tr w:rsidR="00DC32DC" w:rsidRPr="00CE4E1F" w14:paraId="5F247F23" w14:textId="77777777" w:rsidTr="001914D7">
        <w:trPr>
          <w:trHeight w:val="320"/>
        </w:trPr>
        <w:tc>
          <w:tcPr>
            <w:tcW w:w="1075" w:type="dxa"/>
            <w:noWrap/>
            <w:hideMark/>
          </w:tcPr>
          <w:p w14:paraId="1FE136A6"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CCND2</w:t>
            </w:r>
          </w:p>
        </w:tc>
        <w:tc>
          <w:tcPr>
            <w:tcW w:w="3060" w:type="dxa"/>
            <w:noWrap/>
            <w:hideMark/>
          </w:tcPr>
          <w:p w14:paraId="1DFA461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Cell proliferation, preliminary gene expression risk score component</w:t>
            </w:r>
          </w:p>
        </w:tc>
        <w:tc>
          <w:tcPr>
            <w:tcW w:w="540" w:type="dxa"/>
            <w:noWrap/>
            <w:hideMark/>
          </w:tcPr>
          <w:p w14:paraId="255F9FC9"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12</w:t>
            </w:r>
          </w:p>
        </w:tc>
        <w:tc>
          <w:tcPr>
            <w:tcW w:w="720" w:type="dxa"/>
            <w:noWrap/>
            <w:hideMark/>
          </w:tcPr>
          <w:p w14:paraId="60819F6C"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p13.32</w:t>
            </w:r>
          </w:p>
        </w:tc>
        <w:tc>
          <w:tcPr>
            <w:tcW w:w="2490" w:type="dxa"/>
          </w:tcPr>
          <w:p w14:paraId="13AE2847" w14:textId="5615EB7A" w:rsidR="00DC32DC" w:rsidRPr="00CE4E1F" w:rsidRDefault="00DC32DC"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67CDD9AC" w14:textId="62B6A393"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32860417, 20386868</w:t>
            </w:r>
          </w:p>
        </w:tc>
      </w:tr>
      <w:tr w:rsidR="00DC32DC" w:rsidRPr="00CE4E1F" w14:paraId="29790167" w14:textId="77777777" w:rsidTr="001914D7">
        <w:trPr>
          <w:trHeight w:val="80"/>
        </w:trPr>
        <w:tc>
          <w:tcPr>
            <w:tcW w:w="1075" w:type="dxa"/>
            <w:noWrap/>
            <w:hideMark/>
          </w:tcPr>
          <w:p w14:paraId="162E51E3"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CD3E</w:t>
            </w:r>
          </w:p>
        </w:tc>
        <w:tc>
          <w:tcPr>
            <w:tcW w:w="3060" w:type="dxa"/>
            <w:noWrap/>
            <w:hideMark/>
          </w:tcPr>
          <w:p w14:paraId="0A0821B9"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Meningeal lymphatics</w:t>
            </w:r>
          </w:p>
        </w:tc>
        <w:tc>
          <w:tcPr>
            <w:tcW w:w="540" w:type="dxa"/>
            <w:noWrap/>
            <w:hideMark/>
          </w:tcPr>
          <w:p w14:paraId="750268C8"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11</w:t>
            </w:r>
          </w:p>
        </w:tc>
        <w:tc>
          <w:tcPr>
            <w:tcW w:w="720" w:type="dxa"/>
            <w:noWrap/>
            <w:hideMark/>
          </w:tcPr>
          <w:p w14:paraId="787AB1CB"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q23.3</w:t>
            </w:r>
          </w:p>
        </w:tc>
        <w:tc>
          <w:tcPr>
            <w:tcW w:w="2490" w:type="dxa"/>
          </w:tcPr>
          <w:p w14:paraId="4C89E028" w14:textId="2F9AF99D" w:rsidR="00DC32DC" w:rsidRPr="00CE4E1F" w:rsidRDefault="00DC32DC" w:rsidP="00742F09">
            <w:pPr>
              <w:spacing w:line="360" w:lineRule="auto"/>
              <w:contextualSpacing/>
              <w:jc w:val="both"/>
              <w:rPr>
                <w:color w:val="000000" w:themeColor="text1"/>
                <w:sz w:val="18"/>
                <w:szCs w:val="18"/>
                <w:shd w:val="clear" w:color="auto" w:fill="FFFFFF"/>
              </w:rPr>
            </w:pPr>
            <w:r>
              <w:rPr>
                <w:color w:val="000000"/>
                <w:sz w:val="18"/>
                <w:szCs w:val="18"/>
              </w:rPr>
              <w:t>Suppressed</w:t>
            </w:r>
          </w:p>
        </w:tc>
        <w:tc>
          <w:tcPr>
            <w:tcW w:w="1470" w:type="dxa"/>
            <w:noWrap/>
            <w:hideMark/>
          </w:tcPr>
          <w:p w14:paraId="1603C3BE" w14:textId="1B4BF886" w:rsidR="00DC32DC" w:rsidRPr="00CE4E1F" w:rsidRDefault="00DC32DC" w:rsidP="00742F09">
            <w:pPr>
              <w:spacing w:line="360" w:lineRule="auto"/>
              <w:contextualSpacing/>
              <w:jc w:val="both"/>
              <w:rPr>
                <w:color w:val="000000"/>
                <w:sz w:val="18"/>
                <w:szCs w:val="18"/>
              </w:rPr>
            </w:pPr>
            <w:r w:rsidRPr="00CE4E1F">
              <w:rPr>
                <w:color w:val="000000" w:themeColor="text1"/>
                <w:sz w:val="18"/>
                <w:szCs w:val="18"/>
                <w:shd w:val="clear" w:color="auto" w:fill="FFFFFF"/>
              </w:rPr>
              <w:t>35534562</w:t>
            </w:r>
          </w:p>
        </w:tc>
      </w:tr>
      <w:tr w:rsidR="00DC32DC" w:rsidRPr="00CE4E1F" w14:paraId="66B75B6B" w14:textId="77777777" w:rsidTr="001914D7">
        <w:trPr>
          <w:trHeight w:val="107"/>
        </w:trPr>
        <w:tc>
          <w:tcPr>
            <w:tcW w:w="1075" w:type="dxa"/>
            <w:noWrap/>
            <w:hideMark/>
          </w:tcPr>
          <w:p w14:paraId="22379ACC"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CDC20</w:t>
            </w:r>
          </w:p>
        </w:tc>
        <w:tc>
          <w:tcPr>
            <w:tcW w:w="3060" w:type="dxa"/>
            <w:noWrap/>
            <w:hideMark/>
          </w:tcPr>
          <w:p w14:paraId="4A3A376F"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Cell proliferation</w:t>
            </w:r>
          </w:p>
        </w:tc>
        <w:tc>
          <w:tcPr>
            <w:tcW w:w="540" w:type="dxa"/>
            <w:noWrap/>
            <w:hideMark/>
          </w:tcPr>
          <w:p w14:paraId="366D876C"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w:t>
            </w:r>
          </w:p>
        </w:tc>
        <w:tc>
          <w:tcPr>
            <w:tcW w:w="720" w:type="dxa"/>
            <w:noWrap/>
            <w:hideMark/>
          </w:tcPr>
          <w:p w14:paraId="22F11BD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p34.2</w:t>
            </w:r>
          </w:p>
        </w:tc>
        <w:tc>
          <w:tcPr>
            <w:tcW w:w="2490" w:type="dxa"/>
          </w:tcPr>
          <w:p w14:paraId="3E6B1448" w14:textId="4821BA20" w:rsidR="00DC32DC" w:rsidRPr="00CE4E1F" w:rsidRDefault="00DC32DC"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16C6E121" w14:textId="60693034" w:rsidR="00DC32DC" w:rsidRPr="00CE4E1F" w:rsidRDefault="00DC32DC" w:rsidP="00742F09">
            <w:pPr>
              <w:spacing w:line="360" w:lineRule="auto"/>
              <w:contextualSpacing/>
              <w:jc w:val="both"/>
              <w:rPr>
                <w:color w:val="000000"/>
                <w:sz w:val="18"/>
                <w:szCs w:val="18"/>
              </w:rPr>
            </w:pPr>
            <w:r w:rsidRPr="00CE4E1F">
              <w:rPr>
                <w:color w:val="000000"/>
                <w:sz w:val="18"/>
                <w:szCs w:val="18"/>
              </w:rPr>
              <w:t>20015288, 28195122, 24724603</w:t>
            </w:r>
          </w:p>
        </w:tc>
      </w:tr>
      <w:tr w:rsidR="00DC32DC" w:rsidRPr="00CE4E1F" w14:paraId="7DF0C758" w14:textId="77777777" w:rsidTr="001914D7">
        <w:trPr>
          <w:trHeight w:val="63"/>
        </w:trPr>
        <w:tc>
          <w:tcPr>
            <w:tcW w:w="1075" w:type="dxa"/>
            <w:noWrap/>
            <w:hideMark/>
          </w:tcPr>
          <w:p w14:paraId="233B0D10"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CDK6</w:t>
            </w:r>
          </w:p>
        </w:tc>
        <w:tc>
          <w:tcPr>
            <w:tcW w:w="3060" w:type="dxa"/>
            <w:noWrap/>
            <w:hideMark/>
          </w:tcPr>
          <w:p w14:paraId="2B70D59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Cell proliferation</w:t>
            </w:r>
          </w:p>
        </w:tc>
        <w:tc>
          <w:tcPr>
            <w:tcW w:w="540" w:type="dxa"/>
            <w:noWrap/>
            <w:hideMark/>
          </w:tcPr>
          <w:p w14:paraId="22BEACD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7</w:t>
            </w:r>
          </w:p>
        </w:tc>
        <w:tc>
          <w:tcPr>
            <w:tcW w:w="720" w:type="dxa"/>
            <w:noWrap/>
            <w:hideMark/>
          </w:tcPr>
          <w:p w14:paraId="07FA7E2B"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q21.2</w:t>
            </w:r>
          </w:p>
        </w:tc>
        <w:tc>
          <w:tcPr>
            <w:tcW w:w="2490" w:type="dxa"/>
          </w:tcPr>
          <w:p w14:paraId="6F14675A" w14:textId="61513833" w:rsidR="00DC32DC" w:rsidRPr="00CE4E1F" w:rsidRDefault="00DC32DC"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2FC6EFF8" w14:textId="2CF5DC62" w:rsidR="00DC32DC" w:rsidRPr="00CE4E1F" w:rsidRDefault="00DC32DC" w:rsidP="00742F09">
            <w:pPr>
              <w:spacing w:line="360" w:lineRule="auto"/>
              <w:contextualSpacing/>
              <w:jc w:val="both"/>
              <w:rPr>
                <w:color w:val="000000"/>
                <w:sz w:val="18"/>
                <w:szCs w:val="18"/>
              </w:rPr>
            </w:pPr>
            <w:r w:rsidRPr="00CE4E1F">
              <w:rPr>
                <w:color w:val="000000"/>
                <w:sz w:val="18"/>
                <w:szCs w:val="18"/>
              </w:rPr>
              <w:t>18048012, 29391485, 25148008</w:t>
            </w:r>
          </w:p>
        </w:tc>
      </w:tr>
      <w:tr w:rsidR="00DC32DC" w:rsidRPr="00CE4E1F" w14:paraId="2E1797FB" w14:textId="77777777" w:rsidTr="001914D7">
        <w:trPr>
          <w:trHeight w:val="63"/>
        </w:trPr>
        <w:tc>
          <w:tcPr>
            <w:tcW w:w="1075" w:type="dxa"/>
            <w:noWrap/>
            <w:hideMark/>
          </w:tcPr>
          <w:p w14:paraId="191C7B66"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CDKN2A</w:t>
            </w:r>
          </w:p>
        </w:tc>
        <w:tc>
          <w:tcPr>
            <w:tcW w:w="3060" w:type="dxa"/>
            <w:noWrap/>
            <w:hideMark/>
          </w:tcPr>
          <w:p w14:paraId="74B6B86A"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Inhibits cell proliferation</w:t>
            </w:r>
          </w:p>
        </w:tc>
        <w:tc>
          <w:tcPr>
            <w:tcW w:w="540" w:type="dxa"/>
            <w:noWrap/>
            <w:hideMark/>
          </w:tcPr>
          <w:p w14:paraId="20CDBBD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9</w:t>
            </w:r>
          </w:p>
        </w:tc>
        <w:tc>
          <w:tcPr>
            <w:tcW w:w="720" w:type="dxa"/>
            <w:noWrap/>
            <w:hideMark/>
          </w:tcPr>
          <w:p w14:paraId="0FABC801"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p21.3</w:t>
            </w:r>
          </w:p>
        </w:tc>
        <w:tc>
          <w:tcPr>
            <w:tcW w:w="2490" w:type="dxa"/>
          </w:tcPr>
          <w:p w14:paraId="00326C4E" w14:textId="08607A74" w:rsidR="00DC32DC" w:rsidRPr="00CE4E1F" w:rsidRDefault="00DC32DC"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4C2477E0" w14:textId="7CCDDA08" w:rsidR="00DC32DC" w:rsidRPr="00CE4E1F" w:rsidRDefault="00DC32DC" w:rsidP="00742F09">
            <w:pPr>
              <w:spacing w:line="360" w:lineRule="auto"/>
              <w:contextualSpacing/>
              <w:jc w:val="both"/>
              <w:rPr>
                <w:color w:val="000000"/>
                <w:sz w:val="18"/>
                <w:szCs w:val="18"/>
              </w:rPr>
            </w:pPr>
            <w:r w:rsidRPr="00CE4E1F">
              <w:rPr>
                <w:color w:val="000000"/>
                <w:sz w:val="18"/>
                <w:szCs w:val="18"/>
              </w:rPr>
              <w:t>21168406, 11485924</w:t>
            </w:r>
          </w:p>
        </w:tc>
      </w:tr>
      <w:tr w:rsidR="00DC32DC" w:rsidRPr="00CE4E1F" w14:paraId="385B5645" w14:textId="77777777" w:rsidTr="001914D7">
        <w:trPr>
          <w:trHeight w:val="63"/>
        </w:trPr>
        <w:tc>
          <w:tcPr>
            <w:tcW w:w="1075" w:type="dxa"/>
            <w:noWrap/>
            <w:hideMark/>
          </w:tcPr>
          <w:p w14:paraId="5A2E3639"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CDKN2C</w:t>
            </w:r>
          </w:p>
        </w:tc>
        <w:tc>
          <w:tcPr>
            <w:tcW w:w="3060" w:type="dxa"/>
            <w:noWrap/>
            <w:hideMark/>
          </w:tcPr>
          <w:p w14:paraId="39E311D5"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Inhibits cell proliferation</w:t>
            </w:r>
          </w:p>
        </w:tc>
        <w:tc>
          <w:tcPr>
            <w:tcW w:w="540" w:type="dxa"/>
            <w:noWrap/>
            <w:hideMark/>
          </w:tcPr>
          <w:p w14:paraId="572FEC2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w:t>
            </w:r>
          </w:p>
        </w:tc>
        <w:tc>
          <w:tcPr>
            <w:tcW w:w="720" w:type="dxa"/>
            <w:noWrap/>
            <w:hideMark/>
          </w:tcPr>
          <w:p w14:paraId="64834A7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p32.3</w:t>
            </w:r>
          </w:p>
        </w:tc>
        <w:tc>
          <w:tcPr>
            <w:tcW w:w="2490" w:type="dxa"/>
          </w:tcPr>
          <w:p w14:paraId="085A313D" w14:textId="6E101DB6" w:rsidR="00DC32DC" w:rsidRPr="00CE4E1F" w:rsidRDefault="00DC32DC"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1BCD91B4" w14:textId="2971A881" w:rsidR="00DC32DC" w:rsidRPr="00CE4E1F" w:rsidRDefault="00DC32DC" w:rsidP="00742F09">
            <w:pPr>
              <w:spacing w:line="360" w:lineRule="auto"/>
              <w:contextualSpacing/>
              <w:jc w:val="both"/>
              <w:rPr>
                <w:color w:val="000000"/>
                <w:sz w:val="18"/>
                <w:szCs w:val="18"/>
              </w:rPr>
            </w:pPr>
            <w:r w:rsidRPr="00CE4E1F">
              <w:rPr>
                <w:color w:val="000000"/>
                <w:sz w:val="18"/>
                <w:szCs w:val="18"/>
              </w:rPr>
              <w:t>11485924</w:t>
            </w:r>
          </w:p>
        </w:tc>
      </w:tr>
      <w:tr w:rsidR="00DC32DC" w:rsidRPr="00CE4E1F" w14:paraId="6A352782" w14:textId="77777777" w:rsidTr="001914D7">
        <w:trPr>
          <w:trHeight w:val="63"/>
        </w:trPr>
        <w:tc>
          <w:tcPr>
            <w:tcW w:w="1075" w:type="dxa"/>
            <w:noWrap/>
            <w:hideMark/>
          </w:tcPr>
          <w:p w14:paraId="23097188"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CHEK1</w:t>
            </w:r>
          </w:p>
        </w:tc>
        <w:tc>
          <w:tcPr>
            <w:tcW w:w="3060" w:type="dxa"/>
            <w:noWrap/>
            <w:hideMark/>
          </w:tcPr>
          <w:p w14:paraId="3C55276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Cell cycle regulation, DNA damage response</w:t>
            </w:r>
          </w:p>
        </w:tc>
        <w:tc>
          <w:tcPr>
            <w:tcW w:w="540" w:type="dxa"/>
            <w:noWrap/>
            <w:hideMark/>
          </w:tcPr>
          <w:p w14:paraId="29D66334"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11</w:t>
            </w:r>
          </w:p>
        </w:tc>
        <w:tc>
          <w:tcPr>
            <w:tcW w:w="720" w:type="dxa"/>
            <w:noWrap/>
            <w:hideMark/>
          </w:tcPr>
          <w:p w14:paraId="20A89D3B"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q24.2</w:t>
            </w:r>
          </w:p>
        </w:tc>
        <w:tc>
          <w:tcPr>
            <w:tcW w:w="2490" w:type="dxa"/>
          </w:tcPr>
          <w:p w14:paraId="636C195A" w14:textId="3B6AB852" w:rsidR="00DC32DC" w:rsidRPr="00CE4E1F" w:rsidRDefault="00DC32DC"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7FA4A404" w14:textId="071FA0E5" w:rsidR="00DC32DC" w:rsidRPr="00CE4E1F" w:rsidRDefault="00DC32DC" w:rsidP="00742F09">
            <w:pPr>
              <w:spacing w:line="360" w:lineRule="auto"/>
              <w:contextualSpacing/>
              <w:jc w:val="both"/>
              <w:rPr>
                <w:color w:val="000000"/>
                <w:sz w:val="18"/>
                <w:szCs w:val="18"/>
              </w:rPr>
            </w:pPr>
            <w:r w:rsidRPr="00CE4E1F">
              <w:rPr>
                <w:color w:val="000000"/>
                <w:sz w:val="18"/>
                <w:szCs w:val="18"/>
              </w:rPr>
              <w:t>20015288, 21945852</w:t>
            </w:r>
          </w:p>
        </w:tc>
      </w:tr>
      <w:tr w:rsidR="00DC32DC" w:rsidRPr="00CE4E1F" w14:paraId="37982C31" w14:textId="77777777" w:rsidTr="001914D7">
        <w:trPr>
          <w:trHeight w:val="320"/>
        </w:trPr>
        <w:tc>
          <w:tcPr>
            <w:tcW w:w="1075" w:type="dxa"/>
            <w:noWrap/>
            <w:hideMark/>
          </w:tcPr>
          <w:p w14:paraId="1439A263"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CKS2</w:t>
            </w:r>
          </w:p>
        </w:tc>
        <w:tc>
          <w:tcPr>
            <w:tcW w:w="3060" w:type="dxa"/>
            <w:noWrap/>
            <w:hideMark/>
          </w:tcPr>
          <w:p w14:paraId="0217629F"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Cell proliferation, preliminary gene expression risk score component</w:t>
            </w:r>
          </w:p>
        </w:tc>
        <w:tc>
          <w:tcPr>
            <w:tcW w:w="540" w:type="dxa"/>
            <w:noWrap/>
            <w:hideMark/>
          </w:tcPr>
          <w:p w14:paraId="562F1925"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9</w:t>
            </w:r>
          </w:p>
        </w:tc>
        <w:tc>
          <w:tcPr>
            <w:tcW w:w="720" w:type="dxa"/>
            <w:noWrap/>
            <w:hideMark/>
          </w:tcPr>
          <w:p w14:paraId="67E480C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q22.2</w:t>
            </w:r>
          </w:p>
        </w:tc>
        <w:tc>
          <w:tcPr>
            <w:tcW w:w="2490" w:type="dxa"/>
          </w:tcPr>
          <w:p w14:paraId="63DC20A5" w14:textId="43112448"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442E1994" w14:textId="45157952"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32860417, 20015288, 21948653</w:t>
            </w:r>
          </w:p>
        </w:tc>
      </w:tr>
      <w:tr w:rsidR="00DC32DC" w:rsidRPr="00CE4E1F" w14:paraId="124EE384" w14:textId="77777777" w:rsidTr="001914D7">
        <w:trPr>
          <w:trHeight w:val="320"/>
        </w:trPr>
        <w:tc>
          <w:tcPr>
            <w:tcW w:w="1075" w:type="dxa"/>
            <w:noWrap/>
            <w:hideMark/>
          </w:tcPr>
          <w:p w14:paraId="63E41D14"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COL1A1</w:t>
            </w:r>
          </w:p>
        </w:tc>
        <w:tc>
          <w:tcPr>
            <w:tcW w:w="3060" w:type="dxa"/>
            <w:noWrap/>
            <w:hideMark/>
          </w:tcPr>
          <w:p w14:paraId="413C7AD5" w14:textId="35B38DBC" w:rsidR="00DC32DC" w:rsidRPr="00CE4E1F" w:rsidRDefault="00DC32DC" w:rsidP="00742F09">
            <w:pPr>
              <w:spacing w:line="360" w:lineRule="auto"/>
              <w:contextualSpacing/>
              <w:jc w:val="both"/>
              <w:rPr>
                <w:color w:val="000000"/>
                <w:sz w:val="18"/>
                <w:szCs w:val="18"/>
              </w:rPr>
            </w:pPr>
            <w:r w:rsidRPr="00CE4E1F">
              <w:rPr>
                <w:color w:val="000000"/>
                <w:sz w:val="18"/>
                <w:szCs w:val="18"/>
              </w:rPr>
              <w:t>Extracellular matrix, invasion, migration, preliminary gene expression risk score component</w:t>
            </w:r>
          </w:p>
        </w:tc>
        <w:tc>
          <w:tcPr>
            <w:tcW w:w="540" w:type="dxa"/>
            <w:noWrap/>
            <w:hideMark/>
          </w:tcPr>
          <w:p w14:paraId="48410CC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17</w:t>
            </w:r>
          </w:p>
        </w:tc>
        <w:tc>
          <w:tcPr>
            <w:tcW w:w="720" w:type="dxa"/>
            <w:noWrap/>
            <w:hideMark/>
          </w:tcPr>
          <w:p w14:paraId="029502FF"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q21.33</w:t>
            </w:r>
          </w:p>
        </w:tc>
        <w:tc>
          <w:tcPr>
            <w:tcW w:w="2490" w:type="dxa"/>
          </w:tcPr>
          <w:p w14:paraId="58600295" w14:textId="5436A1EB"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29A0A10B" w14:textId="0EDD3C53"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32860417, 23285163, 27096627</w:t>
            </w:r>
          </w:p>
        </w:tc>
      </w:tr>
      <w:tr w:rsidR="00DC32DC" w:rsidRPr="00CE4E1F" w14:paraId="5DFAC19E" w14:textId="77777777" w:rsidTr="001914D7">
        <w:trPr>
          <w:trHeight w:val="63"/>
        </w:trPr>
        <w:tc>
          <w:tcPr>
            <w:tcW w:w="1075" w:type="dxa"/>
            <w:noWrap/>
            <w:hideMark/>
          </w:tcPr>
          <w:p w14:paraId="777AF220"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ESR1</w:t>
            </w:r>
          </w:p>
        </w:tc>
        <w:tc>
          <w:tcPr>
            <w:tcW w:w="3060" w:type="dxa"/>
            <w:noWrap/>
            <w:hideMark/>
          </w:tcPr>
          <w:p w14:paraId="42A7B82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Estrogen hormone signaling</w:t>
            </w:r>
          </w:p>
        </w:tc>
        <w:tc>
          <w:tcPr>
            <w:tcW w:w="540" w:type="dxa"/>
            <w:noWrap/>
            <w:hideMark/>
          </w:tcPr>
          <w:p w14:paraId="375073D4"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6</w:t>
            </w:r>
          </w:p>
        </w:tc>
        <w:tc>
          <w:tcPr>
            <w:tcW w:w="720" w:type="dxa"/>
            <w:noWrap/>
            <w:hideMark/>
          </w:tcPr>
          <w:p w14:paraId="247866A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q25.1</w:t>
            </w:r>
          </w:p>
        </w:tc>
        <w:tc>
          <w:tcPr>
            <w:tcW w:w="2490" w:type="dxa"/>
          </w:tcPr>
          <w:p w14:paraId="76C7359E" w14:textId="04DC1865"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3A07F2CF" w14:textId="76500470" w:rsidR="00DC32DC" w:rsidRPr="00CE4E1F" w:rsidRDefault="00DC32DC" w:rsidP="00742F09">
            <w:pPr>
              <w:spacing w:line="360" w:lineRule="auto"/>
              <w:contextualSpacing/>
              <w:jc w:val="both"/>
              <w:rPr>
                <w:color w:val="000000"/>
                <w:sz w:val="18"/>
                <w:szCs w:val="18"/>
              </w:rPr>
            </w:pPr>
            <w:r w:rsidRPr="00CE4E1F">
              <w:rPr>
                <w:color w:val="000000"/>
                <w:sz w:val="18"/>
                <w:szCs w:val="18"/>
              </w:rPr>
              <w:t>28195122, 25965831</w:t>
            </w:r>
          </w:p>
        </w:tc>
      </w:tr>
      <w:tr w:rsidR="00DC32DC" w:rsidRPr="00CE4E1F" w14:paraId="7472DB13" w14:textId="77777777" w:rsidTr="001914D7">
        <w:trPr>
          <w:trHeight w:val="71"/>
        </w:trPr>
        <w:tc>
          <w:tcPr>
            <w:tcW w:w="1075" w:type="dxa"/>
            <w:noWrap/>
            <w:hideMark/>
          </w:tcPr>
          <w:p w14:paraId="77E2C31B"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EZH2</w:t>
            </w:r>
          </w:p>
        </w:tc>
        <w:tc>
          <w:tcPr>
            <w:tcW w:w="3060" w:type="dxa"/>
            <w:noWrap/>
            <w:hideMark/>
          </w:tcPr>
          <w:p w14:paraId="5163D48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Chromatin and methylation regulation, cell proliferation</w:t>
            </w:r>
          </w:p>
        </w:tc>
        <w:tc>
          <w:tcPr>
            <w:tcW w:w="540" w:type="dxa"/>
            <w:noWrap/>
            <w:hideMark/>
          </w:tcPr>
          <w:p w14:paraId="7DDDF4D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7</w:t>
            </w:r>
          </w:p>
        </w:tc>
        <w:tc>
          <w:tcPr>
            <w:tcW w:w="720" w:type="dxa"/>
            <w:noWrap/>
            <w:hideMark/>
          </w:tcPr>
          <w:p w14:paraId="4707EC13"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q36.1</w:t>
            </w:r>
          </w:p>
        </w:tc>
        <w:tc>
          <w:tcPr>
            <w:tcW w:w="2490" w:type="dxa"/>
          </w:tcPr>
          <w:p w14:paraId="49AB5050" w14:textId="7F23AED4"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15F85F75" w14:textId="5360F532" w:rsidR="00DC32DC" w:rsidRPr="00CE4E1F" w:rsidRDefault="00DC32DC" w:rsidP="00742F09">
            <w:pPr>
              <w:spacing w:line="360" w:lineRule="auto"/>
              <w:contextualSpacing/>
              <w:jc w:val="both"/>
              <w:rPr>
                <w:color w:val="000000"/>
                <w:sz w:val="18"/>
                <w:szCs w:val="18"/>
              </w:rPr>
            </w:pPr>
            <w:r w:rsidRPr="00CE4E1F">
              <w:rPr>
                <w:color w:val="000000"/>
                <w:sz w:val="18"/>
                <w:szCs w:val="18"/>
              </w:rPr>
              <w:t>28195122, 32729292, 31591222</w:t>
            </w:r>
          </w:p>
        </w:tc>
      </w:tr>
      <w:tr w:rsidR="00DC32DC" w:rsidRPr="00CE4E1F" w14:paraId="57ED4040" w14:textId="77777777" w:rsidTr="001914D7">
        <w:trPr>
          <w:trHeight w:val="107"/>
        </w:trPr>
        <w:tc>
          <w:tcPr>
            <w:tcW w:w="1075" w:type="dxa"/>
            <w:noWrap/>
            <w:hideMark/>
          </w:tcPr>
          <w:p w14:paraId="754B645B"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FBLIM1</w:t>
            </w:r>
          </w:p>
        </w:tc>
        <w:tc>
          <w:tcPr>
            <w:tcW w:w="3060" w:type="dxa"/>
            <w:noWrap/>
            <w:hideMark/>
          </w:tcPr>
          <w:p w14:paraId="6855EC05" w14:textId="7FE0A13A" w:rsidR="00DC32DC" w:rsidRPr="00CE4E1F" w:rsidRDefault="00DC32DC" w:rsidP="00742F09">
            <w:pPr>
              <w:spacing w:line="360" w:lineRule="auto"/>
              <w:contextualSpacing/>
              <w:jc w:val="both"/>
              <w:rPr>
                <w:color w:val="000000"/>
                <w:sz w:val="18"/>
                <w:szCs w:val="18"/>
              </w:rPr>
            </w:pPr>
            <w:r w:rsidRPr="00CE4E1F">
              <w:rPr>
                <w:color w:val="000000"/>
                <w:sz w:val="18"/>
                <w:szCs w:val="18"/>
              </w:rPr>
              <w:t>Chromosome 1p loss marker</w:t>
            </w:r>
          </w:p>
        </w:tc>
        <w:tc>
          <w:tcPr>
            <w:tcW w:w="540" w:type="dxa"/>
            <w:noWrap/>
            <w:hideMark/>
          </w:tcPr>
          <w:p w14:paraId="434C6A7C"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w:t>
            </w:r>
          </w:p>
        </w:tc>
        <w:tc>
          <w:tcPr>
            <w:tcW w:w="720" w:type="dxa"/>
            <w:noWrap/>
            <w:hideMark/>
          </w:tcPr>
          <w:p w14:paraId="659DFBC0"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p36.21</w:t>
            </w:r>
          </w:p>
        </w:tc>
        <w:tc>
          <w:tcPr>
            <w:tcW w:w="2490" w:type="dxa"/>
          </w:tcPr>
          <w:p w14:paraId="22EA3058" w14:textId="28883474"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78CFD362" w14:textId="4C34DC09" w:rsidR="00DC32DC" w:rsidRPr="00CE4E1F" w:rsidRDefault="00DC32DC" w:rsidP="00742F09">
            <w:pPr>
              <w:spacing w:line="360" w:lineRule="auto"/>
              <w:contextualSpacing/>
              <w:jc w:val="both"/>
              <w:rPr>
                <w:color w:val="000000"/>
                <w:sz w:val="18"/>
                <w:szCs w:val="18"/>
              </w:rPr>
            </w:pPr>
            <w:r w:rsidRPr="00CE4E1F">
              <w:rPr>
                <w:color w:val="000000"/>
                <w:sz w:val="18"/>
                <w:szCs w:val="18"/>
              </w:rPr>
              <w:t>20015288</w:t>
            </w:r>
          </w:p>
        </w:tc>
      </w:tr>
      <w:tr w:rsidR="00DC32DC" w:rsidRPr="00CE4E1F" w14:paraId="32F479AF" w14:textId="77777777" w:rsidTr="001914D7">
        <w:trPr>
          <w:trHeight w:val="63"/>
        </w:trPr>
        <w:tc>
          <w:tcPr>
            <w:tcW w:w="1075" w:type="dxa"/>
            <w:noWrap/>
            <w:hideMark/>
          </w:tcPr>
          <w:p w14:paraId="43C6B596"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FGFR4</w:t>
            </w:r>
          </w:p>
        </w:tc>
        <w:tc>
          <w:tcPr>
            <w:tcW w:w="3060" w:type="dxa"/>
            <w:noWrap/>
            <w:hideMark/>
          </w:tcPr>
          <w:p w14:paraId="39310945"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Growth factor signaling</w:t>
            </w:r>
          </w:p>
        </w:tc>
        <w:tc>
          <w:tcPr>
            <w:tcW w:w="540" w:type="dxa"/>
            <w:noWrap/>
            <w:hideMark/>
          </w:tcPr>
          <w:p w14:paraId="293D6460"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5</w:t>
            </w:r>
          </w:p>
        </w:tc>
        <w:tc>
          <w:tcPr>
            <w:tcW w:w="720" w:type="dxa"/>
            <w:noWrap/>
            <w:hideMark/>
          </w:tcPr>
          <w:p w14:paraId="3340753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q35.2</w:t>
            </w:r>
          </w:p>
        </w:tc>
        <w:tc>
          <w:tcPr>
            <w:tcW w:w="2490" w:type="dxa"/>
          </w:tcPr>
          <w:p w14:paraId="6DC5C8B5" w14:textId="02DF4BD5"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4ADD9D9D" w14:textId="0D4D691A" w:rsidR="00DC32DC" w:rsidRPr="00CE4E1F" w:rsidRDefault="00DC32DC" w:rsidP="00742F09">
            <w:pPr>
              <w:spacing w:line="360" w:lineRule="auto"/>
              <w:contextualSpacing/>
              <w:jc w:val="both"/>
              <w:rPr>
                <w:color w:val="000000"/>
                <w:sz w:val="18"/>
                <w:szCs w:val="18"/>
              </w:rPr>
            </w:pPr>
            <w:r w:rsidRPr="00CE4E1F">
              <w:rPr>
                <w:color w:val="000000"/>
                <w:sz w:val="18"/>
                <w:szCs w:val="18"/>
              </w:rPr>
              <w:t>20015288, 28552950, 19918127</w:t>
            </w:r>
          </w:p>
        </w:tc>
      </w:tr>
      <w:tr w:rsidR="00DC32DC" w:rsidRPr="00CE4E1F" w14:paraId="2F31BFB6" w14:textId="77777777" w:rsidTr="001914D7">
        <w:trPr>
          <w:trHeight w:val="320"/>
        </w:trPr>
        <w:tc>
          <w:tcPr>
            <w:tcW w:w="1075" w:type="dxa"/>
            <w:noWrap/>
            <w:hideMark/>
          </w:tcPr>
          <w:p w14:paraId="67ED0CC2"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lastRenderedPageBreak/>
              <w:t>GAS1</w:t>
            </w:r>
          </w:p>
        </w:tc>
        <w:tc>
          <w:tcPr>
            <w:tcW w:w="3060" w:type="dxa"/>
            <w:noWrap/>
            <w:hideMark/>
          </w:tcPr>
          <w:p w14:paraId="0C0F54AF"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Inhibits cell proliferation, preliminary gene expression risk score component</w:t>
            </w:r>
          </w:p>
        </w:tc>
        <w:tc>
          <w:tcPr>
            <w:tcW w:w="540" w:type="dxa"/>
            <w:noWrap/>
            <w:hideMark/>
          </w:tcPr>
          <w:p w14:paraId="433067C2"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9</w:t>
            </w:r>
          </w:p>
        </w:tc>
        <w:tc>
          <w:tcPr>
            <w:tcW w:w="720" w:type="dxa"/>
            <w:noWrap/>
            <w:hideMark/>
          </w:tcPr>
          <w:p w14:paraId="3309616F"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q21.33</w:t>
            </w:r>
          </w:p>
        </w:tc>
        <w:tc>
          <w:tcPr>
            <w:tcW w:w="2490" w:type="dxa"/>
          </w:tcPr>
          <w:p w14:paraId="59FD7793" w14:textId="1960ECDD"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09EB9EA4" w14:textId="57B1C5C8"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32860417, 20386868, 20015288</w:t>
            </w:r>
          </w:p>
        </w:tc>
      </w:tr>
      <w:tr w:rsidR="00DC32DC" w:rsidRPr="00CE4E1F" w14:paraId="6BBD3512" w14:textId="77777777" w:rsidTr="001914D7">
        <w:trPr>
          <w:trHeight w:val="320"/>
        </w:trPr>
        <w:tc>
          <w:tcPr>
            <w:tcW w:w="1075" w:type="dxa"/>
            <w:noWrap/>
            <w:hideMark/>
          </w:tcPr>
          <w:p w14:paraId="2294838F"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IFNGR1</w:t>
            </w:r>
          </w:p>
        </w:tc>
        <w:tc>
          <w:tcPr>
            <w:tcW w:w="3060" w:type="dxa"/>
            <w:noWrap/>
            <w:hideMark/>
          </w:tcPr>
          <w:p w14:paraId="3687C1A4"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Cytokine signaling, preliminary gene expression risk score component</w:t>
            </w:r>
          </w:p>
        </w:tc>
        <w:tc>
          <w:tcPr>
            <w:tcW w:w="540" w:type="dxa"/>
            <w:noWrap/>
            <w:hideMark/>
          </w:tcPr>
          <w:p w14:paraId="111C8F5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6</w:t>
            </w:r>
          </w:p>
        </w:tc>
        <w:tc>
          <w:tcPr>
            <w:tcW w:w="720" w:type="dxa"/>
            <w:noWrap/>
            <w:hideMark/>
          </w:tcPr>
          <w:p w14:paraId="0FB4B403"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q23.3</w:t>
            </w:r>
          </w:p>
        </w:tc>
        <w:tc>
          <w:tcPr>
            <w:tcW w:w="2490" w:type="dxa"/>
          </w:tcPr>
          <w:p w14:paraId="38B4494A" w14:textId="77498E0A"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226A86AC" w14:textId="6BE12E26" w:rsidR="00DC32DC" w:rsidRPr="00CE4E1F" w:rsidRDefault="00DC32DC" w:rsidP="00742F09">
            <w:pPr>
              <w:spacing w:line="360" w:lineRule="auto"/>
              <w:contextualSpacing/>
              <w:jc w:val="both"/>
              <w:rPr>
                <w:color w:val="000000"/>
                <w:sz w:val="18"/>
                <w:szCs w:val="18"/>
              </w:rPr>
            </w:pPr>
            <w:r w:rsidRPr="00CE4E1F">
              <w:rPr>
                <w:color w:val="000000"/>
                <w:sz w:val="18"/>
                <w:szCs w:val="18"/>
              </w:rPr>
              <w:t>32860417, 32860417</w:t>
            </w:r>
          </w:p>
        </w:tc>
      </w:tr>
      <w:tr w:rsidR="00DC32DC" w:rsidRPr="00CE4E1F" w14:paraId="5664E18A" w14:textId="77777777" w:rsidTr="001914D7">
        <w:trPr>
          <w:trHeight w:val="320"/>
        </w:trPr>
        <w:tc>
          <w:tcPr>
            <w:tcW w:w="1075" w:type="dxa"/>
            <w:noWrap/>
            <w:hideMark/>
          </w:tcPr>
          <w:p w14:paraId="54A9E368"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IGF2</w:t>
            </w:r>
          </w:p>
        </w:tc>
        <w:tc>
          <w:tcPr>
            <w:tcW w:w="3060" w:type="dxa"/>
            <w:noWrap/>
            <w:hideMark/>
          </w:tcPr>
          <w:p w14:paraId="1485EDF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IGF2 signaling, preliminary gene expression risk score component</w:t>
            </w:r>
          </w:p>
        </w:tc>
        <w:tc>
          <w:tcPr>
            <w:tcW w:w="540" w:type="dxa"/>
            <w:noWrap/>
            <w:hideMark/>
          </w:tcPr>
          <w:p w14:paraId="7106E6C2"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11</w:t>
            </w:r>
          </w:p>
        </w:tc>
        <w:tc>
          <w:tcPr>
            <w:tcW w:w="720" w:type="dxa"/>
            <w:noWrap/>
            <w:hideMark/>
          </w:tcPr>
          <w:p w14:paraId="30CF8C00"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p15.5</w:t>
            </w:r>
          </w:p>
        </w:tc>
        <w:tc>
          <w:tcPr>
            <w:tcW w:w="2490" w:type="dxa"/>
          </w:tcPr>
          <w:p w14:paraId="12FEF925" w14:textId="5A78DF0F"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253AA8A7" w14:textId="776C5B7E"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32860417, 20386868, 15540215</w:t>
            </w:r>
          </w:p>
        </w:tc>
      </w:tr>
      <w:tr w:rsidR="00DC32DC" w:rsidRPr="00CE4E1F" w14:paraId="45978E94" w14:textId="77777777" w:rsidTr="001914D7">
        <w:trPr>
          <w:trHeight w:val="320"/>
        </w:trPr>
        <w:tc>
          <w:tcPr>
            <w:tcW w:w="1075" w:type="dxa"/>
            <w:noWrap/>
            <w:hideMark/>
          </w:tcPr>
          <w:p w14:paraId="772D40EC"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KDR</w:t>
            </w:r>
          </w:p>
        </w:tc>
        <w:tc>
          <w:tcPr>
            <w:tcW w:w="3060" w:type="dxa"/>
            <w:noWrap/>
            <w:hideMark/>
          </w:tcPr>
          <w:p w14:paraId="1E209D1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Angiogenesis, preliminary gene expression risk score component</w:t>
            </w:r>
          </w:p>
        </w:tc>
        <w:tc>
          <w:tcPr>
            <w:tcW w:w="540" w:type="dxa"/>
            <w:noWrap/>
            <w:hideMark/>
          </w:tcPr>
          <w:p w14:paraId="64383348"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4</w:t>
            </w:r>
          </w:p>
        </w:tc>
        <w:tc>
          <w:tcPr>
            <w:tcW w:w="720" w:type="dxa"/>
            <w:noWrap/>
            <w:hideMark/>
          </w:tcPr>
          <w:p w14:paraId="5B143183"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q12</w:t>
            </w:r>
          </w:p>
        </w:tc>
        <w:tc>
          <w:tcPr>
            <w:tcW w:w="2490" w:type="dxa"/>
          </w:tcPr>
          <w:p w14:paraId="1869693F" w14:textId="75F8C125"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30BC5F0F" w14:textId="5AA8CA65" w:rsidR="00DC32DC" w:rsidRPr="00CE4E1F" w:rsidRDefault="00DC32DC" w:rsidP="00742F09">
            <w:pPr>
              <w:spacing w:line="360" w:lineRule="auto"/>
              <w:contextualSpacing/>
              <w:jc w:val="both"/>
              <w:rPr>
                <w:color w:val="000000"/>
                <w:sz w:val="18"/>
                <w:szCs w:val="18"/>
              </w:rPr>
            </w:pPr>
            <w:r w:rsidRPr="00CE4E1F">
              <w:rPr>
                <w:color w:val="000000"/>
                <w:sz w:val="18"/>
                <w:szCs w:val="18"/>
              </w:rPr>
              <w:t>30519894, 32860417</w:t>
            </w:r>
          </w:p>
        </w:tc>
      </w:tr>
      <w:tr w:rsidR="00DC32DC" w:rsidRPr="00CE4E1F" w14:paraId="553A0F35" w14:textId="77777777" w:rsidTr="001914D7">
        <w:trPr>
          <w:trHeight w:val="63"/>
        </w:trPr>
        <w:tc>
          <w:tcPr>
            <w:tcW w:w="1075" w:type="dxa"/>
            <w:noWrap/>
            <w:hideMark/>
          </w:tcPr>
          <w:p w14:paraId="62458C38"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KIF20A</w:t>
            </w:r>
          </w:p>
        </w:tc>
        <w:tc>
          <w:tcPr>
            <w:tcW w:w="3060" w:type="dxa"/>
            <w:noWrap/>
            <w:hideMark/>
          </w:tcPr>
          <w:p w14:paraId="212132FC"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Mitotic stability, cell proliferation</w:t>
            </w:r>
          </w:p>
        </w:tc>
        <w:tc>
          <w:tcPr>
            <w:tcW w:w="540" w:type="dxa"/>
            <w:noWrap/>
            <w:hideMark/>
          </w:tcPr>
          <w:p w14:paraId="11ADC3F1"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5</w:t>
            </w:r>
          </w:p>
        </w:tc>
        <w:tc>
          <w:tcPr>
            <w:tcW w:w="720" w:type="dxa"/>
            <w:noWrap/>
            <w:hideMark/>
          </w:tcPr>
          <w:p w14:paraId="5242B89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q31.2</w:t>
            </w:r>
          </w:p>
        </w:tc>
        <w:tc>
          <w:tcPr>
            <w:tcW w:w="2490" w:type="dxa"/>
          </w:tcPr>
          <w:p w14:paraId="14275406" w14:textId="09841C7B"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64B029A2" w14:textId="1EF76696" w:rsidR="00DC32DC" w:rsidRPr="00CE4E1F" w:rsidRDefault="00DC32DC" w:rsidP="00742F09">
            <w:pPr>
              <w:spacing w:line="360" w:lineRule="auto"/>
              <w:contextualSpacing/>
              <w:jc w:val="both"/>
              <w:rPr>
                <w:color w:val="000000"/>
                <w:sz w:val="18"/>
                <w:szCs w:val="18"/>
              </w:rPr>
            </w:pPr>
            <w:r w:rsidRPr="00CE4E1F">
              <w:rPr>
                <w:color w:val="000000"/>
                <w:sz w:val="18"/>
                <w:szCs w:val="18"/>
              </w:rPr>
              <w:t>21168406, 30991738</w:t>
            </w:r>
          </w:p>
        </w:tc>
      </w:tr>
      <w:tr w:rsidR="00DC32DC" w:rsidRPr="00CE4E1F" w14:paraId="21A703FC" w14:textId="77777777" w:rsidTr="001914D7">
        <w:trPr>
          <w:trHeight w:val="63"/>
        </w:trPr>
        <w:tc>
          <w:tcPr>
            <w:tcW w:w="1075" w:type="dxa"/>
            <w:noWrap/>
            <w:hideMark/>
          </w:tcPr>
          <w:p w14:paraId="2F66388D"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KRT14</w:t>
            </w:r>
          </w:p>
        </w:tc>
        <w:tc>
          <w:tcPr>
            <w:tcW w:w="3060" w:type="dxa"/>
            <w:noWrap/>
            <w:hideMark/>
          </w:tcPr>
          <w:p w14:paraId="7F9439F5" w14:textId="6ECBC5E1" w:rsidR="00DC32DC" w:rsidRPr="00CE4E1F" w:rsidRDefault="00DC32DC" w:rsidP="00742F09">
            <w:pPr>
              <w:spacing w:line="360" w:lineRule="auto"/>
              <w:contextualSpacing/>
              <w:jc w:val="both"/>
              <w:rPr>
                <w:color w:val="000000"/>
                <w:sz w:val="18"/>
                <w:szCs w:val="18"/>
              </w:rPr>
            </w:pPr>
            <w:r w:rsidRPr="00CE4E1F">
              <w:rPr>
                <w:color w:val="000000"/>
                <w:sz w:val="18"/>
                <w:szCs w:val="18"/>
              </w:rPr>
              <w:t>Invasion, migration</w:t>
            </w:r>
          </w:p>
        </w:tc>
        <w:tc>
          <w:tcPr>
            <w:tcW w:w="540" w:type="dxa"/>
            <w:noWrap/>
            <w:hideMark/>
          </w:tcPr>
          <w:p w14:paraId="748069C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17</w:t>
            </w:r>
          </w:p>
        </w:tc>
        <w:tc>
          <w:tcPr>
            <w:tcW w:w="720" w:type="dxa"/>
            <w:noWrap/>
            <w:hideMark/>
          </w:tcPr>
          <w:p w14:paraId="7D680323"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q21.2</w:t>
            </w:r>
          </w:p>
        </w:tc>
        <w:tc>
          <w:tcPr>
            <w:tcW w:w="2490" w:type="dxa"/>
          </w:tcPr>
          <w:p w14:paraId="7C3B817E" w14:textId="2AB6A630"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1A4D46EF" w14:textId="43CF2141" w:rsidR="00DC32DC" w:rsidRPr="00CE4E1F" w:rsidRDefault="00DC32DC" w:rsidP="00742F09">
            <w:pPr>
              <w:spacing w:line="360" w:lineRule="auto"/>
              <w:contextualSpacing/>
              <w:jc w:val="both"/>
              <w:rPr>
                <w:color w:val="000000"/>
                <w:sz w:val="18"/>
                <w:szCs w:val="18"/>
              </w:rPr>
            </w:pPr>
            <w:r w:rsidRPr="00CE4E1F">
              <w:rPr>
                <w:color w:val="000000"/>
                <w:sz w:val="18"/>
                <w:szCs w:val="18"/>
              </w:rPr>
              <w:t>21168406</w:t>
            </w:r>
          </w:p>
        </w:tc>
      </w:tr>
      <w:tr w:rsidR="00DC32DC" w:rsidRPr="00CE4E1F" w14:paraId="4F216637" w14:textId="77777777" w:rsidTr="001914D7">
        <w:trPr>
          <w:trHeight w:val="63"/>
        </w:trPr>
        <w:tc>
          <w:tcPr>
            <w:tcW w:w="1075" w:type="dxa"/>
            <w:noWrap/>
            <w:hideMark/>
          </w:tcPr>
          <w:p w14:paraId="1F50A720"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LINC02593</w:t>
            </w:r>
          </w:p>
        </w:tc>
        <w:tc>
          <w:tcPr>
            <w:tcW w:w="3060" w:type="dxa"/>
            <w:noWrap/>
            <w:hideMark/>
          </w:tcPr>
          <w:p w14:paraId="74284286" w14:textId="644F4795" w:rsidR="00DC32DC" w:rsidRPr="00CE4E1F" w:rsidRDefault="00DC32DC" w:rsidP="00742F09">
            <w:pPr>
              <w:spacing w:line="360" w:lineRule="auto"/>
              <w:contextualSpacing/>
              <w:jc w:val="both"/>
              <w:rPr>
                <w:color w:val="000000"/>
                <w:sz w:val="18"/>
                <w:szCs w:val="18"/>
              </w:rPr>
            </w:pPr>
            <w:r w:rsidRPr="00CE4E1F">
              <w:rPr>
                <w:color w:val="000000"/>
                <w:sz w:val="18"/>
                <w:szCs w:val="18"/>
              </w:rPr>
              <w:t>Chromosome 1p loss marker</w:t>
            </w:r>
          </w:p>
        </w:tc>
        <w:tc>
          <w:tcPr>
            <w:tcW w:w="540" w:type="dxa"/>
            <w:noWrap/>
            <w:hideMark/>
          </w:tcPr>
          <w:p w14:paraId="478D0EF5"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w:t>
            </w:r>
          </w:p>
        </w:tc>
        <w:tc>
          <w:tcPr>
            <w:tcW w:w="720" w:type="dxa"/>
            <w:noWrap/>
            <w:hideMark/>
          </w:tcPr>
          <w:p w14:paraId="0983A5A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p36.33</w:t>
            </w:r>
          </w:p>
        </w:tc>
        <w:tc>
          <w:tcPr>
            <w:tcW w:w="2490" w:type="dxa"/>
          </w:tcPr>
          <w:p w14:paraId="682B19B0" w14:textId="290299CE"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1A768036" w14:textId="11E3B889" w:rsidR="00DC32DC" w:rsidRPr="00CE4E1F" w:rsidRDefault="00DC32DC" w:rsidP="00742F09">
            <w:pPr>
              <w:spacing w:line="360" w:lineRule="auto"/>
              <w:contextualSpacing/>
              <w:jc w:val="both"/>
              <w:rPr>
                <w:color w:val="000000"/>
                <w:sz w:val="18"/>
                <w:szCs w:val="18"/>
              </w:rPr>
            </w:pPr>
            <w:r w:rsidRPr="00CE4E1F">
              <w:rPr>
                <w:color w:val="000000"/>
                <w:sz w:val="18"/>
                <w:szCs w:val="18"/>
              </w:rPr>
              <w:t>21168406</w:t>
            </w:r>
          </w:p>
        </w:tc>
      </w:tr>
      <w:tr w:rsidR="00DC32DC" w:rsidRPr="00CE4E1F" w14:paraId="7E736948" w14:textId="77777777" w:rsidTr="001914D7">
        <w:trPr>
          <w:trHeight w:val="179"/>
        </w:trPr>
        <w:tc>
          <w:tcPr>
            <w:tcW w:w="1075" w:type="dxa"/>
            <w:noWrap/>
            <w:hideMark/>
          </w:tcPr>
          <w:p w14:paraId="4F5B3A93"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MDM4</w:t>
            </w:r>
          </w:p>
        </w:tc>
        <w:tc>
          <w:tcPr>
            <w:tcW w:w="3060" w:type="dxa"/>
            <w:noWrap/>
            <w:hideMark/>
          </w:tcPr>
          <w:p w14:paraId="79E2F722" w14:textId="0B7B536F" w:rsidR="00DC32DC" w:rsidRPr="00CE4E1F" w:rsidRDefault="00DC32DC" w:rsidP="00742F09">
            <w:pPr>
              <w:spacing w:line="360" w:lineRule="auto"/>
              <w:contextualSpacing/>
              <w:jc w:val="both"/>
              <w:rPr>
                <w:color w:val="000000"/>
                <w:sz w:val="18"/>
                <w:szCs w:val="18"/>
              </w:rPr>
            </w:pPr>
            <w:r w:rsidRPr="00CE4E1F">
              <w:rPr>
                <w:color w:val="000000"/>
                <w:sz w:val="18"/>
                <w:szCs w:val="18"/>
              </w:rPr>
              <w:t xml:space="preserve">Oncogene, cell proliferation </w:t>
            </w:r>
          </w:p>
        </w:tc>
        <w:tc>
          <w:tcPr>
            <w:tcW w:w="540" w:type="dxa"/>
            <w:noWrap/>
            <w:hideMark/>
          </w:tcPr>
          <w:p w14:paraId="132FDC79"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w:t>
            </w:r>
          </w:p>
        </w:tc>
        <w:tc>
          <w:tcPr>
            <w:tcW w:w="720" w:type="dxa"/>
            <w:noWrap/>
            <w:hideMark/>
          </w:tcPr>
          <w:p w14:paraId="2E29D105"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q32.1</w:t>
            </w:r>
          </w:p>
        </w:tc>
        <w:tc>
          <w:tcPr>
            <w:tcW w:w="2490" w:type="dxa"/>
          </w:tcPr>
          <w:p w14:paraId="0F84BEF0" w14:textId="08CEBE4C"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15447619" w14:textId="58855E6F" w:rsidR="00DC32DC" w:rsidRPr="00CE4E1F" w:rsidRDefault="00DC32DC" w:rsidP="00742F09">
            <w:pPr>
              <w:spacing w:line="360" w:lineRule="auto"/>
              <w:contextualSpacing/>
              <w:jc w:val="both"/>
              <w:rPr>
                <w:color w:val="000000"/>
                <w:sz w:val="18"/>
                <w:szCs w:val="18"/>
              </w:rPr>
            </w:pPr>
            <w:r w:rsidRPr="00CE4E1F">
              <w:rPr>
                <w:color w:val="000000"/>
                <w:sz w:val="18"/>
                <w:szCs w:val="18"/>
              </w:rPr>
              <w:t>21168406, 15540215</w:t>
            </w:r>
          </w:p>
        </w:tc>
      </w:tr>
      <w:tr w:rsidR="00DC32DC" w:rsidRPr="00CE4E1F" w14:paraId="2D94C92F" w14:textId="77777777" w:rsidTr="001914D7">
        <w:trPr>
          <w:trHeight w:val="320"/>
        </w:trPr>
        <w:tc>
          <w:tcPr>
            <w:tcW w:w="1075" w:type="dxa"/>
            <w:noWrap/>
            <w:hideMark/>
          </w:tcPr>
          <w:p w14:paraId="2C9AE4F2"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MMP9</w:t>
            </w:r>
          </w:p>
        </w:tc>
        <w:tc>
          <w:tcPr>
            <w:tcW w:w="3060" w:type="dxa"/>
            <w:noWrap/>
            <w:hideMark/>
          </w:tcPr>
          <w:p w14:paraId="4D4DE012"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Extracellular matrix remodeling, invasion, preliminary gene expression risk score component</w:t>
            </w:r>
          </w:p>
        </w:tc>
        <w:tc>
          <w:tcPr>
            <w:tcW w:w="540" w:type="dxa"/>
            <w:noWrap/>
            <w:hideMark/>
          </w:tcPr>
          <w:p w14:paraId="3F99E94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20</w:t>
            </w:r>
          </w:p>
        </w:tc>
        <w:tc>
          <w:tcPr>
            <w:tcW w:w="720" w:type="dxa"/>
            <w:noWrap/>
            <w:hideMark/>
          </w:tcPr>
          <w:p w14:paraId="0E983C3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q13.12</w:t>
            </w:r>
          </w:p>
        </w:tc>
        <w:tc>
          <w:tcPr>
            <w:tcW w:w="2490" w:type="dxa"/>
          </w:tcPr>
          <w:p w14:paraId="29A5B7DE" w14:textId="03147886"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014ACC85" w14:textId="729DC544"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32860417, 20652360, 11702875, 25821815</w:t>
            </w:r>
          </w:p>
        </w:tc>
      </w:tr>
      <w:tr w:rsidR="00DC32DC" w:rsidRPr="00CE4E1F" w14:paraId="276EE3CB" w14:textId="77777777" w:rsidTr="001914D7">
        <w:trPr>
          <w:trHeight w:val="143"/>
        </w:trPr>
        <w:tc>
          <w:tcPr>
            <w:tcW w:w="1075" w:type="dxa"/>
            <w:noWrap/>
            <w:hideMark/>
          </w:tcPr>
          <w:p w14:paraId="3FF6D2C3"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MUTYH</w:t>
            </w:r>
          </w:p>
        </w:tc>
        <w:tc>
          <w:tcPr>
            <w:tcW w:w="3060" w:type="dxa"/>
            <w:noWrap/>
            <w:hideMark/>
          </w:tcPr>
          <w:p w14:paraId="7B005B24" w14:textId="46BA4CA8" w:rsidR="00DC32DC" w:rsidRPr="00CE4E1F" w:rsidRDefault="00DC32DC" w:rsidP="00742F09">
            <w:pPr>
              <w:spacing w:line="360" w:lineRule="auto"/>
              <w:contextualSpacing/>
              <w:jc w:val="both"/>
              <w:rPr>
                <w:color w:val="000000"/>
                <w:sz w:val="18"/>
                <w:szCs w:val="18"/>
              </w:rPr>
            </w:pPr>
            <w:r w:rsidRPr="00CE4E1F">
              <w:rPr>
                <w:color w:val="000000"/>
                <w:sz w:val="18"/>
                <w:szCs w:val="18"/>
              </w:rPr>
              <w:t>DNA damage repair, 1p loss marker</w:t>
            </w:r>
          </w:p>
        </w:tc>
        <w:tc>
          <w:tcPr>
            <w:tcW w:w="540" w:type="dxa"/>
            <w:noWrap/>
            <w:hideMark/>
          </w:tcPr>
          <w:p w14:paraId="57B56392"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w:t>
            </w:r>
          </w:p>
        </w:tc>
        <w:tc>
          <w:tcPr>
            <w:tcW w:w="720" w:type="dxa"/>
            <w:noWrap/>
            <w:hideMark/>
          </w:tcPr>
          <w:p w14:paraId="64B9BCAA"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p34.1</w:t>
            </w:r>
          </w:p>
        </w:tc>
        <w:tc>
          <w:tcPr>
            <w:tcW w:w="2490" w:type="dxa"/>
          </w:tcPr>
          <w:p w14:paraId="6461868D" w14:textId="312105CD"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4487C3CA" w14:textId="558B845B" w:rsidR="00DC32DC" w:rsidRPr="00CE4E1F" w:rsidRDefault="00DC32DC" w:rsidP="00742F09">
            <w:pPr>
              <w:spacing w:line="360" w:lineRule="auto"/>
              <w:contextualSpacing/>
              <w:jc w:val="both"/>
              <w:rPr>
                <w:color w:val="000000"/>
                <w:sz w:val="18"/>
                <w:szCs w:val="18"/>
              </w:rPr>
            </w:pPr>
            <w:r w:rsidRPr="00CE4E1F">
              <w:rPr>
                <w:color w:val="000000"/>
                <w:sz w:val="18"/>
                <w:szCs w:val="18"/>
              </w:rPr>
              <w:t>28195122, 20150366</w:t>
            </w:r>
          </w:p>
        </w:tc>
      </w:tr>
      <w:tr w:rsidR="00DC32DC" w:rsidRPr="00CE4E1F" w14:paraId="3F63BDD1" w14:textId="77777777" w:rsidTr="001914D7">
        <w:trPr>
          <w:trHeight w:val="80"/>
        </w:trPr>
        <w:tc>
          <w:tcPr>
            <w:tcW w:w="1075" w:type="dxa"/>
            <w:noWrap/>
            <w:hideMark/>
          </w:tcPr>
          <w:p w14:paraId="64259A31"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MYBL1</w:t>
            </w:r>
          </w:p>
        </w:tc>
        <w:tc>
          <w:tcPr>
            <w:tcW w:w="3060" w:type="dxa"/>
            <w:noWrap/>
            <w:hideMark/>
          </w:tcPr>
          <w:p w14:paraId="1199338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Cell proliferation, cell cycle regulation</w:t>
            </w:r>
          </w:p>
        </w:tc>
        <w:tc>
          <w:tcPr>
            <w:tcW w:w="540" w:type="dxa"/>
            <w:noWrap/>
            <w:hideMark/>
          </w:tcPr>
          <w:p w14:paraId="3D5A80D5"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8</w:t>
            </w:r>
          </w:p>
        </w:tc>
        <w:tc>
          <w:tcPr>
            <w:tcW w:w="720" w:type="dxa"/>
            <w:noWrap/>
            <w:hideMark/>
          </w:tcPr>
          <w:p w14:paraId="540D4D7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q13.1</w:t>
            </w:r>
          </w:p>
        </w:tc>
        <w:tc>
          <w:tcPr>
            <w:tcW w:w="2490" w:type="dxa"/>
          </w:tcPr>
          <w:p w14:paraId="4DC789DC" w14:textId="3E0C4EA6"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1D6178CB" w14:textId="0C73B3DB" w:rsidR="00DC32DC" w:rsidRPr="00CE4E1F" w:rsidRDefault="00DC32DC" w:rsidP="00742F09">
            <w:pPr>
              <w:spacing w:line="360" w:lineRule="auto"/>
              <w:contextualSpacing/>
              <w:jc w:val="both"/>
              <w:rPr>
                <w:color w:val="000000"/>
                <w:sz w:val="18"/>
                <w:szCs w:val="18"/>
              </w:rPr>
            </w:pPr>
            <w:r w:rsidRPr="00CE4E1F">
              <w:rPr>
                <w:color w:val="000000"/>
                <w:sz w:val="18"/>
                <w:szCs w:val="18"/>
              </w:rPr>
              <w:t>32860417</w:t>
            </w:r>
          </w:p>
        </w:tc>
      </w:tr>
      <w:tr w:rsidR="00DC32DC" w:rsidRPr="00CE4E1F" w14:paraId="3EC0047F" w14:textId="77777777" w:rsidTr="001914D7">
        <w:trPr>
          <w:trHeight w:val="63"/>
        </w:trPr>
        <w:tc>
          <w:tcPr>
            <w:tcW w:w="1075" w:type="dxa"/>
            <w:noWrap/>
            <w:hideMark/>
          </w:tcPr>
          <w:p w14:paraId="7075CBFF"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PGK1</w:t>
            </w:r>
          </w:p>
        </w:tc>
        <w:tc>
          <w:tcPr>
            <w:tcW w:w="3060" w:type="dxa"/>
            <w:noWrap/>
            <w:hideMark/>
          </w:tcPr>
          <w:p w14:paraId="721FE401"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Glycolysis metabolism</w:t>
            </w:r>
          </w:p>
        </w:tc>
        <w:tc>
          <w:tcPr>
            <w:tcW w:w="540" w:type="dxa"/>
            <w:noWrap/>
            <w:hideMark/>
          </w:tcPr>
          <w:p w14:paraId="4C7AE9A2"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X</w:t>
            </w:r>
          </w:p>
        </w:tc>
        <w:tc>
          <w:tcPr>
            <w:tcW w:w="720" w:type="dxa"/>
            <w:noWrap/>
            <w:hideMark/>
          </w:tcPr>
          <w:p w14:paraId="2261BBA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q21.1</w:t>
            </w:r>
          </w:p>
        </w:tc>
        <w:tc>
          <w:tcPr>
            <w:tcW w:w="2490" w:type="dxa"/>
          </w:tcPr>
          <w:p w14:paraId="63A1261C" w14:textId="5E49D387"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1A68BA4E" w14:textId="7B00AAB0" w:rsidR="00DC32DC" w:rsidRPr="00CE4E1F" w:rsidRDefault="00DC32DC" w:rsidP="00742F09">
            <w:pPr>
              <w:spacing w:line="360" w:lineRule="auto"/>
              <w:contextualSpacing/>
              <w:jc w:val="both"/>
              <w:rPr>
                <w:color w:val="000000"/>
                <w:sz w:val="18"/>
                <w:szCs w:val="18"/>
              </w:rPr>
            </w:pPr>
            <w:r w:rsidRPr="00CE4E1F">
              <w:rPr>
                <w:color w:val="000000"/>
                <w:sz w:val="18"/>
                <w:szCs w:val="18"/>
              </w:rPr>
              <w:t>20015288</w:t>
            </w:r>
          </w:p>
        </w:tc>
      </w:tr>
      <w:tr w:rsidR="00DC32DC" w:rsidRPr="00CE4E1F" w14:paraId="753E27D4" w14:textId="77777777" w:rsidTr="001914D7">
        <w:trPr>
          <w:trHeight w:val="320"/>
        </w:trPr>
        <w:tc>
          <w:tcPr>
            <w:tcW w:w="1075" w:type="dxa"/>
            <w:noWrap/>
            <w:hideMark/>
          </w:tcPr>
          <w:p w14:paraId="677964E2"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PGR</w:t>
            </w:r>
          </w:p>
        </w:tc>
        <w:tc>
          <w:tcPr>
            <w:tcW w:w="3060" w:type="dxa"/>
            <w:noWrap/>
            <w:hideMark/>
          </w:tcPr>
          <w:p w14:paraId="37202FC2"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Progesterone hormone signaling, preliminary gene expression risk score component</w:t>
            </w:r>
          </w:p>
        </w:tc>
        <w:tc>
          <w:tcPr>
            <w:tcW w:w="540" w:type="dxa"/>
            <w:noWrap/>
            <w:hideMark/>
          </w:tcPr>
          <w:p w14:paraId="68D4F06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11</w:t>
            </w:r>
          </w:p>
        </w:tc>
        <w:tc>
          <w:tcPr>
            <w:tcW w:w="720" w:type="dxa"/>
            <w:noWrap/>
            <w:hideMark/>
          </w:tcPr>
          <w:p w14:paraId="4C1791D5"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q22.1</w:t>
            </w:r>
          </w:p>
        </w:tc>
        <w:tc>
          <w:tcPr>
            <w:tcW w:w="2490" w:type="dxa"/>
          </w:tcPr>
          <w:p w14:paraId="06FCDB59" w14:textId="76D3FFC8"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3F42803B" w14:textId="383FE9E6" w:rsidR="00DC32DC" w:rsidRPr="00CE4E1F" w:rsidRDefault="00DC32DC" w:rsidP="00742F09">
            <w:pPr>
              <w:spacing w:line="360" w:lineRule="auto"/>
              <w:contextualSpacing/>
              <w:jc w:val="both"/>
              <w:rPr>
                <w:color w:val="000000"/>
                <w:sz w:val="18"/>
                <w:szCs w:val="18"/>
              </w:rPr>
            </w:pPr>
            <w:r w:rsidRPr="00CE4E1F">
              <w:rPr>
                <w:color w:val="000000"/>
                <w:sz w:val="18"/>
                <w:szCs w:val="18"/>
              </w:rPr>
              <w:t>32860417, 15452155, 8443810, 8988089</w:t>
            </w:r>
          </w:p>
        </w:tc>
      </w:tr>
      <w:tr w:rsidR="00DC32DC" w:rsidRPr="00CE4E1F" w14:paraId="776834A3" w14:textId="77777777" w:rsidTr="001914D7">
        <w:trPr>
          <w:trHeight w:val="320"/>
        </w:trPr>
        <w:tc>
          <w:tcPr>
            <w:tcW w:w="1075" w:type="dxa"/>
            <w:noWrap/>
            <w:hideMark/>
          </w:tcPr>
          <w:p w14:paraId="6C8AEC65"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PIM1</w:t>
            </w:r>
          </w:p>
        </w:tc>
        <w:tc>
          <w:tcPr>
            <w:tcW w:w="3060" w:type="dxa"/>
            <w:noWrap/>
            <w:hideMark/>
          </w:tcPr>
          <w:p w14:paraId="289BCC9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Oncogene, preliminary gene expression risk score component</w:t>
            </w:r>
          </w:p>
        </w:tc>
        <w:tc>
          <w:tcPr>
            <w:tcW w:w="540" w:type="dxa"/>
            <w:noWrap/>
            <w:hideMark/>
          </w:tcPr>
          <w:p w14:paraId="7C05687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6</w:t>
            </w:r>
          </w:p>
        </w:tc>
        <w:tc>
          <w:tcPr>
            <w:tcW w:w="720" w:type="dxa"/>
            <w:noWrap/>
            <w:hideMark/>
          </w:tcPr>
          <w:p w14:paraId="76869238"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p21.2</w:t>
            </w:r>
          </w:p>
        </w:tc>
        <w:tc>
          <w:tcPr>
            <w:tcW w:w="2490" w:type="dxa"/>
          </w:tcPr>
          <w:p w14:paraId="616A40A5" w14:textId="347C3E59" w:rsidR="00DC32DC" w:rsidRPr="00CE4E1F" w:rsidRDefault="00047F3A" w:rsidP="00742F09">
            <w:pPr>
              <w:spacing w:line="360" w:lineRule="auto"/>
              <w:contextualSpacing/>
              <w:jc w:val="both"/>
              <w:rPr>
                <w:color w:val="000000"/>
                <w:sz w:val="18"/>
                <w:szCs w:val="18"/>
              </w:rPr>
            </w:pPr>
            <w:r>
              <w:rPr>
                <w:color w:val="000000"/>
                <w:sz w:val="18"/>
                <w:szCs w:val="18"/>
              </w:rPr>
              <w:t>Enriched</w:t>
            </w:r>
          </w:p>
        </w:tc>
        <w:tc>
          <w:tcPr>
            <w:tcW w:w="1470" w:type="dxa"/>
            <w:noWrap/>
            <w:hideMark/>
          </w:tcPr>
          <w:p w14:paraId="23A476A4" w14:textId="2D77A10D"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32860417, 21318223</w:t>
            </w:r>
          </w:p>
        </w:tc>
      </w:tr>
      <w:tr w:rsidR="00DC32DC" w:rsidRPr="00CE4E1F" w14:paraId="5B108F92" w14:textId="77777777" w:rsidTr="001914D7">
        <w:trPr>
          <w:trHeight w:val="63"/>
        </w:trPr>
        <w:tc>
          <w:tcPr>
            <w:tcW w:w="1075" w:type="dxa"/>
            <w:noWrap/>
            <w:hideMark/>
          </w:tcPr>
          <w:p w14:paraId="73B840DB"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SPOP</w:t>
            </w:r>
          </w:p>
        </w:tc>
        <w:tc>
          <w:tcPr>
            <w:tcW w:w="3060" w:type="dxa"/>
            <w:noWrap/>
            <w:hideMark/>
          </w:tcPr>
          <w:p w14:paraId="7E9D0445"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Tumor suppressor, ubiquination regulation</w:t>
            </w:r>
          </w:p>
        </w:tc>
        <w:tc>
          <w:tcPr>
            <w:tcW w:w="540" w:type="dxa"/>
            <w:noWrap/>
            <w:hideMark/>
          </w:tcPr>
          <w:p w14:paraId="68B9CED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17</w:t>
            </w:r>
          </w:p>
        </w:tc>
        <w:tc>
          <w:tcPr>
            <w:tcW w:w="720" w:type="dxa"/>
            <w:noWrap/>
            <w:hideMark/>
          </w:tcPr>
          <w:p w14:paraId="3B41E19B"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q21.33</w:t>
            </w:r>
          </w:p>
        </w:tc>
        <w:tc>
          <w:tcPr>
            <w:tcW w:w="2490" w:type="dxa"/>
          </w:tcPr>
          <w:p w14:paraId="3A4C65F3" w14:textId="0FC281EA"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6978D1AB" w14:textId="443EDA60" w:rsidR="00DC32DC" w:rsidRPr="00CE4E1F" w:rsidRDefault="00DC32DC" w:rsidP="00742F09">
            <w:pPr>
              <w:spacing w:line="360" w:lineRule="auto"/>
              <w:contextualSpacing/>
              <w:jc w:val="both"/>
              <w:rPr>
                <w:color w:val="000000"/>
                <w:sz w:val="18"/>
                <w:szCs w:val="18"/>
              </w:rPr>
            </w:pPr>
            <w:r w:rsidRPr="00CE4E1F">
              <w:rPr>
                <w:color w:val="000000"/>
                <w:sz w:val="18"/>
                <w:szCs w:val="18"/>
              </w:rPr>
              <w:t>20015288</w:t>
            </w:r>
          </w:p>
        </w:tc>
      </w:tr>
      <w:tr w:rsidR="00DC32DC" w:rsidRPr="00CE4E1F" w14:paraId="7FD1C9FB" w14:textId="77777777" w:rsidTr="001914D7">
        <w:trPr>
          <w:trHeight w:val="63"/>
        </w:trPr>
        <w:tc>
          <w:tcPr>
            <w:tcW w:w="1075" w:type="dxa"/>
            <w:noWrap/>
            <w:hideMark/>
          </w:tcPr>
          <w:p w14:paraId="2560B6F2"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TAGLN</w:t>
            </w:r>
          </w:p>
        </w:tc>
        <w:tc>
          <w:tcPr>
            <w:tcW w:w="3060" w:type="dxa"/>
            <w:noWrap/>
            <w:hideMark/>
          </w:tcPr>
          <w:p w14:paraId="0A5732C4" w14:textId="343C3FFF" w:rsidR="00DC32DC" w:rsidRPr="00CE4E1F" w:rsidRDefault="00DC32DC" w:rsidP="00742F09">
            <w:pPr>
              <w:spacing w:line="360" w:lineRule="auto"/>
              <w:contextualSpacing/>
              <w:jc w:val="both"/>
              <w:rPr>
                <w:color w:val="000000"/>
                <w:sz w:val="18"/>
                <w:szCs w:val="18"/>
              </w:rPr>
            </w:pPr>
            <w:r w:rsidRPr="00CE4E1F">
              <w:rPr>
                <w:color w:val="000000"/>
                <w:sz w:val="18"/>
                <w:szCs w:val="18"/>
              </w:rPr>
              <w:t>Cytoskeletal organization, invasion, migration</w:t>
            </w:r>
          </w:p>
        </w:tc>
        <w:tc>
          <w:tcPr>
            <w:tcW w:w="540" w:type="dxa"/>
            <w:noWrap/>
            <w:hideMark/>
          </w:tcPr>
          <w:p w14:paraId="4E433C4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11</w:t>
            </w:r>
          </w:p>
        </w:tc>
        <w:tc>
          <w:tcPr>
            <w:tcW w:w="720" w:type="dxa"/>
            <w:noWrap/>
            <w:hideMark/>
          </w:tcPr>
          <w:p w14:paraId="046D5189"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q23.3</w:t>
            </w:r>
          </w:p>
        </w:tc>
        <w:tc>
          <w:tcPr>
            <w:tcW w:w="2490" w:type="dxa"/>
          </w:tcPr>
          <w:p w14:paraId="50EF3059" w14:textId="14C4E283"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70DD9609" w14:textId="1FEFE349" w:rsidR="00DC32DC" w:rsidRPr="00CE4E1F" w:rsidRDefault="00DC32DC" w:rsidP="00742F09">
            <w:pPr>
              <w:spacing w:line="360" w:lineRule="auto"/>
              <w:contextualSpacing/>
              <w:jc w:val="both"/>
              <w:rPr>
                <w:color w:val="000000"/>
                <w:sz w:val="18"/>
                <w:szCs w:val="18"/>
              </w:rPr>
            </w:pPr>
            <w:r w:rsidRPr="00CE4E1F">
              <w:rPr>
                <w:color w:val="000000"/>
                <w:sz w:val="18"/>
                <w:szCs w:val="18"/>
              </w:rPr>
              <w:t>28195122, 29424888, 15540215, 24289128</w:t>
            </w:r>
          </w:p>
        </w:tc>
      </w:tr>
      <w:tr w:rsidR="00DC32DC" w:rsidRPr="00CE4E1F" w14:paraId="48B06189" w14:textId="77777777" w:rsidTr="001914D7">
        <w:trPr>
          <w:trHeight w:val="89"/>
        </w:trPr>
        <w:tc>
          <w:tcPr>
            <w:tcW w:w="1075" w:type="dxa"/>
            <w:noWrap/>
            <w:hideMark/>
          </w:tcPr>
          <w:p w14:paraId="2E3EA5FC"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TMEM30B</w:t>
            </w:r>
          </w:p>
        </w:tc>
        <w:tc>
          <w:tcPr>
            <w:tcW w:w="3060" w:type="dxa"/>
            <w:noWrap/>
            <w:hideMark/>
          </w:tcPr>
          <w:p w14:paraId="34727B81"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Preliminary gene expression risk score component</w:t>
            </w:r>
          </w:p>
        </w:tc>
        <w:tc>
          <w:tcPr>
            <w:tcW w:w="540" w:type="dxa"/>
            <w:noWrap/>
            <w:hideMark/>
          </w:tcPr>
          <w:p w14:paraId="26F8DE3B"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14</w:t>
            </w:r>
          </w:p>
        </w:tc>
        <w:tc>
          <w:tcPr>
            <w:tcW w:w="720" w:type="dxa"/>
            <w:noWrap/>
            <w:hideMark/>
          </w:tcPr>
          <w:p w14:paraId="34723329"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q23.1</w:t>
            </w:r>
          </w:p>
        </w:tc>
        <w:tc>
          <w:tcPr>
            <w:tcW w:w="2490" w:type="dxa"/>
          </w:tcPr>
          <w:p w14:paraId="4C23E4ED" w14:textId="74826BF5" w:rsidR="00DC32DC" w:rsidRPr="00CE4E1F" w:rsidRDefault="00047F3A" w:rsidP="00742F09">
            <w:pPr>
              <w:spacing w:line="360" w:lineRule="auto"/>
              <w:contextualSpacing/>
              <w:jc w:val="both"/>
              <w:rPr>
                <w:color w:val="000000"/>
                <w:sz w:val="18"/>
                <w:szCs w:val="18"/>
              </w:rPr>
            </w:pPr>
            <w:r>
              <w:rPr>
                <w:color w:val="000000"/>
                <w:sz w:val="18"/>
                <w:szCs w:val="18"/>
              </w:rPr>
              <w:t>Suppressed</w:t>
            </w:r>
          </w:p>
        </w:tc>
        <w:tc>
          <w:tcPr>
            <w:tcW w:w="1470" w:type="dxa"/>
            <w:noWrap/>
            <w:hideMark/>
          </w:tcPr>
          <w:p w14:paraId="1C216870" w14:textId="031EB574" w:rsidR="00DC32DC" w:rsidRPr="00CE4E1F" w:rsidRDefault="00DC32DC" w:rsidP="00742F09">
            <w:pPr>
              <w:spacing w:line="360" w:lineRule="auto"/>
              <w:contextualSpacing/>
              <w:jc w:val="both"/>
              <w:rPr>
                <w:color w:val="000000"/>
                <w:sz w:val="18"/>
                <w:szCs w:val="18"/>
              </w:rPr>
            </w:pPr>
            <w:r w:rsidRPr="00CE4E1F">
              <w:rPr>
                <w:color w:val="000000"/>
                <w:sz w:val="18"/>
                <w:szCs w:val="18"/>
              </w:rPr>
              <w:t>32860417, 20685720</w:t>
            </w:r>
          </w:p>
        </w:tc>
      </w:tr>
      <w:tr w:rsidR="00DC32DC" w:rsidRPr="00CE4E1F" w14:paraId="56040CE5" w14:textId="77777777" w:rsidTr="001914D7">
        <w:trPr>
          <w:trHeight w:val="63"/>
        </w:trPr>
        <w:tc>
          <w:tcPr>
            <w:tcW w:w="1075" w:type="dxa"/>
            <w:noWrap/>
            <w:hideMark/>
          </w:tcPr>
          <w:p w14:paraId="319A9E3C" w14:textId="77777777" w:rsidR="00DC32DC" w:rsidRPr="00CE4E1F" w:rsidRDefault="00DC32DC" w:rsidP="00742F09">
            <w:pPr>
              <w:spacing w:line="360" w:lineRule="auto"/>
              <w:contextualSpacing/>
              <w:jc w:val="both"/>
              <w:rPr>
                <w:bCs/>
                <w:i/>
                <w:iCs/>
                <w:color w:val="000000"/>
                <w:sz w:val="18"/>
                <w:szCs w:val="18"/>
              </w:rPr>
            </w:pPr>
            <w:r w:rsidRPr="00CE4E1F">
              <w:rPr>
                <w:bCs/>
                <w:i/>
                <w:iCs/>
                <w:color w:val="000000"/>
                <w:sz w:val="18"/>
                <w:szCs w:val="18"/>
              </w:rPr>
              <w:t>USF1</w:t>
            </w:r>
          </w:p>
        </w:tc>
        <w:tc>
          <w:tcPr>
            <w:tcW w:w="3060" w:type="dxa"/>
            <w:noWrap/>
            <w:hideMark/>
          </w:tcPr>
          <w:p w14:paraId="13B538FE"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Cell proliferation, transcription factor</w:t>
            </w:r>
          </w:p>
        </w:tc>
        <w:tc>
          <w:tcPr>
            <w:tcW w:w="540" w:type="dxa"/>
            <w:noWrap/>
            <w:hideMark/>
          </w:tcPr>
          <w:p w14:paraId="2A582FE8"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w:t>
            </w:r>
          </w:p>
        </w:tc>
        <w:tc>
          <w:tcPr>
            <w:tcW w:w="720" w:type="dxa"/>
            <w:noWrap/>
            <w:hideMark/>
          </w:tcPr>
          <w:p w14:paraId="1432A3A3"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q23.3</w:t>
            </w:r>
          </w:p>
        </w:tc>
        <w:tc>
          <w:tcPr>
            <w:tcW w:w="2490" w:type="dxa"/>
          </w:tcPr>
          <w:p w14:paraId="0FD5CD0D" w14:textId="3FDDE388" w:rsidR="00DC32DC" w:rsidRPr="00CE4E1F" w:rsidRDefault="00047F3A" w:rsidP="00742F09">
            <w:pPr>
              <w:spacing w:line="360" w:lineRule="auto"/>
              <w:contextualSpacing/>
              <w:jc w:val="both"/>
              <w:rPr>
                <w:color w:val="000000" w:themeColor="text1"/>
                <w:sz w:val="18"/>
                <w:szCs w:val="18"/>
                <w:shd w:val="clear" w:color="auto" w:fill="FFFFFF"/>
              </w:rPr>
            </w:pPr>
            <w:r>
              <w:rPr>
                <w:color w:val="000000" w:themeColor="text1"/>
                <w:sz w:val="18"/>
                <w:szCs w:val="18"/>
                <w:shd w:val="clear" w:color="auto" w:fill="FFFFFF"/>
              </w:rPr>
              <w:t>Enriched</w:t>
            </w:r>
          </w:p>
        </w:tc>
        <w:tc>
          <w:tcPr>
            <w:tcW w:w="1470" w:type="dxa"/>
            <w:noWrap/>
            <w:hideMark/>
          </w:tcPr>
          <w:p w14:paraId="75BC5B36" w14:textId="18124460" w:rsidR="00DC32DC" w:rsidRPr="00CE4E1F" w:rsidRDefault="00DC32DC" w:rsidP="00742F09">
            <w:pPr>
              <w:spacing w:line="360" w:lineRule="auto"/>
              <w:contextualSpacing/>
              <w:jc w:val="both"/>
              <w:rPr>
                <w:color w:val="000000"/>
                <w:sz w:val="18"/>
                <w:szCs w:val="18"/>
              </w:rPr>
            </w:pPr>
            <w:r w:rsidRPr="00CE4E1F">
              <w:rPr>
                <w:color w:val="000000" w:themeColor="text1"/>
                <w:sz w:val="18"/>
                <w:szCs w:val="18"/>
                <w:shd w:val="clear" w:color="auto" w:fill="FFFFFF"/>
              </w:rPr>
              <w:t>35534562</w:t>
            </w:r>
          </w:p>
        </w:tc>
      </w:tr>
      <w:tr w:rsidR="00DC32DC" w:rsidRPr="00CE4E1F" w14:paraId="51806A1C" w14:textId="77777777" w:rsidTr="001914D7">
        <w:trPr>
          <w:trHeight w:val="63"/>
        </w:trPr>
        <w:tc>
          <w:tcPr>
            <w:tcW w:w="1075" w:type="dxa"/>
            <w:noWrap/>
            <w:hideMark/>
          </w:tcPr>
          <w:p w14:paraId="746F84C8" w14:textId="77777777" w:rsidR="00DC32DC" w:rsidRPr="00CE4E1F" w:rsidRDefault="00DC32DC" w:rsidP="00742F09">
            <w:pPr>
              <w:spacing w:line="360" w:lineRule="auto"/>
              <w:contextualSpacing/>
              <w:jc w:val="both"/>
              <w:rPr>
                <w:i/>
                <w:iCs/>
                <w:color w:val="000000"/>
                <w:sz w:val="18"/>
                <w:szCs w:val="18"/>
              </w:rPr>
            </w:pPr>
            <w:r w:rsidRPr="00CE4E1F">
              <w:rPr>
                <w:i/>
                <w:iCs/>
                <w:color w:val="000000"/>
                <w:sz w:val="18"/>
                <w:szCs w:val="18"/>
              </w:rPr>
              <w:t>ACTB</w:t>
            </w:r>
          </w:p>
        </w:tc>
        <w:tc>
          <w:tcPr>
            <w:tcW w:w="3060" w:type="dxa"/>
            <w:noWrap/>
            <w:hideMark/>
          </w:tcPr>
          <w:p w14:paraId="7545D374"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Housekeeping</w:t>
            </w:r>
          </w:p>
        </w:tc>
        <w:tc>
          <w:tcPr>
            <w:tcW w:w="540" w:type="dxa"/>
            <w:noWrap/>
            <w:hideMark/>
          </w:tcPr>
          <w:p w14:paraId="12CE1170"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7</w:t>
            </w:r>
          </w:p>
        </w:tc>
        <w:tc>
          <w:tcPr>
            <w:tcW w:w="720" w:type="dxa"/>
            <w:noWrap/>
            <w:hideMark/>
          </w:tcPr>
          <w:p w14:paraId="067FB8C1"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p22.1</w:t>
            </w:r>
          </w:p>
        </w:tc>
        <w:tc>
          <w:tcPr>
            <w:tcW w:w="2490" w:type="dxa"/>
          </w:tcPr>
          <w:p w14:paraId="5821C39A" w14:textId="227B0888" w:rsidR="00DC32DC" w:rsidRPr="00CE4E1F" w:rsidRDefault="00DC32DC" w:rsidP="00742F09">
            <w:pPr>
              <w:spacing w:line="360" w:lineRule="auto"/>
              <w:contextualSpacing/>
              <w:jc w:val="both"/>
              <w:rPr>
                <w:color w:val="000000"/>
                <w:sz w:val="18"/>
                <w:szCs w:val="18"/>
              </w:rPr>
            </w:pPr>
            <w:r>
              <w:rPr>
                <w:color w:val="000000"/>
                <w:sz w:val="18"/>
                <w:szCs w:val="18"/>
              </w:rPr>
              <w:t>N/A</w:t>
            </w:r>
          </w:p>
        </w:tc>
        <w:tc>
          <w:tcPr>
            <w:tcW w:w="1470" w:type="dxa"/>
            <w:noWrap/>
            <w:hideMark/>
          </w:tcPr>
          <w:p w14:paraId="6CDF6707" w14:textId="18282BB7" w:rsidR="00DC32DC" w:rsidRPr="00CE4E1F" w:rsidRDefault="00DC32DC" w:rsidP="00742F09">
            <w:pPr>
              <w:spacing w:line="360" w:lineRule="auto"/>
              <w:contextualSpacing/>
              <w:jc w:val="both"/>
              <w:rPr>
                <w:color w:val="000000"/>
                <w:sz w:val="18"/>
                <w:szCs w:val="18"/>
              </w:rPr>
            </w:pPr>
            <w:r w:rsidRPr="00CE4E1F">
              <w:rPr>
                <w:color w:val="000000"/>
                <w:sz w:val="18"/>
                <w:szCs w:val="18"/>
              </w:rPr>
              <w:t>21806841</w:t>
            </w:r>
          </w:p>
        </w:tc>
      </w:tr>
      <w:tr w:rsidR="00DC32DC" w:rsidRPr="00CE4E1F" w14:paraId="348A90B2" w14:textId="77777777" w:rsidTr="001914D7">
        <w:trPr>
          <w:trHeight w:val="63"/>
        </w:trPr>
        <w:tc>
          <w:tcPr>
            <w:tcW w:w="1075" w:type="dxa"/>
            <w:noWrap/>
            <w:hideMark/>
          </w:tcPr>
          <w:p w14:paraId="467383AC" w14:textId="77777777" w:rsidR="00DC32DC" w:rsidRPr="00CE4E1F" w:rsidRDefault="00DC32DC" w:rsidP="00742F09">
            <w:pPr>
              <w:spacing w:line="360" w:lineRule="auto"/>
              <w:contextualSpacing/>
              <w:jc w:val="both"/>
              <w:rPr>
                <w:i/>
                <w:iCs/>
                <w:color w:val="000000"/>
                <w:sz w:val="18"/>
                <w:szCs w:val="18"/>
              </w:rPr>
            </w:pPr>
            <w:r w:rsidRPr="00CE4E1F">
              <w:rPr>
                <w:i/>
                <w:iCs/>
                <w:color w:val="000000"/>
                <w:sz w:val="18"/>
                <w:szCs w:val="18"/>
              </w:rPr>
              <w:t>CASC3</w:t>
            </w:r>
          </w:p>
        </w:tc>
        <w:tc>
          <w:tcPr>
            <w:tcW w:w="3060" w:type="dxa"/>
            <w:noWrap/>
            <w:hideMark/>
          </w:tcPr>
          <w:p w14:paraId="588F2C9C"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Housekeeping</w:t>
            </w:r>
          </w:p>
        </w:tc>
        <w:tc>
          <w:tcPr>
            <w:tcW w:w="540" w:type="dxa"/>
            <w:noWrap/>
            <w:hideMark/>
          </w:tcPr>
          <w:p w14:paraId="07AF2F52"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17</w:t>
            </w:r>
          </w:p>
        </w:tc>
        <w:tc>
          <w:tcPr>
            <w:tcW w:w="720" w:type="dxa"/>
            <w:noWrap/>
            <w:hideMark/>
          </w:tcPr>
          <w:p w14:paraId="66B71DAD"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q21.1</w:t>
            </w:r>
          </w:p>
        </w:tc>
        <w:tc>
          <w:tcPr>
            <w:tcW w:w="2490" w:type="dxa"/>
          </w:tcPr>
          <w:p w14:paraId="69270175" w14:textId="0BA8F267" w:rsidR="00DC32DC" w:rsidRPr="00CE4E1F" w:rsidRDefault="00DC32DC" w:rsidP="00742F09">
            <w:pPr>
              <w:spacing w:line="360" w:lineRule="auto"/>
              <w:contextualSpacing/>
              <w:jc w:val="both"/>
              <w:rPr>
                <w:color w:val="000000"/>
                <w:sz w:val="18"/>
                <w:szCs w:val="18"/>
              </w:rPr>
            </w:pPr>
            <w:r>
              <w:rPr>
                <w:color w:val="000000"/>
                <w:sz w:val="18"/>
                <w:szCs w:val="18"/>
              </w:rPr>
              <w:t>N/A</w:t>
            </w:r>
          </w:p>
        </w:tc>
        <w:tc>
          <w:tcPr>
            <w:tcW w:w="1470" w:type="dxa"/>
            <w:noWrap/>
            <w:hideMark/>
          </w:tcPr>
          <w:p w14:paraId="19FA5B3A" w14:textId="2259C6A9" w:rsidR="00DC32DC" w:rsidRPr="00CE4E1F" w:rsidRDefault="00DC32DC" w:rsidP="00742F09">
            <w:pPr>
              <w:spacing w:line="360" w:lineRule="auto"/>
              <w:contextualSpacing/>
              <w:jc w:val="both"/>
              <w:rPr>
                <w:color w:val="000000"/>
                <w:sz w:val="18"/>
                <w:szCs w:val="18"/>
              </w:rPr>
            </w:pPr>
            <w:r w:rsidRPr="00CE4E1F">
              <w:rPr>
                <w:color w:val="000000"/>
                <w:sz w:val="18"/>
                <w:szCs w:val="18"/>
              </w:rPr>
              <w:t>21806841</w:t>
            </w:r>
          </w:p>
        </w:tc>
      </w:tr>
      <w:tr w:rsidR="00DC32DC" w:rsidRPr="00CE4E1F" w14:paraId="697E0D00" w14:textId="77777777" w:rsidTr="001914D7">
        <w:trPr>
          <w:trHeight w:val="63"/>
        </w:trPr>
        <w:tc>
          <w:tcPr>
            <w:tcW w:w="1075" w:type="dxa"/>
            <w:noWrap/>
            <w:hideMark/>
          </w:tcPr>
          <w:p w14:paraId="42DDC139" w14:textId="77777777" w:rsidR="00DC32DC" w:rsidRPr="00CE4E1F" w:rsidRDefault="00DC32DC" w:rsidP="00742F09">
            <w:pPr>
              <w:spacing w:line="360" w:lineRule="auto"/>
              <w:contextualSpacing/>
              <w:jc w:val="both"/>
              <w:rPr>
                <w:i/>
                <w:iCs/>
                <w:color w:val="000000"/>
                <w:sz w:val="18"/>
                <w:szCs w:val="18"/>
              </w:rPr>
            </w:pPr>
            <w:r w:rsidRPr="00CE4E1F">
              <w:rPr>
                <w:i/>
                <w:iCs/>
                <w:color w:val="000000"/>
                <w:sz w:val="18"/>
                <w:szCs w:val="18"/>
              </w:rPr>
              <w:lastRenderedPageBreak/>
              <w:t>GUSB</w:t>
            </w:r>
          </w:p>
        </w:tc>
        <w:tc>
          <w:tcPr>
            <w:tcW w:w="3060" w:type="dxa"/>
            <w:noWrap/>
            <w:hideMark/>
          </w:tcPr>
          <w:p w14:paraId="504A8943"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Housekeeping</w:t>
            </w:r>
          </w:p>
        </w:tc>
        <w:tc>
          <w:tcPr>
            <w:tcW w:w="540" w:type="dxa"/>
            <w:noWrap/>
            <w:hideMark/>
          </w:tcPr>
          <w:p w14:paraId="5680BC36"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7</w:t>
            </w:r>
          </w:p>
        </w:tc>
        <w:tc>
          <w:tcPr>
            <w:tcW w:w="720" w:type="dxa"/>
            <w:noWrap/>
            <w:hideMark/>
          </w:tcPr>
          <w:p w14:paraId="23C13A89"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q11.21</w:t>
            </w:r>
          </w:p>
        </w:tc>
        <w:tc>
          <w:tcPr>
            <w:tcW w:w="2490" w:type="dxa"/>
          </w:tcPr>
          <w:p w14:paraId="13C9F099" w14:textId="77F46245" w:rsidR="00DC32DC" w:rsidRPr="00CE4E1F" w:rsidRDefault="00DC32DC" w:rsidP="00742F09">
            <w:pPr>
              <w:spacing w:line="360" w:lineRule="auto"/>
              <w:contextualSpacing/>
              <w:jc w:val="both"/>
              <w:rPr>
                <w:color w:val="000000"/>
                <w:sz w:val="18"/>
                <w:szCs w:val="18"/>
              </w:rPr>
            </w:pPr>
            <w:r>
              <w:rPr>
                <w:color w:val="000000"/>
                <w:sz w:val="18"/>
                <w:szCs w:val="18"/>
              </w:rPr>
              <w:t>N/A</w:t>
            </w:r>
          </w:p>
        </w:tc>
        <w:tc>
          <w:tcPr>
            <w:tcW w:w="1470" w:type="dxa"/>
            <w:noWrap/>
            <w:hideMark/>
          </w:tcPr>
          <w:p w14:paraId="46EF6838" w14:textId="186FCAF6" w:rsidR="00DC32DC" w:rsidRPr="00CE4E1F" w:rsidRDefault="00DC32DC" w:rsidP="00742F09">
            <w:pPr>
              <w:spacing w:line="360" w:lineRule="auto"/>
              <w:contextualSpacing/>
              <w:jc w:val="both"/>
              <w:rPr>
                <w:color w:val="000000"/>
                <w:sz w:val="18"/>
                <w:szCs w:val="18"/>
              </w:rPr>
            </w:pPr>
            <w:r w:rsidRPr="00CE4E1F">
              <w:rPr>
                <w:color w:val="000000"/>
                <w:sz w:val="18"/>
                <w:szCs w:val="18"/>
              </w:rPr>
              <w:t>21806841</w:t>
            </w:r>
          </w:p>
        </w:tc>
      </w:tr>
      <w:tr w:rsidR="00DC32DC" w:rsidRPr="00CE4E1F" w14:paraId="37398AC8" w14:textId="77777777" w:rsidTr="001914D7">
        <w:trPr>
          <w:trHeight w:val="107"/>
        </w:trPr>
        <w:tc>
          <w:tcPr>
            <w:tcW w:w="1075" w:type="dxa"/>
            <w:noWrap/>
            <w:hideMark/>
          </w:tcPr>
          <w:p w14:paraId="23C59EFB" w14:textId="77777777" w:rsidR="00DC32DC" w:rsidRPr="00CE4E1F" w:rsidRDefault="00DC32DC" w:rsidP="00742F09">
            <w:pPr>
              <w:spacing w:line="360" w:lineRule="auto"/>
              <w:contextualSpacing/>
              <w:jc w:val="both"/>
              <w:rPr>
                <w:i/>
                <w:iCs/>
                <w:color w:val="000000"/>
                <w:sz w:val="18"/>
                <w:szCs w:val="18"/>
              </w:rPr>
            </w:pPr>
            <w:r w:rsidRPr="00CE4E1F">
              <w:rPr>
                <w:i/>
                <w:iCs/>
                <w:color w:val="000000"/>
                <w:sz w:val="18"/>
                <w:szCs w:val="18"/>
              </w:rPr>
              <w:t>KIAA1715</w:t>
            </w:r>
          </w:p>
        </w:tc>
        <w:tc>
          <w:tcPr>
            <w:tcW w:w="3060" w:type="dxa"/>
            <w:noWrap/>
            <w:hideMark/>
          </w:tcPr>
          <w:p w14:paraId="6F70BED3"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Housekeeping</w:t>
            </w:r>
          </w:p>
        </w:tc>
        <w:tc>
          <w:tcPr>
            <w:tcW w:w="540" w:type="dxa"/>
            <w:noWrap/>
            <w:hideMark/>
          </w:tcPr>
          <w:p w14:paraId="535594F8"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2</w:t>
            </w:r>
          </w:p>
        </w:tc>
        <w:tc>
          <w:tcPr>
            <w:tcW w:w="720" w:type="dxa"/>
            <w:noWrap/>
            <w:hideMark/>
          </w:tcPr>
          <w:p w14:paraId="1540D2BA"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q31.1</w:t>
            </w:r>
          </w:p>
        </w:tc>
        <w:tc>
          <w:tcPr>
            <w:tcW w:w="2490" w:type="dxa"/>
          </w:tcPr>
          <w:p w14:paraId="729547BF" w14:textId="0BEEFA28" w:rsidR="00DC32DC" w:rsidRPr="00CE4E1F" w:rsidRDefault="00DC32DC" w:rsidP="00742F09">
            <w:pPr>
              <w:spacing w:line="360" w:lineRule="auto"/>
              <w:contextualSpacing/>
              <w:jc w:val="both"/>
              <w:rPr>
                <w:color w:val="000000"/>
                <w:sz w:val="18"/>
                <w:szCs w:val="18"/>
              </w:rPr>
            </w:pPr>
            <w:r>
              <w:rPr>
                <w:color w:val="000000"/>
                <w:sz w:val="18"/>
                <w:szCs w:val="18"/>
              </w:rPr>
              <w:t>N/A</w:t>
            </w:r>
          </w:p>
        </w:tc>
        <w:tc>
          <w:tcPr>
            <w:tcW w:w="1470" w:type="dxa"/>
            <w:noWrap/>
            <w:hideMark/>
          </w:tcPr>
          <w:p w14:paraId="72E0DADF" w14:textId="451FDE05" w:rsidR="00DC32DC" w:rsidRPr="00CE4E1F" w:rsidRDefault="00DC32DC" w:rsidP="00742F09">
            <w:pPr>
              <w:spacing w:line="360" w:lineRule="auto"/>
              <w:contextualSpacing/>
              <w:jc w:val="both"/>
              <w:rPr>
                <w:color w:val="000000"/>
                <w:sz w:val="18"/>
                <w:szCs w:val="18"/>
              </w:rPr>
            </w:pPr>
            <w:r w:rsidRPr="00CE4E1F">
              <w:rPr>
                <w:color w:val="000000"/>
                <w:sz w:val="18"/>
                <w:szCs w:val="18"/>
              </w:rPr>
              <w:t>17878933</w:t>
            </w:r>
          </w:p>
        </w:tc>
      </w:tr>
      <w:tr w:rsidR="00DC32DC" w:rsidRPr="00CE4E1F" w14:paraId="6438AF9A" w14:textId="77777777" w:rsidTr="001914D7">
        <w:trPr>
          <w:trHeight w:val="134"/>
        </w:trPr>
        <w:tc>
          <w:tcPr>
            <w:tcW w:w="1075" w:type="dxa"/>
            <w:noWrap/>
            <w:hideMark/>
          </w:tcPr>
          <w:p w14:paraId="358DF88B" w14:textId="77777777" w:rsidR="00DC32DC" w:rsidRPr="00CE4E1F" w:rsidRDefault="00DC32DC" w:rsidP="00742F09">
            <w:pPr>
              <w:spacing w:line="360" w:lineRule="auto"/>
              <w:contextualSpacing/>
              <w:jc w:val="both"/>
              <w:rPr>
                <w:i/>
                <w:iCs/>
                <w:color w:val="000000"/>
                <w:sz w:val="18"/>
                <w:szCs w:val="18"/>
              </w:rPr>
            </w:pPr>
            <w:r w:rsidRPr="00CE4E1F">
              <w:rPr>
                <w:i/>
                <w:iCs/>
                <w:color w:val="000000"/>
                <w:sz w:val="18"/>
                <w:szCs w:val="18"/>
              </w:rPr>
              <w:t>MRPL19</w:t>
            </w:r>
          </w:p>
        </w:tc>
        <w:tc>
          <w:tcPr>
            <w:tcW w:w="3060" w:type="dxa"/>
            <w:noWrap/>
            <w:hideMark/>
          </w:tcPr>
          <w:p w14:paraId="2284B6D4"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Housekeeping</w:t>
            </w:r>
          </w:p>
        </w:tc>
        <w:tc>
          <w:tcPr>
            <w:tcW w:w="540" w:type="dxa"/>
            <w:noWrap/>
            <w:hideMark/>
          </w:tcPr>
          <w:p w14:paraId="58669DAF"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2</w:t>
            </w:r>
          </w:p>
        </w:tc>
        <w:tc>
          <w:tcPr>
            <w:tcW w:w="720" w:type="dxa"/>
            <w:noWrap/>
            <w:hideMark/>
          </w:tcPr>
          <w:p w14:paraId="73BC250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p12</w:t>
            </w:r>
          </w:p>
        </w:tc>
        <w:tc>
          <w:tcPr>
            <w:tcW w:w="2490" w:type="dxa"/>
          </w:tcPr>
          <w:p w14:paraId="490F3C1F" w14:textId="4D69C8FA" w:rsidR="00DC32DC" w:rsidRPr="00CE4E1F" w:rsidRDefault="00DC32DC" w:rsidP="00742F09">
            <w:pPr>
              <w:spacing w:line="360" w:lineRule="auto"/>
              <w:contextualSpacing/>
              <w:jc w:val="both"/>
              <w:rPr>
                <w:color w:val="000000"/>
                <w:sz w:val="18"/>
                <w:szCs w:val="18"/>
              </w:rPr>
            </w:pPr>
            <w:r>
              <w:rPr>
                <w:color w:val="000000"/>
                <w:sz w:val="18"/>
                <w:szCs w:val="18"/>
              </w:rPr>
              <w:t>N/A</w:t>
            </w:r>
          </w:p>
        </w:tc>
        <w:tc>
          <w:tcPr>
            <w:tcW w:w="1470" w:type="dxa"/>
            <w:noWrap/>
            <w:hideMark/>
          </w:tcPr>
          <w:p w14:paraId="13E5714F" w14:textId="63EE53BC" w:rsidR="00DC32DC" w:rsidRPr="00CE4E1F" w:rsidRDefault="00DC32DC" w:rsidP="00742F09">
            <w:pPr>
              <w:spacing w:line="360" w:lineRule="auto"/>
              <w:contextualSpacing/>
              <w:jc w:val="both"/>
              <w:rPr>
                <w:color w:val="000000"/>
                <w:sz w:val="18"/>
                <w:szCs w:val="18"/>
              </w:rPr>
            </w:pPr>
            <w:r w:rsidRPr="00CE4E1F">
              <w:rPr>
                <w:color w:val="000000"/>
                <w:sz w:val="18"/>
                <w:szCs w:val="18"/>
              </w:rPr>
              <w:t>17878933</w:t>
            </w:r>
          </w:p>
        </w:tc>
      </w:tr>
      <w:tr w:rsidR="00DC32DC" w:rsidRPr="00CE4E1F" w14:paraId="16485E33" w14:textId="77777777" w:rsidTr="001914D7">
        <w:trPr>
          <w:trHeight w:val="71"/>
        </w:trPr>
        <w:tc>
          <w:tcPr>
            <w:tcW w:w="1075" w:type="dxa"/>
            <w:noWrap/>
            <w:hideMark/>
          </w:tcPr>
          <w:p w14:paraId="6DB580DB" w14:textId="77777777" w:rsidR="00DC32DC" w:rsidRPr="00CE4E1F" w:rsidRDefault="00DC32DC" w:rsidP="00742F09">
            <w:pPr>
              <w:spacing w:line="360" w:lineRule="auto"/>
              <w:contextualSpacing/>
              <w:jc w:val="both"/>
              <w:rPr>
                <w:i/>
                <w:iCs/>
                <w:color w:val="000000"/>
                <w:sz w:val="18"/>
                <w:szCs w:val="18"/>
              </w:rPr>
            </w:pPr>
            <w:r w:rsidRPr="00CE4E1F">
              <w:rPr>
                <w:i/>
                <w:iCs/>
                <w:color w:val="000000"/>
                <w:sz w:val="18"/>
                <w:szCs w:val="18"/>
              </w:rPr>
              <w:t>POP4</w:t>
            </w:r>
          </w:p>
        </w:tc>
        <w:tc>
          <w:tcPr>
            <w:tcW w:w="3060" w:type="dxa"/>
            <w:noWrap/>
            <w:hideMark/>
          </w:tcPr>
          <w:p w14:paraId="671D508F"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Housekeeping</w:t>
            </w:r>
          </w:p>
        </w:tc>
        <w:tc>
          <w:tcPr>
            <w:tcW w:w="540" w:type="dxa"/>
            <w:noWrap/>
            <w:hideMark/>
          </w:tcPr>
          <w:p w14:paraId="6AA879A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19</w:t>
            </w:r>
          </w:p>
        </w:tc>
        <w:tc>
          <w:tcPr>
            <w:tcW w:w="720" w:type="dxa"/>
            <w:noWrap/>
            <w:hideMark/>
          </w:tcPr>
          <w:p w14:paraId="5C4FF799"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q12</w:t>
            </w:r>
          </w:p>
        </w:tc>
        <w:tc>
          <w:tcPr>
            <w:tcW w:w="2490" w:type="dxa"/>
          </w:tcPr>
          <w:p w14:paraId="6A318E7C" w14:textId="22458DC6" w:rsidR="00DC32DC" w:rsidRPr="00CE4E1F" w:rsidRDefault="00DC32DC" w:rsidP="00742F09">
            <w:pPr>
              <w:spacing w:line="360" w:lineRule="auto"/>
              <w:contextualSpacing/>
              <w:jc w:val="both"/>
              <w:rPr>
                <w:color w:val="000000"/>
                <w:sz w:val="18"/>
                <w:szCs w:val="18"/>
              </w:rPr>
            </w:pPr>
            <w:r>
              <w:rPr>
                <w:color w:val="000000"/>
                <w:sz w:val="18"/>
                <w:szCs w:val="18"/>
              </w:rPr>
              <w:t>N/A</w:t>
            </w:r>
          </w:p>
        </w:tc>
        <w:tc>
          <w:tcPr>
            <w:tcW w:w="1470" w:type="dxa"/>
            <w:noWrap/>
            <w:hideMark/>
          </w:tcPr>
          <w:p w14:paraId="02DA930F" w14:textId="68824F85" w:rsidR="00DC32DC" w:rsidRPr="00CE4E1F" w:rsidRDefault="00DC32DC" w:rsidP="00742F09">
            <w:pPr>
              <w:spacing w:line="360" w:lineRule="auto"/>
              <w:contextualSpacing/>
              <w:jc w:val="both"/>
              <w:rPr>
                <w:color w:val="000000"/>
                <w:sz w:val="18"/>
                <w:szCs w:val="18"/>
              </w:rPr>
            </w:pPr>
            <w:r w:rsidRPr="00CE4E1F">
              <w:rPr>
                <w:color w:val="000000"/>
                <w:sz w:val="18"/>
                <w:szCs w:val="18"/>
              </w:rPr>
              <w:t>17878933</w:t>
            </w:r>
          </w:p>
        </w:tc>
      </w:tr>
      <w:tr w:rsidR="00DC32DC" w:rsidRPr="00CE4E1F" w14:paraId="13E2BFAE" w14:textId="77777777" w:rsidTr="001914D7">
        <w:trPr>
          <w:trHeight w:val="116"/>
        </w:trPr>
        <w:tc>
          <w:tcPr>
            <w:tcW w:w="1075" w:type="dxa"/>
            <w:noWrap/>
            <w:hideMark/>
          </w:tcPr>
          <w:p w14:paraId="71528366" w14:textId="77777777" w:rsidR="00DC32DC" w:rsidRPr="00CE4E1F" w:rsidRDefault="00DC32DC" w:rsidP="00742F09">
            <w:pPr>
              <w:spacing w:line="360" w:lineRule="auto"/>
              <w:contextualSpacing/>
              <w:jc w:val="both"/>
              <w:rPr>
                <w:i/>
                <w:iCs/>
                <w:color w:val="000000"/>
                <w:sz w:val="18"/>
                <w:szCs w:val="18"/>
              </w:rPr>
            </w:pPr>
            <w:r w:rsidRPr="00CE4E1F">
              <w:rPr>
                <w:i/>
                <w:iCs/>
                <w:color w:val="000000"/>
                <w:sz w:val="18"/>
                <w:szCs w:val="18"/>
              </w:rPr>
              <w:t>TTC21B</w:t>
            </w:r>
          </w:p>
        </w:tc>
        <w:tc>
          <w:tcPr>
            <w:tcW w:w="3060" w:type="dxa"/>
            <w:noWrap/>
            <w:hideMark/>
          </w:tcPr>
          <w:p w14:paraId="0587CBBB"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Housekeeping</w:t>
            </w:r>
          </w:p>
        </w:tc>
        <w:tc>
          <w:tcPr>
            <w:tcW w:w="540" w:type="dxa"/>
            <w:noWrap/>
            <w:hideMark/>
          </w:tcPr>
          <w:p w14:paraId="459F7929"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2</w:t>
            </w:r>
          </w:p>
        </w:tc>
        <w:tc>
          <w:tcPr>
            <w:tcW w:w="720" w:type="dxa"/>
            <w:noWrap/>
            <w:hideMark/>
          </w:tcPr>
          <w:p w14:paraId="11F7E487" w14:textId="77777777" w:rsidR="00DC32DC" w:rsidRPr="00CE4E1F" w:rsidRDefault="00DC32DC" w:rsidP="00742F09">
            <w:pPr>
              <w:spacing w:line="360" w:lineRule="auto"/>
              <w:contextualSpacing/>
              <w:jc w:val="both"/>
              <w:rPr>
                <w:color w:val="000000"/>
                <w:sz w:val="18"/>
                <w:szCs w:val="18"/>
              </w:rPr>
            </w:pPr>
            <w:r w:rsidRPr="00CE4E1F">
              <w:rPr>
                <w:color w:val="000000"/>
                <w:sz w:val="18"/>
                <w:szCs w:val="18"/>
              </w:rPr>
              <w:t>q24.3</w:t>
            </w:r>
          </w:p>
        </w:tc>
        <w:tc>
          <w:tcPr>
            <w:tcW w:w="2490" w:type="dxa"/>
          </w:tcPr>
          <w:p w14:paraId="0C697F13" w14:textId="09262C86" w:rsidR="00DC32DC" w:rsidRPr="00CE4E1F" w:rsidRDefault="00DC32DC" w:rsidP="00742F09">
            <w:pPr>
              <w:spacing w:line="360" w:lineRule="auto"/>
              <w:contextualSpacing/>
              <w:jc w:val="both"/>
              <w:rPr>
                <w:color w:val="000000"/>
                <w:sz w:val="18"/>
                <w:szCs w:val="18"/>
              </w:rPr>
            </w:pPr>
            <w:r>
              <w:rPr>
                <w:color w:val="000000"/>
                <w:sz w:val="18"/>
                <w:szCs w:val="18"/>
              </w:rPr>
              <w:t>N/A</w:t>
            </w:r>
          </w:p>
        </w:tc>
        <w:tc>
          <w:tcPr>
            <w:tcW w:w="1470" w:type="dxa"/>
            <w:noWrap/>
            <w:hideMark/>
          </w:tcPr>
          <w:p w14:paraId="6E06BF38" w14:textId="0A341DD7" w:rsidR="00DC32DC" w:rsidRPr="00CE4E1F" w:rsidRDefault="00DC32DC" w:rsidP="00742F09">
            <w:pPr>
              <w:spacing w:line="360" w:lineRule="auto"/>
              <w:contextualSpacing/>
              <w:jc w:val="both"/>
              <w:rPr>
                <w:color w:val="000000"/>
                <w:sz w:val="18"/>
                <w:szCs w:val="18"/>
              </w:rPr>
            </w:pPr>
            <w:r w:rsidRPr="00CE4E1F">
              <w:rPr>
                <w:color w:val="000000"/>
                <w:sz w:val="18"/>
                <w:szCs w:val="18"/>
              </w:rPr>
              <w:t>17878933</w:t>
            </w:r>
          </w:p>
        </w:tc>
      </w:tr>
    </w:tbl>
    <w:p w14:paraId="7F952044" w14:textId="4C82E9E0" w:rsidR="00BD7064" w:rsidRPr="00CE4E1F" w:rsidRDefault="00607ADC" w:rsidP="00742F09">
      <w:pPr>
        <w:spacing w:line="360" w:lineRule="auto"/>
        <w:contextualSpacing/>
        <w:jc w:val="both"/>
        <w:rPr>
          <w:b/>
        </w:rPr>
      </w:pPr>
      <w:r w:rsidRPr="00CE4E1F">
        <w:rPr>
          <w:b/>
        </w:rPr>
        <w:br w:type="column"/>
      </w:r>
      <w:r w:rsidR="00BD7064" w:rsidRPr="00CE4E1F">
        <w:rPr>
          <w:b/>
        </w:rPr>
        <w:lastRenderedPageBreak/>
        <w:t xml:space="preserve">Table S4. </w:t>
      </w:r>
      <w:r w:rsidR="00825AF7" w:rsidRPr="00CE4E1F">
        <w:rPr>
          <w:b/>
        </w:rPr>
        <w:t>Analytical and clinical v</w:t>
      </w:r>
      <w:r w:rsidR="00BD7064" w:rsidRPr="00CE4E1F">
        <w:rPr>
          <w:b/>
        </w:rPr>
        <w:t>alidation cohort</w:t>
      </w:r>
      <w:r w:rsidR="00825AF7" w:rsidRPr="00CE4E1F">
        <w:rPr>
          <w:b/>
        </w:rPr>
        <w:t>s</w:t>
      </w:r>
      <w:r w:rsidR="00BD7064" w:rsidRPr="00CE4E1F">
        <w:rPr>
          <w:b/>
        </w:rPr>
        <w:t>.</w:t>
      </w:r>
    </w:p>
    <w:tbl>
      <w:tblPr>
        <w:tblStyle w:val="TableGrid"/>
        <w:tblW w:w="0" w:type="auto"/>
        <w:tblLayout w:type="fixed"/>
        <w:tblLook w:val="04A0" w:firstRow="1" w:lastRow="0" w:firstColumn="1" w:lastColumn="0" w:noHBand="0" w:noVBand="1"/>
      </w:tblPr>
      <w:tblGrid>
        <w:gridCol w:w="1435"/>
        <w:gridCol w:w="1710"/>
        <w:gridCol w:w="2465"/>
        <w:gridCol w:w="2035"/>
        <w:gridCol w:w="1705"/>
      </w:tblGrid>
      <w:tr w:rsidR="00A10BAB" w:rsidRPr="00CE4E1F" w14:paraId="47631818" w14:textId="1365C318" w:rsidTr="00234A82">
        <w:trPr>
          <w:trHeight w:val="274"/>
        </w:trPr>
        <w:tc>
          <w:tcPr>
            <w:tcW w:w="1435" w:type="dxa"/>
          </w:tcPr>
          <w:p w14:paraId="093CE076" w14:textId="60A0DBFE" w:rsidR="00F824C0" w:rsidRPr="00CE4E1F" w:rsidRDefault="00F824C0" w:rsidP="00742F09">
            <w:pPr>
              <w:spacing w:line="360" w:lineRule="auto"/>
              <w:contextualSpacing/>
              <w:jc w:val="both"/>
              <w:rPr>
                <w:b/>
                <w:sz w:val="18"/>
                <w:szCs w:val="18"/>
              </w:rPr>
            </w:pPr>
            <w:r w:rsidRPr="00CE4E1F">
              <w:rPr>
                <w:b/>
                <w:sz w:val="18"/>
                <w:szCs w:val="18"/>
              </w:rPr>
              <w:t>Institution</w:t>
            </w:r>
          </w:p>
        </w:tc>
        <w:tc>
          <w:tcPr>
            <w:tcW w:w="1710" w:type="dxa"/>
          </w:tcPr>
          <w:p w14:paraId="663C56C9" w14:textId="35DEA8D8" w:rsidR="00F824C0" w:rsidRPr="00CE4E1F" w:rsidRDefault="00F824C0" w:rsidP="00742F09">
            <w:pPr>
              <w:spacing w:line="360" w:lineRule="auto"/>
              <w:contextualSpacing/>
              <w:jc w:val="both"/>
              <w:rPr>
                <w:b/>
                <w:sz w:val="18"/>
                <w:szCs w:val="18"/>
              </w:rPr>
            </w:pPr>
            <w:r w:rsidRPr="00CE4E1F">
              <w:rPr>
                <w:b/>
                <w:sz w:val="18"/>
                <w:szCs w:val="18"/>
              </w:rPr>
              <w:t>Meningiomas</w:t>
            </w:r>
          </w:p>
        </w:tc>
        <w:tc>
          <w:tcPr>
            <w:tcW w:w="2465" w:type="dxa"/>
          </w:tcPr>
          <w:p w14:paraId="6EC46003" w14:textId="00054D5B" w:rsidR="00F824C0" w:rsidRPr="00CE4E1F" w:rsidRDefault="00F824C0" w:rsidP="00742F09">
            <w:pPr>
              <w:spacing w:line="360" w:lineRule="auto"/>
              <w:contextualSpacing/>
              <w:jc w:val="both"/>
              <w:rPr>
                <w:b/>
                <w:sz w:val="18"/>
                <w:szCs w:val="18"/>
              </w:rPr>
            </w:pPr>
            <w:r w:rsidRPr="00CE4E1F">
              <w:rPr>
                <w:b/>
                <w:sz w:val="18"/>
                <w:szCs w:val="18"/>
              </w:rPr>
              <w:t>Data</w:t>
            </w:r>
          </w:p>
        </w:tc>
        <w:tc>
          <w:tcPr>
            <w:tcW w:w="2035" w:type="dxa"/>
          </w:tcPr>
          <w:p w14:paraId="7F7BB1DB" w14:textId="7ED3D558" w:rsidR="00F824C0" w:rsidRPr="00CE4E1F" w:rsidRDefault="00021B20" w:rsidP="00742F09">
            <w:pPr>
              <w:spacing w:line="360" w:lineRule="auto"/>
              <w:contextualSpacing/>
              <w:jc w:val="both"/>
              <w:rPr>
                <w:b/>
                <w:sz w:val="18"/>
                <w:szCs w:val="18"/>
              </w:rPr>
            </w:pPr>
            <w:r w:rsidRPr="00CE4E1F">
              <w:rPr>
                <w:b/>
                <w:sz w:val="18"/>
                <w:szCs w:val="18"/>
              </w:rPr>
              <w:t>Analyses</w:t>
            </w:r>
          </w:p>
        </w:tc>
        <w:tc>
          <w:tcPr>
            <w:tcW w:w="1705" w:type="dxa"/>
          </w:tcPr>
          <w:p w14:paraId="41FA3986" w14:textId="33254A6E" w:rsidR="00F824C0" w:rsidRPr="00CE4E1F" w:rsidRDefault="00F360EC" w:rsidP="00742F09">
            <w:pPr>
              <w:spacing w:line="360" w:lineRule="auto"/>
              <w:contextualSpacing/>
              <w:jc w:val="both"/>
              <w:rPr>
                <w:b/>
                <w:sz w:val="18"/>
                <w:szCs w:val="18"/>
              </w:rPr>
            </w:pPr>
            <w:r>
              <w:rPr>
                <w:b/>
                <w:bCs/>
                <w:color w:val="000000" w:themeColor="text1"/>
                <w:sz w:val="18"/>
                <w:szCs w:val="18"/>
              </w:rPr>
              <w:t>References</w:t>
            </w:r>
          </w:p>
        </w:tc>
      </w:tr>
      <w:tr w:rsidR="00A10BAB" w:rsidRPr="00CE4E1F" w14:paraId="60E31F24" w14:textId="377DA04C" w:rsidTr="00234A82">
        <w:trPr>
          <w:trHeight w:val="274"/>
        </w:trPr>
        <w:tc>
          <w:tcPr>
            <w:tcW w:w="1435" w:type="dxa"/>
          </w:tcPr>
          <w:p w14:paraId="3FA01C2C" w14:textId="765A80F4" w:rsidR="00F824C0" w:rsidRPr="00CE4E1F" w:rsidRDefault="00F824C0" w:rsidP="00742F09">
            <w:pPr>
              <w:spacing w:line="360" w:lineRule="auto"/>
              <w:contextualSpacing/>
              <w:jc w:val="both"/>
              <w:rPr>
                <w:b/>
                <w:sz w:val="18"/>
                <w:szCs w:val="18"/>
              </w:rPr>
            </w:pPr>
            <w:r w:rsidRPr="00CE4E1F">
              <w:rPr>
                <w:b/>
                <w:sz w:val="18"/>
                <w:szCs w:val="18"/>
              </w:rPr>
              <w:t>Northwestern University</w:t>
            </w:r>
          </w:p>
        </w:tc>
        <w:tc>
          <w:tcPr>
            <w:tcW w:w="1710" w:type="dxa"/>
          </w:tcPr>
          <w:p w14:paraId="5803EA3C" w14:textId="3CCC203B" w:rsidR="00F824C0" w:rsidRPr="00CE4E1F" w:rsidRDefault="00B2133D" w:rsidP="00742F09">
            <w:pPr>
              <w:spacing w:line="360" w:lineRule="auto"/>
              <w:contextualSpacing/>
              <w:jc w:val="both"/>
              <w:rPr>
                <w:bCs/>
                <w:sz w:val="18"/>
                <w:szCs w:val="18"/>
              </w:rPr>
            </w:pPr>
            <w:r w:rsidRPr="00CE4E1F">
              <w:rPr>
                <w:bCs/>
                <w:sz w:val="18"/>
                <w:szCs w:val="18"/>
              </w:rPr>
              <w:t xml:space="preserve">180 (63 </w:t>
            </w:r>
            <w:r w:rsidR="00021B20" w:rsidRPr="00CE4E1F">
              <w:rPr>
                <w:bCs/>
                <w:sz w:val="18"/>
                <w:szCs w:val="18"/>
              </w:rPr>
              <w:t xml:space="preserve">FFPE, </w:t>
            </w:r>
            <w:r w:rsidRPr="00CE4E1F">
              <w:rPr>
                <w:bCs/>
                <w:sz w:val="18"/>
                <w:szCs w:val="18"/>
              </w:rPr>
              <w:t xml:space="preserve">117 </w:t>
            </w:r>
            <w:r w:rsidR="00021B20" w:rsidRPr="00CE4E1F">
              <w:rPr>
                <w:bCs/>
                <w:sz w:val="18"/>
                <w:szCs w:val="18"/>
              </w:rPr>
              <w:t>frozen)</w:t>
            </w:r>
          </w:p>
        </w:tc>
        <w:tc>
          <w:tcPr>
            <w:tcW w:w="2465" w:type="dxa"/>
          </w:tcPr>
          <w:p w14:paraId="7C8A4A8D" w14:textId="2E6CA095" w:rsidR="00F824C0" w:rsidRPr="00CE4E1F" w:rsidRDefault="00F824C0" w:rsidP="00742F09">
            <w:pPr>
              <w:spacing w:line="360" w:lineRule="auto"/>
              <w:contextualSpacing/>
              <w:jc w:val="both"/>
              <w:rPr>
                <w:bCs/>
                <w:sz w:val="18"/>
                <w:szCs w:val="18"/>
              </w:rPr>
            </w:pPr>
            <w:r w:rsidRPr="00CE4E1F">
              <w:rPr>
                <w:bCs/>
                <w:sz w:val="18"/>
                <w:szCs w:val="18"/>
              </w:rPr>
              <w:t>Clinical</w:t>
            </w:r>
            <w:r w:rsidR="008A321E">
              <w:rPr>
                <w:bCs/>
                <w:sz w:val="18"/>
                <w:szCs w:val="18"/>
              </w:rPr>
              <w:t xml:space="preserve"> follow up</w:t>
            </w:r>
            <w:r w:rsidRPr="00CE4E1F">
              <w:rPr>
                <w:bCs/>
                <w:sz w:val="18"/>
                <w:szCs w:val="18"/>
              </w:rPr>
              <w:t>, targeted gene expression profiling</w:t>
            </w:r>
          </w:p>
        </w:tc>
        <w:tc>
          <w:tcPr>
            <w:tcW w:w="2035" w:type="dxa"/>
          </w:tcPr>
          <w:p w14:paraId="7C659A73" w14:textId="5AB90D9F" w:rsidR="00F824C0" w:rsidRPr="00CE4E1F" w:rsidRDefault="00021B20" w:rsidP="00742F09">
            <w:pPr>
              <w:spacing w:line="360" w:lineRule="auto"/>
              <w:contextualSpacing/>
              <w:jc w:val="both"/>
              <w:rPr>
                <w:bCs/>
                <w:sz w:val="18"/>
                <w:szCs w:val="18"/>
              </w:rPr>
            </w:pPr>
            <w:r w:rsidRPr="00CE4E1F">
              <w:rPr>
                <w:bCs/>
                <w:sz w:val="18"/>
                <w:szCs w:val="18"/>
              </w:rPr>
              <w:t xml:space="preserve">Clinical </w:t>
            </w:r>
            <w:r w:rsidR="009F254E">
              <w:rPr>
                <w:bCs/>
                <w:sz w:val="18"/>
                <w:szCs w:val="18"/>
              </w:rPr>
              <w:t xml:space="preserve">and analytic </w:t>
            </w:r>
            <w:r w:rsidRPr="00CE4E1F">
              <w:rPr>
                <w:bCs/>
                <w:sz w:val="18"/>
                <w:szCs w:val="18"/>
              </w:rPr>
              <w:t xml:space="preserve">validation (Figures </w:t>
            </w:r>
            <w:r w:rsidR="009F254E">
              <w:rPr>
                <w:bCs/>
                <w:sz w:val="18"/>
                <w:szCs w:val="18"/>
              </w:rPr>
              <w:t>2</w:t>
            </w:r>
            <w:r w:rsidRPr="00CE4E1F">
              <w:rPr>
                <w:bCs/>
                <w:sz w:val="18"/>
                <w:szCs w:val="18"/>
              </w:rPr>
              <w:t>-</w:t>
            </w:r>
            <w:r w:rsidR="00065311" w:rsidRPr="00CE4E1F">
              <w:rPr>
                <w:bCs/>
                <w:sz w:val="18"/>
                <w:szCs w:val="18"/>
              </w:rPr>
              <w:t>5</w:t>
            </w:r>
            <w:r w:rsidR="00131F6C">
              <w:rPr>
                <w:bCs/>
                <w:sz w:val="18"/>
                <w:szCs w:val="18"/>
              </w:rPr>
              <w:t xml:space="preserve">, </w:t>
            </w:r>
            <w:r w:rsidRPr="00CE4E1F">
              <w:rPr>
                <w:bCs/>
                <w:sz w:val="18"/>
                <w:szCs w:val="18"/>
              </w:rPr>
              <w:t>S</w:t>
            </w:r>
            <w:r w:rsidR="009F254E">
              <w:rPr>
                <w:bCs/>
                <w:sz w:val="18"/>
                <w:szCs w:val="18"/>
              </w:rPr>
              <w:t>4</w:t>
            </w:r>
            <w:r w:rsidRPr="00CE4E1F">
              <w:rPr>
                <w:bCs/>
                <w:sz w:val="18"/>
                <w:szCs w:val="18"/>
              </w:rPr>
              <w:t>-8)</w:t>
            </w:r>
          </w:p>
        </w:tc>
        <w:tc>
          <w:tcPr>
            <w:tcW w:w="1705" w:type="dxa"/>
          </w:tcPr>
          <w:p w14:paraId="697B5C8C" w14:textId="12BB1558" w:rsidR="00F824C0" w:rsidRPr="00CE4E1F" w:rsidRDefault="00E02496" w:rsidP="00742F09">
            <w:pPr>
              <w:spacing w:line="360" w:lineRule="auto"/>
              <w:contextualSpacing/>
              <w:jc w:val="both"/>
              <w:rPr>
                <w:bCs/>
                <w:sz w:val="18"/>
                <w:szCs w:val="18"/>
              </w:rPr>
            </w:pPr>
            <w:r>
              <w:rPr>
                <w:bCs/>
                <w:sz w:val="18"/>
                <w:szCs w:val="18"/>
              </w:rPr>
              <w:t xml:space="preserve">NCBI GEO accession number </w:t>
            </w:r>
            <w:r w:rsidR="00B0304B" w:rsidRPr="00B0304B">
              <w:rPr>
                <w:bCs/>
                <w:sz w:val="18"/>
                <w:szCs w:val="18"/>
              </w:rPr>
              <w:t>GSE222054</w:t>
            </w:r>
          </w:p>
        </w:tc>
      </w:tr>
      <w:tr w:rsidR="00A10BAB" w:rsidRPr="00CE4E1F" w14:paraId="41AA9B3F" w14:textId="3C9A5800" w:rsidTr="00234A82">
        <w:trPr>
          <w:trHeight w:val="274"/>
        </w:trPr>
        <w:tc>
          <w:tcPr>
            <w:tcW w:w="1435" w:type="dxa"/>
          </w:tcPr>
          <w:p w14:paraId="042EA18A" w14:textId="5936E5CB" w:rsidR="00F824C0" w:rsidRPr="00CE4E1F" w:rsidRDefault="00F824C0" w:rsidP="00742F09">
            <w:pPr>
              <w:spacing w:line="360" w:lineRule="auto"/>
              <w:contextualSpacing/>
              <w:jc w:val="both"/>
              <w:rPr>
                <w:b/>
                <w:sz w:val="18"/>
                <w:szCs w:val="18"/>
              </w:rPr>
            </w:pPr>
            <w:r w:rsidRPr="00CE4E1F">
              <w:rPr>
                <w:b/>
                <w:sz w:val="18"/>
                <w:szCs w:val="18"/>
              </w:rPr>
              <w:t>Caris Life Sciences</w:t>
            </w:r>
          </w:p>
        </w:tc>
        <w:tc>
          <w:tcPr>
            <w:tcW w:w="1710" w:type="dxa"/>
          </w:tcPr>
          <w:p w14:paraId="484B4BED" w14:textId="42A193C3" w:rsidR="00F824C0" w:rsidRPr="00CE4E1F" w:rsidRDefault="00021B20" w:rsidP="00742F09">
            <w:pPr>
              <w:spacing w:line="360" w:lineRule="auto"/>
              <w:contextualSpacing/>
              <w:jc w:val="both"/>
              <w:rPr>
                <w:bCs/>
                <w:sz w:val="18"/>
                <w:szCs w:val="18"/>
              </w:rPr>
            </w:pPr>
            <w:r w:rsidRPr="00CE4E1F">
              <w:rPr>
                <w:bCs/>
                <w:sz w:val="18"/>
                <w:szCs w:val="18"/>
              </w:rPr>
              <w:t>360 FFPE</w:t>
            </w:r>
          </w:p>
        </w:tc>
        <w:tc>
          <w:tcPr>
            <w:tcW w:w="2465" w:type="dxa"/>
          </w:tcPr>
          <w:p w14:paraId="1CF5D17D" w14:textId="001D44D1" w:rsidR="00F824C0" w:rsidRPr="00CE4E1F" w:rsidRDefault="00F824C0" w:rsidP="00742F09">
            <w:pPr>
              <w:spacing w:line="360" w:lineRule="auto"/>
              <w:contextualSpacing/>
              <w:jc w:val="both"/>
              <w:rPr>
                <w:bCs/>
                <w:sz w:val="18"/>
                <w:szCs w:val="18"/>
              </w:rPr>
            </w:pPr>
            <w:r w:rsidRPr="00CE4E1F">
              <w:rPr>
                <w:bCs/>
                <w:sz w:val="18"/>
                <w:szCs w:val="18"/>
              </w:rPr>
              <w:t>RNA sequencing</w:t>
            </w:r>
            <w:r w:rsidR="00A72BEE" w:rsidRPr="00CE4E1F">
              <w:rPr>
                <w:bCs/>
                <w:sz w:val="18"/>
                <w:szCs w:val="18"/>
              </w:rPr>
              <w:t xml:space="preserve"> without clinical </w:t>
            </w:r>
            <w:r w:rsidR="008A321E">
              <w:rPr>
                <w:bCs/>
                <w:sz w:val="18"/>
                <w:szCs w:val="18"/>
              </w:rPr>
              <w:t xml:space="preserve">follow up </w:t>
            </w:r>
            <w:r w:rsidR="00A72BEE" w:rsidRPr="00CE4E1F">
              <w:rPr>
                <w:bCs/>
                <w:sz w:val="18"/>
                <w:szCs w:val="18"/>
              </w:rPr>
              <w:t>data</w:t>
            </w:r>
          </w:p>
        </w:tc>
        <w:tc>
          <w:tcPr>
            <w:tcW w:w="2035" w:type="dxa"/>
          </w:tcPr>
          <w:p w14:paraId="0BF7EF79" w14:textId="22993C23" w:rsidR="00F824C0" w:rsidRPr="00CE4E1F" w:rsidRDefault="00021B20" w:rsidP="00742F09">
            <w:pPr>
              <w:spacing w:line="360" w:lineRule="auto"/>
              <w:contextualSpacing/>
              <w:jc w:val="both"/>
              <w:rPr>
                <w:bCs/>
                <w:sz w:val="18"/>
                <w:szCs w:val="18"/>
              </w:rPr>
            </w:pPr>
            <w:r w:rsidRPr="00CE4E1F">
              <w:rPr>
                <w:bCs/>
                <w:sz w:val="18"/>
                <w:szCs w:val="18"/>
              </w:rPr>
              <w:t>Analytical validation (Figure S4)</w:t>
            </w:r>
          </w:p>
        </w:tc>
        <w:tc>
          <w:tcPr>
            <w:tcW w:w="1705" w:type="dxa"/>
          </w:tcPr>
          <w:p w14:paraId="082EDC7C" w14:textId="0D286942" w:rsidR="00F824C0" w:rsidRPr="00CE4E1F" w:rsidRDefault="008A321E" w:rsidP="00742F09">
            <w:pPr>
              <w:spacing w:line="360" w:lineRule="auto"/>
              <w:contextualSpacing/>
              <w:jc w:val="both"/>
              <w:rPr>
                <w:bCs/>
                <w:sz w:val="18"/>
                <w:szCs w:val="18"/>
              </w:rPr>
            </w:pPr>
            <w:r>
              <w:rPr>
                <w:bCs/>
                <w:sz w:val="18"/>
                <w:szCs w:val="18"/>
              </w:rPr>
              <w:t>Github</w:t>
            </w:r>
            <w:r w:rsidR="008756B4">
              <w:rPr>
                <w:bCs/>
                <w:sz w:val="18"/>
                <w:szCs w:val="18"/>
              </w:rPr>
              <w:t xml:space="preserve">: </w:t>
            </w:r>
            <w:r w:rsidR="008756B4" w:rsidRPr="008756B4">
              <w:rPr>
                <w:bCs/>
                <w:sz w:val="18"/>
                <w:szCs w:val="18"/>
              </w:rPr>
              <w:t>https://github.com/william-c-chen/Meningioma_GE_Biomarker</w:t>
            </w:r>
          </w:p>
        </w:tc>
      </w:tr>
      <w:tr w:rsidR="00A10BAB" w:rsidRPr="00CE4E1F" w14:paraId="351F1A15" w14:textId="08CD246B" w:rsidTr="00234A82">
        <w:trPr>
          <w:trHeight w:val="274"/>
        </w:trPr>
        <w:tc>
          <w:tcPr>
            <w:tcW w:w="1435" w:type="dxa"/>
          </w:tcPr>
          <w:p w14:paraId="491292C2" w14:textId="30D6560B" w:rsidR="00065311" w:rsidRPr="00CE4E1F" w:rsidRDefault="00065311" w:rsidP="00742F09">
            <w:pPr>
              <w:spacing w:line="360" w:lineRule="auto"/>
              <w:contextualSpacing/>
              <w:jc w:val="both"/>
              <w:rPr>
                <w:b/>
                <w:sz w:val="18"/>
                <w:szCs w:val="18"/>
              </w:rPr>
            </w:pPr>
            <w:r w:rsidRPr="00CE4E1F">
              <w:rPr>
                <w:b/>
                <w:sz w:val="18"/>
                <w:szCs w:val="18"/>
              </w:rPr>
              <w:t>The University of Hong Kong</w:t>
            </w:r>
          </w:p>
        </w:tc>
        <w:tc>
          <w:tcPr>
            <w:tcW w:w="1710" w:type="dxa"/>
          </w:tcPr>
          <w:p w14:paraId="76DFA26F" w14:textId="3570EEA1" w:rsidR="00065311" w:rsidRPr="00CE4E1F" w:rsidRDefault="00065311" w:rsidP="00742F09">
            <w:pPr>
              <w:spacing w:line="360" w:lineRule="auto"/>
              <w:contextualSpacing/>
              <w:jc w:val="both"/>
              <w:rPr>
                <w:bCs/>
                <w:sz w:val="18"/>
                <w:szCs w:val="18"/>
              </w:rPr>
            </w:pPr>
            <w:r w:rsidRPr="00CE4E1F">
              <w:rPr>
                <w:bCs/>
                <w:sz w:val="18"/>
                <w:szCs w:val="18"/>
              </w:rPr>
              <w:t>365 frozen</w:t>
            </w:r>
          </w:p>
        </w:tc>
        <w:tc>
          <w:tcPr>
            <w:tcW w:w="2465" w:type="dxa"/>
          </w:tcPr>
          <w:p w14:paraId="47A0809C" w14:textId="616FF706" w:rsidR="00065311" w:rsidRPr="00CE4E1F" w:rsidRDefault="00065311" w:rsidP="00742F09">
            <w:pPr>
              <w:spacing w:line="360" w:lineRule="auto"/>
              <w:contextualSpacing/>
              <w:jc w:val="both"/>
              <w:rPr>
                <w:bCs/>
                <w:sz w:val="18"/>
                <w:szCs w:val="18"/>
              </w:rPr>
            </w:pPr>
            <w:r w:rsidRPr="00CE4E1F">
              <w:rPr>
                <w:bCs/>
                <w:sz w:val="18"/>
                <w:szCs w:val="18"/>
              </w:rPr>
              <w:t>Clinical</w:t>
            </w:r>
            <w:r w:rsidR="008A321E">
              <w:rPr>
                <w:bCs/>
                <w:sz w:val="18"/>
                <w:szCs w:val="18"/>
              </w:rPr>
              <w:t xml:space="preserve"> follow up</w:t>
            </w:r>
            <w:r w:rsidRPr="00CE4E1F">
              <w:rPr>
                <w:bCs/>
                <w:sz w:val="18"/>
                <w:szCs w:val="18"/>
              </w:rPr>
              <w:t>, DNA methylation profiling (</w:t>
            </w:r>
            <w:r w:rsidR="00657468">
              <w:rPr>
                <w:bCs/>
                <w:sz w:val="18"/>
                <w:szCs w:val="18"/>
              </w:rPr>
              <w:t>N</w:t>
            </w:r>
            <w:r w:rsidRPr="00CE4E1F">
              <w:rPr>
                <w:bCs/>
                <w:sz w:val="18"/>
                <w:szCs w:val="18"/>
              </w:rPr>
              <w:t xml:space="preserve">=365), </w:t>
            </w:r>
            <w:r w:rsidR="00404F7B">
              <w:rPr>
                <w:bCs/>
                <w:sz w:val="18"/>
                <w:szCs w:val="18"/>
              </w:rPr>
              <w:t xml:space="preserve">CNV and CDKN2A/B profiling (N=365), </w:t>
            </w:r>
            <w:r w:rsidR="00404F7B" w:rsidRPr="009C1654">
              <w:rPr>
                <w:bCs/>
                <w:i/>
                <w:iCs/>
                <w:sz w:val="18"/>
                <w:szCs w:val="18"/>
              </w:rPr>
              <w:t>TERT</w:t>
            </w:r>
            <w:r w:rsidR="00294ED2">
              <w:rPr>
                <w:bCs/>
                <w:sz w:val="18"/>
                <w:szCs w:val="18"/>
              </w:rPr>
              <w:t xml:space="preserve"> </w:t>
            </w:r>
            <w:r w:rsidR="00404F7B">
              <w:rPr>
                <w:bCs/>
                <w:sz w:val="18"/>
                <w:szCs w:val="18"/>
              </w:rPr>
              <w:t>p</w:t>
            </w:r>
            <w:r w:rsidR="00294ED2">
              <w:rPr>
                <w:bCs/>
                <w:sz w:val="18"/>
                <w:szCs w:val="18"/>
              </w:rPr>
              <w:t>romoter</w:t>
            </w:r>
            <w:r w:rsidR="00404F7B">
              <w:rPr>
                <w:bCs/>
                <w:sz w:val="18"/>
                <w:szCs w:val="18"/>
              </w:rPr>
              <w:t xml:space="preserve"> amplicon sequencing (N=297), targeted exome sequencing (N=35), </w:t>
            </w:r>
            <w:r w:rsidRPr="00CE4E1F">
              <w:rPr>
                <w:bCs/>
                <w:sz w:val="18"/>
                <w:szCs w:val="18"/>
              </w:rPr>
              <w:t xml:space="preserve">RNA sequencing </w:t>
            </w:r>
            <w:r w:rsidR="00404F7B">
              <w:rPr>
                <w:bCs/>
                <w:sz w:val="18"/>
                <w:szCs w:val="18"/>
              </w:rPr>
              <w:t xml:space="preserve">(N=302) </w:t>
            </w:r>
            <w:r w:rsidRPr="00CE4E1F">
              <w:rPr>
                <w:bCs/>
                <w:sz w:val="18"/>
                <w:szCs w:val="18"/>
              </w:rPr>
              <w:t>and targeted gene expression profiling (</w:t>
            </w:r>
            <w:r w:rsidR="00657468">
              <w:rPr>
                <w:bCs/>
                <w:sz w:val="18"/>
                <w:szCs w:val="18"/>
              </w:rPr>
              <w:t>N</w:t>
            </w:r>
            <w:r w:rsidRPr="00CE4E1F">
              <w:rPr>
                <w:bCs/>
                <w:sz w:val="18"/>
                <w:szCs w:val="18"/>
              </w:rPr>
              <w:t>=3</w:t>
            </w:r>
            <w:r w:rsidR="00404F7B">
              <w:rPr>
                <w:bCs/>
                <w:sz w:val="18"/>
                <w:szCs w:val="18"/>
              </w:rPr>
              <w:t>39</w:t>
            </w:r>
            <w:r w:rsidRPr="00CE4E1F">
              <w:rPr>
                <w:bCs/>
                <w:sz w:val="18"/>
                <w:szCs w:val="18"/>
              </w:rPr>
              <w:t>)</w:t>
            </w:r>
          </w:p>
        </w:tc>
        <w:tc>
          <w:tcPr>
            <w:tcW w:w="2035" w:type="dxa"/>
          </w:tcPr>
          <w:p w14:paraId="6894F244" w14:textId="79224FEC" w:rsidR="00065311" w:rsidRPr="00CE4E1F" w:rsidRDefault="00065311" w:rsidP="00742F09">
            <w:pPr>
              <w:spacing w:line="360" w:lineRule="auto"/>
              <w:contextualSpacing/>
              <w:jc w:val="both"/>
              <w:rPr>
                <w:bCs/>
                <w:sz w:val="18"/>
                <w:szCs w:val="18"/>
              </w:rPr>
            </w:pPr>
            <w:r w:rsidRPr="00CE4E1F">
              <w:rPr>
                <w:bCs/>
                <w:sz w:val="18"/>
                <w:szCs w:val="18"/>
              </w:rPr>
              <w:t xml:space="preserve">Clinical and analytical validation (Figures </w:t>
            </w:r>
            <w:r w:rsidR="009F254E">
              <w:rPr>
                <w:bCs/>
                <w:sz w:val="18"/>
                <w:szCs w:val="18"/>
              </w:rPr>
              <w:t>2</w:t>
            </w:r>
            <w:r w:rsidRPr="00CE4E1F">
              <w:rPr>
                <w:bCs/>
                <w:sz w:val="18"/>
                <w:szCs w:val="18"/>
              </w:rPr>
              <w:t>-5</w:t>
            </w:r>
            <w:r w:rsidR="00131F6C">
              <w:rPr>
                <w:bCs/>
                <w:sz w:val="18"/>
                <w:szCs w:val="18"/>
              </w:rPr>
              <w:t xml:space="preserve">, </w:t>
            </w:r>
            <w:r w:rsidRPr="00CE4E1F">
              <w:rPr>
                <w:bCs/>
                <w:sz w:val="18"/>
                <w:szCs w:val="18"/>
              </w:rPr>
              <w:t>S4-8)</w:t>
            </w:r>
          </w:p>
        </w:tc>
        <w:tc>
          <w:tcPr>
            <w:tcW w:w="1705" w:type="dxa"/>
          </w:tcPr>
          <w:p w14:paraId="40FAC628" w14:textId="6666A7C5" w:rsidR="00065311" w:rsidRPr="00CE4E1F" w:rsidRDefault="00065311" w:rsidP="00742F09">
            <w:pPr>
              <w:spacing w:line="360" w:lineRule="auto"/>
              <w:contextualSpacing/>
              <w:jc w:val="both"/>
              <w:rPr>
                <w:bCs/>
                <w:sz w:val="18"/>
                <w:szCs w:val="18"/>
              </w:rPr>
            </w:pPr>
            <w:r w:rsidRPr="00CE4E1F">
              <w:rPr>
                <w:bCs/>
                <w:sz w:val="18"/>
                <w:szCs w:val="18"/>
              </w:rPr>
              <w:t>PMID 35534562</w:t>
            </w:r>
            <w:r w:rsidR="00234A82">
              <w:rPr>
                <w:bCs/>
                <w:sz w:val="18"/>
                <w:szCs w:val="18"/>
              </w:rPr>
              <w:t xml:space="preserve"> and</w:t>
            </w:r>
            <w:r w:rsidR="009F254E">
              <w:rPr>
                <w:bCs/>
                <w:sz w:val="18"/>
                <w:szCs w:val="18"/>
              </w:rPr>
              <w:t xml:space="preserve"> </w:t>
            </w:r>
            <w:r w:rsidR="00404F7B" w:rsidRPr="00404F7B">
              <w:rPr>
                <w:bCs/>
                <w:sz w:val="18"/>
                <w:szCs w:val="18"/>
              </w:rPr>
              <w:t>36227281</w:t>
            </w:r>
            <w:r w:rsidR="00234A82">
              <w:rPr>
                <w:bCs/>
                <w:sz w:val="18"/>
                <w:szCs w:val="18"/>
              </w:rPr>
              <w:t>,</w:t>
            </w:r>
            <w:r w:rsidR="00404F7B">
              <w:rPr>
                <w:bCs/>
                <w:sz w:val="18"/>
                <w:szCs w:val="18"/>
              </w:rPr>
              <w:t xml:space="preserve"> </w:t>
            </w:r>
            <w:r w:rsidR="00E02496">
              <w:rPr>
                <w:bCs/>
                <w:sz w:val="18"/>
                <w:szCs w:val="18"/>
              </w:rPr>
              <w:t xml:space="preserve">NCBI GEO accession numbers </w:t>
            </w:r>
            <w:r w:rsidR="00B2133D" w:rsidRPr="00CE4E1F">
              <w:rPr>
                <w:bCs/>
                <w:sz w:val="18"/>
                <w:szCs w:val="18"/>
              </w:rPr>
              <w:t>GSE212666</w:t>
            </w:r>
            <w:r w:rsidR="00E02496">
              <w:rPr>
                <w:bCs/>
                <w:sz w:val="18"/>
                <w:szCs w:val="18"/>
              </w:rPr>
              <w:t xml:space="preserve"> and</w:t>
            </w:r>
            <w:r w:rsidR="00962B43">
              <w:rPr>
                <w:bCs/>
                <w:sz w:val="18"/>
                <w:szCs w:val="18"/>
              </w:rPr>
              <w:t xml:space="preserve"> </w:t>
            </w:r>
            <w:r w:rsidR="00962B43" w:rsidRPr="00962B43">
              <w:rPr>
                <w:bCs/>
                <w:sz w:val="18"/>
                <w:szCs w:val="18"/>
              </w:rPr>
              <w:t>GSE221029</w:t>
            </w:r>
            <w:r w:rsidR="00E02496">
              <w:rPr>
                <w:bCs/>
                <w:sz w:val="18"/>
                <w:szCs w:val="18"/>
              </w:rPr>
              <w:t>, NCBI SRA accession number</w:t>
            </w:r>
            <w:r w:rsidR="0064091B">
              <w:rPr>
                <w:bCs/>
                <w:sz w:val="18"/>
                <w:szCs w:val="18"/>
              </w:rPr>
              <w:t>s</w:t>
            </w:r>
            <w:r w:rsidR="00E02496">
              <w:rPr>
                <w:bCs/>
                <w:sz w:val="18"/>
                <w:szCs w:val="18"/>
              </w:rPr>
              <w:t xml:space="preserve"> </w:t>
            </w:r>
            <w:r w:rsidR="00A74CCA" w:rsidRPr="0064091B">
              <w:rPr>
                <w:bCs/>
                <w:sz w:val="18"/>
                <w:szCs w:val="18"/>
              </w:rPr>
              <w:t>PRJNA916225</w:t>
            </w:r>
            <w:r w:rsidR="0064091B">
              <w:rPr>
                <w:bCs/>
                <w:sz w:val="18"/>
                <w:szCs w:val="18"/>
              </w:rPr>
              <w:t xml:space="preserve"> and</w:t>
            </w:r>
            <w:r w:rsidR="00A74CCA" w:rsidRPr="0064091B">
              <w:rPr>
                <w:bCs/>
                <w:sz w:val="18"/>
                <w:szCs w:val="18"/>
              </w:rPr>
              <w:t xml:space="preserve"> PRJNA916253</w:t>
            </w:r>
          </w:p>
        </w:tc>
      </w:tr>
      <w:tr w:rsidR="00A10BAB" w:rsidRPr="00CE4E1F" w14:paraId="15BE8FE7" w14:textId="6F90C997" w:rsidTr="00234A82">
        <w:trPr>
          <w:trHeight w:val="274"/>
        </w:trPr>
        <w:tc>
          <w:tcPr>
            <w:tcW w:w="1435" w:type="dxa"/>
          </w:tcPr>
          <w:p w14:paraId="05386961" w14:textId="74E0F728" w:rsidR="00065311" w:rsidRPr="00CE4E1F" w:rsidRDefault="00065311" w:rsidP="00742F09">
            <w:pPr>
              <w:spacing w:line="360" w:lineRule="auto"/>
              <w:contextualSpacing/>
              <w:jc w:val="both"/>
              <w:rPr>
                <w:b/>
                <w:sz w:val="18"/>
                <w:szCs w:val="18"/>
              </w:rPr>
            </w:pPr>
            <w:r w:rsidRPr="00CE4E1F">
              <w:rPr>
                <w:b/>
                <w:sz w:val="18"/>
                <w:szCs w:val="18"/>
              </w:rPr>
              <w:t>University of California San Francisco</w:t>
            </w:r>
          </w:p>
        </w:tc>
        <w:tc>
          <w:tcPr>
            <w:tcW w:w="1710" w:type="dxa"/>
          </w:tcPr>
          <w:p w14:paraId="2AAAE700" w14:textId="0E7AA8C9" w:rsidR="00065311" w:rsidRPr="00CE4E1F" w:rsidRDefault="00B2133D" w:rsidP="00742F09">
            <w:pPr>
              <w:spacing w:line="360" w:lineRule="auto"/>
              <w:contextualSpacing/>
              <w:jc w:val="both"/>
              <w:rPr>
                <w:bCs/>
                <w:sz w:val="18"/>
                <w:szCs w:val="18"/>
              </w:rPr>
            </w:pPr>
            <w:r w:rsidRPr="00CE4E1F">
              <w:rPr>
                <w:bCs/>
                <w:sz w:val="18"/>
                <w:szCs w:val="18"/>
              </w:rPr>
              <w:t>358 (158 FFPE, 200 frozen)</w:t>
            </w:r>
            <w:r w:rsidR="00065311" w:rsidRPr="00CE4E1F">
              <w:rPr>
                <w:bCs/>
                <w:sz w:val="18"/>
                <w:szCs w:val="18"/>
              </w:rPr>
              <w:t xml:space="preserve"> </w:t>
            </w:r>
          </w:p>
        </w:tc>
        <w:tc>
          <w:tcPr>
            <w:tcW w:w="2465" w:type="dxa"/>
          </w:tcPr>
          <w:p w14:paraId="14BA5622" w14:textId="1631CFF4" w:rsidR="00065311" w:rsidRPr="00CE4E1F" w:rsidRDefault="00B2133D" w:rsidP="00742F09">
            <w:pPr>
              <w:spacing w:line="360" w:lineRule="auto"/>
              <w:contextualSpacing/>
              <w:jc w:val="both"/>
              <w:rPr>
                <w:bCs/>
                <w:sz w:val="18"/>
                <w:szCs w:val="18"/>
              </w:rPr>
            </w:pPr>
            <w:r w:rsidRPr="00CE4E1F">
              <w:rPr>
                <w:bCs/>
                <w:sz w:val="18"/>
                <w:szCs w:val="18"/>
              </w:rPr>
              <w:t>Clinical</w:t>
            </w:r>
            <w:r w:rsidR="008A321E">
              <w:rPr>
                <w:bCs/>
                <w:sz w:val="18"/>
                <w:szCs w:val="18"/>
              </w:rPr>
              <w:t xml:space="preserve"> follow up</w:t>
            </w:r>
            <w:r w:rsidRPr="00CE4E1F">
              <w:rPr>
                <w:bCs/>
                <w:sz w:val="18"/>
                <w:szCs w:val="18"/>
              </w:rPr>
              <w:t>, DNA methylation profiling (</w:t>
            </w:r>
            <w:r w:rsidR="00657468">
              <w:rPr>
                <w:bCs/>
                <w:sz w:val="18"/>
                <w:szCs w:val="18"/>
              </w:rPr>
              <w:t>N</w:t>
            </w:r>
            <w:r w:rsidRPr="00CE4E1F">
              <w:rPr>
                <w:bCs/>
                <w:sz w:val="18"/>
                <w:szCs w:val="18"/>
              </w:rPr>
              <w:t>=323),</w:t>
            </w:r>
            <w:r w:rsidR="00404F7B">
              <w:rPr>
                <w:bCs/>
                <w:sz w:val="18"/>
                <w:szCs w:val="18"/>
              </w:rPr>
              <w:t xml:space="preserve"> CNV and CDKN2A/B profiling (N=323),</w:t>
            </w:r>
            <w:r w:rsidRPr="00CE4E1F">
              <w:rPr>
                <w:bCs/>
                <w:sz w:val="18"/>
                <w:szCs w:val="18"/>
              </w:rPr>
              <w:t xml:space="preserve"> </w:t>
            </w:r>
            <w:r w:rsidR="00065311" w:rsidRPr="00CE4E1F">
              <w:rPr>
                <w:bCs/>
                <w:sz w:val="18"/>
                <w:szCs w:val="18"/>
              </w:rPr>
              <w:t>RNA sequencing (</w:t>
            </w:r>
            <w:r w:rsidR="00657468">
              <w:rPr>
                <w:bCs/>
                <w:sz w:val="18"/>
                <w:szCs w:val="18"/>
              </w:rPr>
              <w:t>N</w:t>
            </w:r>
            <w:r w:rsidR="00065311" w:rsidRPr="00CE4E1F">
              <w:rPr>
                <w:bCs/>
                <w:sz w:val="18"/>
                <w:szCs w:val="18"/>
              </w:rPr>
              <w:t>=200, 173 overlapping with the discovery cohort)</w:t>
            </w:r>
            <w:r w:rsidR="00657468">
              <w:rPr>
                <w:bCs/>
                <w:sz w:val="18"/>
                <w:szCs w:val="18"/>
              </w:rPr>
              <w:t xml:space="preserve">, targeted DNA sequencing </w:t>
            </w:r>
            <w:r w:rsidR="00294ED2">
              <w:rPr>
                <w:bCs/>
                <w:sz w:val="18"/>
                <w:szCs w:val="18"/>
              </w:rPr>
              <w:t xml:space="preserve">including the </w:t>
            </w:r>
            <w:r w:rsidR="00294ED2" w:rsidRPr="009C1654">
              <w:rPr>
                <w:bCs/>
                <w:i/>
                <w:iCs/>
                <w:sz w:val="18"/>
                <w:szCs w:val="18"/>
              </w:rPr>
              <w:t>TERT</w:t>
            </w:r>
            <w:r w:rsidR="00294ED2">
              <w:rPr>
                <w:bCs/>
                <w:sz w:val="18"/>
                <w:szCs w:val="18"/>
              </w:rPr>
              <w:t xml:space="preserve"> promoter </w:t>
            </w:r>
            <w:r w:rsidR="00657468">
              <w:rPr>
                <w:bCs/>
                <w:sz w:val="18"/>
                <w:szCs w:val="18"/>
              </w:rPr>
              <w:t>(N=171)</w:t>
            </w:r>
          </w:p>
        </w:tc>
        <w:tc>
          <w:tcPr>
            <w:tcW w:w="2035" w:type="dxa"/>
          </w:tcPr>
          <w:p w14:paraId="602F683B" w14:textId="7AC6FE1F" w:rsidR="00065311" w:rsidRPr="00CE4E1F" w:rsidRDefault="00F360EC" w:rsidP="00742F09">
            <w:pPr>
              <w:spacing w:line="360" w:lineRule="auto"/>
              <w:contextualSpacing/>
              <w:jc w:val="both"/>
              <w:rPr>
                <w:bCs/>
                <w:sz w:val="18"/>
                <w:szCs w:val="18"/>
              </w:rPr>
            </w:pPr>
            <w:r>
              <w:rPr>
                <w:bCs/>
                <w:sz w:val="18"/>
                <w:szCs w:val="18"/>
              </w:rPr>
              <w:t xml:space="preserve">Biomarker discovery </w:t>
            </w:r>
            <w:r w:rsidR="00B2133D" w:rsidRPr="00CE4E1F">
              <w:rPr>
                <w:bCs/>
                <w:sz w:val="18"/>
                <w:szCs w:val="18"/>
              </w:rPr>
              <w:t>and analytical validation (Figures 1</w:t>
            </w:r>
            <w:r w:rsidR="00131F6C">
              <w:rPr>
                <w:bCs/>
                <w:sz w:val="18"/>
                <w:szCs w:val="18"/>
              </w:rPr>
              <w:t xml:space="preserve">, </w:t>
            </w:r>
            <w:r w:rsidR="00B2133D" w:rsidRPr="00CE4E1F">
              <w:rPr>
                <w:bCs/>
                <w:sz w:val="18"/>
                <w:szCs w:val="18"/>
              </w:rPr>
              <w:t>S1-</w:t>
            </w:r>
            <w:r>
              <w:rPr>
                <w:bCs/>
                <w:sz w:val="18"/>
                <w:szCs w:val="18"/>
              </w:rPr>
              <w:t>4</w:t>
            </w:r>
            <w:r w:rsidR="00B2133D" w:rsidRPr="00CE4E1F">
              <w:rPr>
                <w:bCs/>
                <w:sz w:val="18"/>
                <w:szCs w:val="18"/>
              </w:rPr>
              <w:t>)</w:t>
            </w:r>
          </w:p>
        </w:tc>
        <w:tc>
          <w:tcPr>
            <w:tcW w:w="1705" w:type="dxa"/>
          </w:tcPr>
          <w:p w14:paraId="209296A0" w14:textId="43210FC4" w:rsidR="00065311" w:rsidRPr="0064091B" w:rsidRDefault="00065311" w:rsidP="00742F09">
            <w:pPr>
              <w:spacing w:line="360" w:lineRule="auto"/>
              <w:contextualSpacing/>
              <w:jc w:val="both"/>
              <w:rPr>
                <w:bCs/>
                <w:sz w:val="18"/>
                <w:szCs w:val="18"/>
              </w:rPr>
            </w:pPr>
            <w:r w:rsidRPr="0064091B">
              <w:rPr>
                <w:bCs/>
                <w:sz w:val="18"/>
                <w:szCs w:val="18"/>
              </w:rPr>
              <w:t>PMID 35534562</w:t>
            </w:r>
            <w:r w:rsidR="00234A82" w:rsidRPr="0064091B">
              <w:rPr>
                <w:bCs/>
                <w:sz w:val="18"/>
                <w:szCs w:val="18"/>
              </w:rPr>
              <w:t xml:space="preserve"> and</w:t>
            </w:r>
            <w:r w:rsidR="00404F7B" w:rsidRPr="0064091B">
              <w:rPr>
                <w:bCs/>
                <w:sz w:val="18"/>
                <w:szCs w:val="18"/>
              </w:rPr>
              <w:t xml:space="preserve"> 36227281</w:t>
            </w:r>
            <w:r w:rsidR="00234A82" w:rsidRPr="0064091B">
              <w:rPr>
                <w:bCs/>
                <w:sz w:val="18"/>
                <w:szCs w:val="18"/>
              </w:rPr>
              <w:t>,</w:t>
            </w:r>
            <w:r w:rsidRPr="0064091B">
              <w:rPr>
                <w:bCs/>
                <w:sz w:val="18"/>
                <w:szCs w:val="18"/>
              </w:rPr>
              <w:t xml:space="preserve"> </w:t>
            </w:r>
            <w:r w:rsidR="00E02496" w:rsidRPr="0064091B">
              <w:rPr>
                <w:bCs/>
                <w:sz w:val="18"/>
                <w:szCs w:val="18"/>
              </w:rPr>
              <w:t xml:space="preserve">NCBI GEO accession numbers </w:t>
            </w:r>
            <w:r w:rsidR="00B2133D" w:rsidRPr="0064091B">
              <w:rPr>
                <w:bCs/>
                <w:sz w:val="18"/>
                <w:szCs w:val="18"/>
              </w:rPr>
              <w:t>GSE183656</w:t>
            </w:r>
            <w:r w:rsidR="00E02496" w:rsidRPr="0064091B">
              <w:rPr>
                <w:bCs/>
                <w:sz w:val="18"/>
                <w:szCs w:val="18"/>
              </w:rPr>
              <w:t xml:space="preserve"> and</w:t>
            </w:r>
            <w:r w:rsidR="00962B43" w:rsidRPr="0064091B">
              <w:rPr>
                <w:bCs/>
                <w:sz w:val="18"/>
                <w:szCs w:val="18"/>
              </w:rPr>
              <w:t xml:space="preserve"> GSE221029</w:t>
            </w:r>
            <w:r w:rsidR="00E02496" w:rsidRPr="0064091B">
              <w:rPr>
                <w:bCs/>
                <w:sz w:val="18"/>
                <w:szCs w:val="18"/>
              </w:rPr>
              <w:t xml:space="preserve">, NCBI SRA </w:t>
            </w:r>
            <w:r w:rsidR="00A74CCA" w:rsidRPr="0064091B">
              <w:rPr>
                <w:bCs/>
                <w:sz w:val="18"/>
                <w:szCs w:val="18"/>
              </w:rPr>
              <w:t xml:space="preserve">project </w:t>
            </w:r>
            <w:r w:rsidR="00E02496" w:rsidRPr="0064091B">
              <w:rPr>
                <w:bCs/>
                <w:sz w:val="18"/>
                <w:szCs w:val="18"/>
              </w:rPr>
              <w:t>number</w:t>
            </w:r>
            <w:r w:rsidR="00A74CCA" w:rsidRPr="0064091B">
              <w:rPr>
                <w:bCs/>
                <w:sz w:val="18"/>
                <w:szCs w:val="18"/>
              </w:rPr>
              <w:t xml:space="preserve"> PRJNA916253</w:t>
            </w:r>
          </w:p>
        </w:tc>
      </w:tr>
      <w:tr w:rsidR="00A10BAB" w:rsidRPr="00CE4E1F" w14:paraId="325CE734" w14:textId="32A939D7" w:rsidTr="00234A82">
        <w:trPr>
          <w:trHeight w:val="274"/>
        </w:trPr>
        <w:tc>
          <w:tcPr>
            <w:tcW w:w="1435" w:type="dxa"/>
          </w:tcPr>
          <w:p w14:paraId="4AA35D0B" w14:textId="08273A8C" w:rsidR="00065311" w:rsidRPr="00CE4E1F" w:rsidRDefault="00065311" w:rsidP="00742F09">
            <w:pPr>
              <w:spacing w:line="360" w:lineRule="auto"/>
              <w:contextualSpacing/>
              <w:jc w:val="both"/>
              <w:rPr>
                <w:b/>
                <w:sz w:val="18"/>
                <w:szCs w:val="18"/>
              </w:rPr>
            </w:pPr>
            <w:r w:rsidRPr="00CE4E1F">
              <w:rPr>
                <w:b/>
                <w:sz w:val="18"/>
                <w:szCs w:val="18"/>
              </w:rPr>
              <w:t xml:space="preserve">Baylor </w:t>
            </w:r>
            <w:r w:rsidR="00657468">
              <w:rPr>
                <w:b/>
                <w:sz w:val="18"/>
                <w:szCs w:val="18"/>
              </w:rPr>
              <w:t>College of Medicine</w:t>
            </w:r>
          </w:p>
        </w:tc>
        <w:tc>
          <w:tcPr>
            <w:tcW w:w="1710" w:type="dxa"/>
          </w:tcPr>
          <w:p w14:paraId="589AEDE3" w14:textId="57E7DEF0" w:rsidR="00065311" w:rsidRPr="00CE4E1F" w:rsidRDefault="00FD1518" w:rsidP="00742F09">
            <w:pPr>
              <w:spacing w:line="360" w:lineRule="auto"/>
              <w:contextualSpacing/>
              <w:jc w:val="both"/>
              <w:rPr>
                <w:bCs/>
                <w:sz w:val="18"/>
                <w:szCs w:val="18"/>
              </w:rPr>
            </w:pPr>
            <w:r w:rsidRPr="00CE4E1F">
              <w:rPr>
                <w:bCs/>
                <w:sz w:val="18"/>
                <w:szCs w:val="18"/>
              </w:rPr>
              <w:t>1</w:t>
            </w:r>
            <w:r w:rsidR="00FC6BC2" w:rsidRPr="00CE4E1F">
              <w:rPr>
                <w:bCs/>
                <w:sz w:val="18"/>
                <w:szCs w:val="18"/>
              </w:rPr>
              <w:t>90</w:t>
            </w:r>
            <w:r w:rsidRPr="00CE4E1F">
              <w:rPr>
                <w:bCs/>
                <w:sz w:val="18"/>
                <w:szCs w:val="18"/>
              </w:rPr>
              <w:t xml:space="preserve"> frozen</w:t>
            </w:r>
          </w:p>
        </w:tc>
        <w:tc>
          <w:tcPr>
            <w:tcW w:w="2465" w:type="dxa"/>
          </w:tcPr>
          <w:p w14:paraId="18FDBFC1" w14:textId="7EEC573D" w:rsidR="00065311" w:rsidRPr="00CE4E1F" w:rsidRDefault="008A321E" w:rsidP="00742F09">
            <w:pPr>
              <w:spacing w:line="360" w:lineRule="auto"/>
              <w:contextualSpacing/>
              <w:jc w:val="both"/>
              <w:rPr>
                <w:bCs/>
                <w:sz w:val="18"/>
                <w:szCs w:val="18"/>
              </w:rPr>
            </w:pPr>
            <w:r>
              <w:rPr>
                <w:bCs/>
                <w:sz w:val="18"/>
                <w:szCs w:val="18"/>
              </w:rPr>
              <w:t xml:space="preserve">Clinical follow up, </w:t>
            </w:r>
            <w:r w:rsidR="00065311" w:rsidRPr="00CE4E1F">
              <w:rPr>
                <w:bCs/>
                <w:sz w:val="18"/>
                <w:szCs w:val="18"/>
              </w:rPr>
              <w:t>RNA sequencing (</w:t>
            </w:r>
            <w:r w:rsidR="00A10BAB">
              <w:rPr>
                <w:bCs/>
                <w:sz w:val="18"/>
                <w:szCs w:val="18"/>
              </w:rPr>
              <w:t>N</w:t>
            </w:r>
            <w:r w:rsidR="00065311" w:rsidRPr="00CE4E1F">
              <w:rPr>
                <w:bCs/>
                <w:sz w:val="18"/>
                <w:szCs w:val="18"/>
              </w:rPr>
              <w:t>=</w:t>
            </w:r>
            <w:r w:rsidR="00FC6BC2" w:rsidRPr="00CE4E1F">
              <w:rPr>
                <w:bCs/>
                <w:sz w:val="18"/>
                <w:szCs w:val="18"/>
              </w:rPr>
              <w:t>110</w:t>
            </w:r>
            <w:r w:rsidR="00065311" w:rsidRPr="00CE4E1F">
              <w:rPr>
                <w:bCs/>
                <w:sz w:val="18"/>
                <w:szCs w:val="18"/>
              </w:rPr>
              <w:t>) and targeted gene expression profiling (</w:t>
            </w:r>
            <w:r w:rsidR="00A10BAB">
              <w:rPr>
                <w:bCs/>
                <w:sz w:val="18"/>
                <w:szCs w:val="18"/>
              </w:rPr>
              <w:t>N</w:t>
            </w:r>
            <w:r w:rsidR="00065311" w:rsidRPr="00CE4E1F">
              <w:rPr>
                <w:bCs/>
                <w:sz w:val="18"/>
                <w:szCs w:val="18"/>
              </w:rPr>
              <w:t>=</w:t>
            </w:r>
            <w:r w:rsidR="00FC6BC2" w:rsidRPr="00CE4E1F">
              <w:rPr>
                <w:bCs/>
                <w:sz w:val="18"/>
                <w:szCs w:val="18"/>
              </w:rPr>
              <w:t>116</w:t>
            </w:r>
            <w:r w:rsidR="00065311" w:rsidRPr="00CE4E1F">
              <w:rPr>
                <w:bCs/>
                <w:sz w:val="18"/>
                <w:szCs w:val="18"/>
              </w:rPr>
              <w:t>)</w:t>
            </w:r>
            <w:r w:rsidR="00A10BAB">
              <w:rPr>
                <w:bCs/>
                <w:sz w:val="18"/>
                <w:szCs w:val="18"/>
              </w:rPr>
              <w:t xml:space="preserve"> with </w:t>
            </w:r>
            <w:r w:rsidR="00404F7B">
              <w:rPr>
                <w:bCs/>
                <w:sz w:val="18"/>
                <w:szCs w:val="18"/>
              </w:rPr>
              <w:t>partial</w:t>
            </w:r>
            <w:r w:rsidR="00A10BAB">
              <w:rPr>
                <w:bCs/>
                <w:sz w:val="18"/>
                <w:szCs w:val="18"/>
              </w:rPr>
              <w:t xml:space="preserve"> </w:t>
            </w:r>
            <w:r w:rsidR="00FC6BC2" w:rsidRPr="00CE4E1F">
              <w:rPr>
                <w:bCs/>
                <w:sz w:val="18"/>
                <w:szCs w:val="18"/>
              </w:rPr>
              <w:t>overlap (</w:t>
            </w:r>
            <w:r w:rsidR="00A10BAB">
              <w:rPr>
                <w:bCs/>
                <w:sz w:val="18"/>
                <w:szCs w:val="18"/>
              </w:rPr>
              <w:t>N</w:t>
            </w:r>
            <w:r w:rsidR="00FC6BC2" w:rsidRPr="00CE4E1F">
              <w:rPr>
                <w:bCs/>
                <w:sz w:val="18"/>
                <w:szCs w:val="18"/>
              </w:rPr>
              <w:t>=36)</w:t>
            </w:r>
          </w:p>
        </w:tc>
        <w:tc>
          <w:tcPr>
            <w:tcW w:w="2035" w:type="dxa"/>
          </w:tcPr>
          <w:p w14:paraId="78355DD0" w14:textId="5BF82C3B" w:rsidR="00065311" w:rsidRPr="00CE4E1F" w:rsidRDefault="00065311" w:rsidP="00742F09">
            <w:pPr>
              <w:spacing w:line="360" w:lineRule="auto"/>
              <w:contextualSpacing/>
              <w:jc w:val="both"/>
              <w:rPr>
                <w:bCs/>
                <w:sz w:val="18"/>
                <w:szCs w:val="18"/>
              </w:rPr>
            </w:pPr>
            <w:r w:rsidRPr="00CE4E1F">
              <w:rPr>
                <w:bCs/>
                <w:sz w:val="18"/>
                <w:szCs w:val="18"/>
              </w:rPr>
              <w:t xml:space="preserve">Clinical and analytical validation </w:t>
            </w:r>
            <w:r w:rsidR="002257BE" w:rsidRPr="00CE4E1F">
              <w:rPr>
                <w:bCs/>
                <w:sz w:val="18"/>
                <w:szCs w:val="18"/>
              </w:rPr>
              <w:t xml:space="preserve">(Figures </w:t>
            </w:r>
            <w:r w:rsidR="002257BE">
              <w:rPr>
                <w:bCs/>
                <w:sz w:val="18"/>
                <w:szCs w:val="18"/>
              </w:rPr>
              <w:t>2</w:t>
            </w:r>
            <w:r w:rsidR="002257BE" w:rsidRPr="00CE4E1F">
              <w:rPr>
                <w:bCs/>
                <w:sz w:val="18"/>
                <w:szCs w:val="18"/>
              </w:rPr>
              <w:t>-5</w:t>
            </w:r>
            <w:r w:rsidR="00131F6C">
              <w:rPr>
                <w:bCs/>
                <w:sz w:val="18"/>
                <w:szCs w:val="18"/>
              </w:rPr>
              <w:t xml:space="preserve">, </w:t>
            </w:r>
            <w:r w:rsidR="002257BE" w:rsidRPr="00CE4E1F">
              <w:rPr>
                <w:bCs/>
                <w:sz w:val="18"/>
                <w:szCs w:val="18"/>
              </w:rPr>
              <w:t>S4-8)</w:t>
            </w:r>
          </w:p>
        </w:tc>
        <w:tc>
          <w:tcPr>
            <w:tcW w:w="1705" w:type="dxa"/>
          </w:tcPr>
          <w:p w14:paraId="51A89A15" w14:textId="1183265B" w:rsidR="00E81BBF" w:rsidRPr="0064091B" w:rsidRDefault="00947170" w:rsidP="00E81BBF">
            <w:pPr>
              <w:spacing w:line="360" w:lineRule="auto"/>
              <w:contextualSpacing/>
              <w:jc w:val="both"/>
              <w:rPr>
                <w:bCs/>
                <w:sz w:val="18"/>
                <w:szCs w:val="18"/>
              </w:rPr>
            </w:pPr>
            <w:r w:rsidRPr="0064091B">
              <w:rPr>
                <w:bCs/>
                <w:sz w:val="18"/>
                <w:szCs w:val="18"/>
              </w:rPr>
              <w:t>PMID 31591222</w:t>
            </w:r>
            <w:r w:rsidR="0064091B">
              <w:rPr>
                <w:bCs/>
                <w:sz w:val="18"/>
                <w:szCs w:val="18"/>
              </w:rPr>
              <w:t xml:space="preserve"> and </w:t>
            </w:r>
            <w:r w:rsidR="00E81BBF" w:rsidRPr="0064091B">
              <w:rPr>
                <w:bCs/>
                <w:sz w:val="18"/>
                <w:szCs w:val="18"/>
              </w:rPr>
              <w:t>35108039</w:t>
            </w:r>
            <w:r w:rsidR="0064091B">
              <w:rPr>
                <w:bCs/>
                <w:sz w:val="18"/>
                <w:szCs w:val="18"/>
              </w:rPr>
              <w:t>,</w:t>
            </w:r>
            <w:r w:rsidR="003219F2" w:rsidRPr="0064091B">
              <w:rPr>
                <w:bCs/>
                <w:sz w:val="18"/>
                <w:szCs w:val="18"/>
              </w:rPr>
              <w:t xml:space="preserve"> </w:t>
            </w:r>
            <w:r w:rsidR="008A321E" w:rsidRPr="0064091B">
              <w:rPr>
                <w:bCs/>
                <w:sz w:val="18"/>
                <w:szCs w:val="18"/>
              </w:rPr>
              <w:t xml:space="preserve">NCBI GEO accession numbers </w:t>
            </w:r>
            <w:r w:rsidR="00E81BBF" w:rsidRPr="0064091B">
              <w:rPr>
                <w:bCs/>
                <w:sz w:val="18"/>
                <w:szCs w:val="18"/>
              </w:rPr>
              <w:t>GSE189673</w:t>
            </w:r>
          </w:p>
          <w:p w14:paraId="5AECE8F8" w14:textId="01A1F9F8" w:rsidR="003219F2" w:rsidRPr="0064091B" w:rsidRDefault="008A321E" w:rsidP="00742F09">
            <w:pPr>
              <w:spacing w:line="360" w:lineRule="auto"/>
              <w:contextualSpacing/>
              <w:jc w:val="both"/>
              <w:rPr>
                <w:bCs/>
                <w:sz w:val="18"/>
                <w:szCs w:val="18"/>
              </w:rPr>
            </w:pPr>
            <w:r w:rsidRPr="0064091B">
              <w:rPr>
                <w:bCs/>
                <w:sz w:val="18"/>
                <w:szCs w:val="18"/>
              </w:rPr>
              <w:t xml:space="preserve">and </w:t>
            </w:r>
            <w:r w:rsidR="00B0304B" w:rsidRPr="0064091B">
              <w:rPr>
                <w:bCs/>
                <w:sz w:val="18"/>
                <w:szCs w:val="18"/>
              </w:rPr>
              <w:t>GSE222054</w:t>
            </w:r>
          </w:p>
          <w:p w14:paraId="211CAC0C" w14:textId="46F133A8" w:rsidR="00065311" w:rsidRPr="0064091B" w:rsidRDefault="00065311" w:rsidP="00742F09">
            <w:pPr>
              <w:spacing w:line="360" w:lineRule="auto"/>
              <w:contextualSpacing/>
              <w:jc w:val="both"/>
              <w:rPr>
                <w:bCs/>
                <w:sz w:val="18"/>
                <w:szCs w:val="18"/>
              </w:rPr>
            </w:pPr>
          </w:p>
        </w:tc>
      </w:tr>
      <w:tr w:rsidR="00A10BAB" w:rsidRPr="00CE4E1F" w14:paraId="665B4282" w14:textId="64011203" w:rsidTr="00234A82">
        <w:trPr>
          <w:trHeight w:val="274"/>
        </w:trPr>
        <w:tc>
          <w:tcPr>
            <w:tcW w:w="1435" w:type="dxa"/>
          </w:tcPr>
          <w:p w14:paraId="311E8C6F" w14:textId="6DDE1F24" w:rsidR="00065311" w:rsidRPr="00CE4E1F" w:rsidRDefault="00065311" w:rsidP="00742F09">
            <w:pPr>
              <w:spacing w:line="360" w:lineRule="auto"/>
              <w:contextualSpacing/>
              <w:jc w:val="both"/>
              <w:rPr>
                <w:b/>
                <w:sz w:val="18"/>
                <w:szCs w:val="18"/>
              </w:rPr>
            </w:pPr>
            <w:r w:rsidRPr="00CE4E1F">
              <w:rPr>
                <w:b/>
                <w:sz w:val="18"/>
                <w:szCs w:val="18"/>
              </w:rPr>
              <w:t>Heide</w:t>
            </w:r>
            <w:r w:rsidR="00657468">
              <w:rPr>
                <w:b/>
                <w:sz w:val="18"/>
                <w:szCs w:val="18"/>
              </w:rPr>
              <w:t>l</w:t>
            </w:r>
            <w:r w:rsidRPr="00CE4E1F">
              <w:rPr>
                <w:b/>
                <w:sz w:val="18"/>
                <w:szCs w:val="18"/>
              </w:rPr>
              <w:t>berg University</w:t>
            </w:r>
            <w:r w:rsidR="00D1020B">
              <w:rPr>
                <w:b/>
                <w:sz w:val="18"/>
                <w:szCs w:val="18"/>
              </w:rPr>
              <w:t xml:space="preserve"> and Medical University of Vienna</w:t>
            </w:r>
          </w:p>
        </w:tc>
        <w:tc>
          <w:tcPr>
            <w:tcW w:w="1710" w:type="dxa"/>
          </w:tcPr>
          <w:p w14:paraId="356B401D" w14:textId="19DE7BA6" w:rsidR="00065311" w:rsidRPr="00CE4E1F" w:rsidRDefault="008460C5" w:rsidP="00742F09">
            <w:pPr>
              <w:spacing w:line="360" w:lineRule="auto"/>
              <w:contextualSpacing/>
              <w:jc w:val="both"/>
              <w:rPr>
                <w:bCs/>
                <w:sz w:val="18"/>
                <w:szCs w:val="18"/>
              </w:rPr>
            </w:pPr>
            <w:r w:rsidRPr="00CE4E1F">
              <w:rPr>
                <w:bCs/>
                <w:sz w:val="18"/>
                <w:szCs w:val="18"/>
              </w:rPr>
              <w:t>137</w:t>
            </w:r>
            <w:r w:rsidR="00065311" w:rsidRPr="00CE4E1F">
              <w:rPr>
                <w:bCs/>
                <w:sz w:val="18"/>
                <w:szCs w:val="18"/>
              </w:rPr>
              <w:t xml:space="preserve"> FFPE</w:t>
            </w:r>
          </w:p>
        </w:tc>
        <w:tc>
          <w:tcPr>
            <w:tcW w:w="2465" w:type="dxa"/>
          </w:tcPr>
          <w:p w14:paraId="219DB88A" w14:textId="7D8142F7" w:rsidR="00065311" w:rsidRPr="00CE4E1F" w:rsidRDefault="008460C5" w:rsidP="00742F09">
            <w:pPr>
              <w:spacing w:line="360" w:lineRule="auto"/>
              <w:contextualSpacing/>
              <w:jc w:val="both"/>
              <w:rPr>
                <w:bCs/>
                <w:sz w:val="18"/>
                <w:szCs w:val="18"/>
              </w:rPr>
            </w:pPr>
            <w:r w:rsidRPr="00CE4E1F">
              <w:rPr>
                <w:bCs/>
                <w:sz w:val="18"/>
                <w:szCs w:val="18"/>
              </w:rPr>
              <w:t>RNA sequencing (</w:t>
            </w:r>
            <w:r w:rsidR="002257BE">
              <w:rPr>
                <w:bCs/>
                <w:sz w:val="18"/>
                <w:szCs w:val="18"/>
              </w:rPr>
              <w:t>N</w:t>
            </w:r>
            <w:r w:rsidRPr="00CE4E1F">
              <w:rPr>
                <w:bCs/>
                <w:sz w:val="18"/>
                <w:szCs w:val="18"/>
              </w:rPr>
              <w:t xml:space="preserve">=64 without clinical </w:t>
            </w:r>
            <w:r w:rsidR="008A321E">
              <w:rPr>
                <w:bCs/>
                <w:sz w:val="18"/>
                <w:szCs w:val="18"/>
              </w:rPr>
              <w:t>follow up</w:t>
            </w:r>
            <w:r w:rsidR="008A321E" w:rsidRPr="00CE4E1F">
              <w:rPr>
                <w:bCs/>
                <w:sz w:val="18"/>
                <w:szCs w:val="18"/>
              </w:rPr>
              <w:t xml:space="preserve"> </w:t>
            </w:r>
            <w:r w:rsidRPr="00CE4E1F">
              <w:rPr>
                <w:bCs/>
                <w:sz w:val="18"/>
                <w:szCs w:val="18"/>
              </w:rPr>
              <w:t>data) and targeted gene expression profiling (</w:t>
            </w:r>
            <w:r w:rsidR="002257BE">
              <w:rPr>
                <w:bCs/>
                <w:sz w:val="18"/>
                <w:szCs w:val="18"/>
              </w:rPr>
              <w:t>N</w:t>
            </w:r>
            <w:r w:rsidRPr="00CE4E1F">
              <w:rPr>
                <w:bCs/>
                <w:sz w:val="18"/>
                <w:szCs w:val="18"/>
              </w:rPr>
              <w:t xml:space="preserve">=73 with clinical </w:t>
            </w:r>
            <w:r w:rsidR="008A321E">
              <w:rPr>
                <w:bCs/>
                <w:sz w:val="18"/>
                <w:szCs w:val="18"/>
              </w:rPr>
              <w:t>follow up</w:t>
            </w:r>
            <w:r w:rsidR="008A321E" w:rsidRPr="00CE4E1F">
              <w:rPr>
                <w:bCs/>
                <w:sz w:val="18"/>
                <w:szCs w:val="18"/>
              </w:rPr>
              <w:t xml:space="preserve"> </w:t>
            </w:r>
            <w:r w:rsidRPr="00CE4E1F">
              <w:rPr>
                <w:bCs/>
                <w:sz w:val="18"/>
                <w:szCs w:val="18"/>
              </w:rPr>
              <w:t>data)</w:t>
            </w:r>
            <w:r w:rsidR="00404F7B">
              <w:rPr>
                <w:bCs/>
                <w:sz w:val="18"/>
                <w:szCs w:val="18"/>
              </w:rPr>
              <w:t xml:space="preserve">, DNA </w:t>
            </w:r>
            <w:r w:rsidR="00404F7B">
              <w:rPr>
                <w:bCs/>
                <w:sz w:val="18"/>
                <w:szCs w:val="18"/>
              </w:rPr>
              <w:lastRenderedPageBreak/>
              <w:t xml:space="preserve">methylation profiling (N=73) for </w:t>
            </w:r>
            <w:r w:rsidR="008A321E">
              <w:rPr>
                <w:bCs/>
                <w:sz w:val="18"/>
                <w:szCs w:val="18"/>
              </w:rPr>
              <w:t>i</w:t>
            </w:r>
            <w:r w:rsidR="00404F7B">
              <w:rPr>
                <w:bCs/>
                <w:sz w:val="18"/>
                <w:szCs w:val="18"/>
              </w:rPr>
              <w:t xml:space="preserve">ntegrated </w:t>
            </w:r>
            <w:r w:rsidR="008A321E">
              <w:rPr>
                <w:bCs/>
                <w:sz w:val="18"/>
                <w:szCs w:val="18"/>
              </w:rPr>
              <w:t>s</w:t>
            </w:r>
            <w:r w:rsidR="00404F7B">
              <w:rPr>
                <w:bCs/>
                <w:sz w:val="18"/>
                <w:szCs w:val="18"/>
              </w:rPr>
              <w:t xml:space="preserve">core and DNA </w:t>
            </w:r>
            <w:r w:rsidR="008A321E">
              <w:rPr>
                <w:bCs/>
                <w:sz w:val="18"/>
                <w:szCs w:val="18"/>
              </w:rPr>
              <w:t>m</w:t>
            </w:r>
            <w:r w:rsidR="00404F7B">
              <w:rPr>
                <w:bCs/>
                <w:sz w:val="18"/>
                <w:szCs w:val="18"/>
              </w:rPr>
              <w:t xml:space="preserve">ethylation </w:t>
            </w:r>
            <w:r w:rsidR="008A321E">
              <w:rPr>
                <w:bCs/>
                <w:sz w:val="18"/>
                <w:szCs w:val="18"/>
              </w:rPr>
              <w:t>f</w:t>
            </w:r>
            <w:r w:rsidR="00404F7B">
              <w:rPr>
                <w:bCs/>
                <w:sz w:val="18"/>
                <w:szCs w:val="18"/>
              </w:rPr>
              <w:t>amil</w:t>
            </w:r>
            <w:r w:rsidR="008A321E">
              <w:rPr>
                <w:bCs/>
                <w:sz w:val="18"/>
                <w:szCs w:val="18"/>
              </w:rPr>
              <w:t>ies</w:t>
            </w:r>
          </w:p>
        </w:tc>
        <w:tc>
          <w:tcPr>
            <w:tcW w:w="2035" w:type="dxa"/>
          </w:tcPr>
          <w:p w14:paraId="7BFE504B" w14:textId="1D106213" w:rsidR="00065311" w:rsidRPr="00CE4E1F" w:rsidRDefault="00065311" w:rsidP="00742F09">
            <w:pPr>
              <w:spacing w:line="360" w:lineRule="auto"/>
              <w:contextualSpacing/>
              <w:jc w:val="both"/>
              <w:rPr>
                <w:bCs/>
                <w:sz w:val="18"/>
                <w:szCs w:val="18"/>
              </w:rPr>
            </w:pPr>
            <w:r w:rsidRPr="00CE4E1F">
              <w:rPr>
                <w:bCs/>
                <w:sz w:val="18"/>
                <w:szCs w:val="18"/>
              </w:rPr>
              <w:lastRenderedPageBreak/>
              <w:t xml:space="preserve">Clinical and analytical validation </w:t>
            </w:r>
            <w:r w:rsidR="002257BE" w:rsidRPr="00CE4E1F">
              <w:rPr>
                <w:bCs/>
                <w:sz w:val="18"/>
                <w:szCs w:val="18"/>
              </w:rPr>
              <w:t xml:space="preserve">(Figures </w:t>
            </w:r>
            <w:r w:rsidR="002257BE">
              <w:rPr>
                <w:bCs/>
                <w:sz w:val="18"/>
                <w:szCs w:val="18"/>
              </w:rPr>
              <w:t>2</w:t>
            </w:r>
            <w:r w:rsidR="002257BE" w:rsidRPr="00CE4E1F">
              <w:rPr>
                <w:bCs/>
                <w:sz w:val="18"/>
                <w:szCs w:val="18"/>
              </w:rPr>
              <w:t>-5</w:t>
            </w:r>
            <w:r w:rsidR="00131F6C">
              <w:rPr>
                <w:bCs/>
                <w:sz w:val="18"/>
                <w:szCs w:val="18"/>
              </w:rPr>
              <w:t xml:space="preserve">, </w:t>
            </w:r>
            <w:r w:rsidR="002257BE" w:rsidRPr="00CE4E1F">
              <w:rPr>
                <w:bCs/>
                <w:sz w:val="18"/>
                <w:szCs w:val="18"/>
              </w:rPr>
              <w:t>S4-8)</w:t>
            </w:r>
          </w:p>
        </w:tc>
        <w:tc>
          <w:tcPr>
            <w:tcW w:w="1705" w:type="dxa"/>
          </w:tcPr>
          <w:p w14:paraId="181CEC23" w14:textId="6C4C308F" w:rsidR="00065311" w:rsidRPr="0064091B" w:rsidRDefault="00404F7B" w:rsidP="00742F09">
            <w:pPr>
              <w:spacing w:line="360" w:lineRule="auto"/>
              <w:contextualSpacing/>
              <w:jc w:val="both"/>
              <w:rPr>
                <w:bCs/>
                <w:sz w:val="18"/>
                <w:szCs w:val="18"/>
              </w:rPr>
            </w:pPr>
            <w:r w:rsidRPr="0064091B">
              <w:rPr>
                <w:bCs/>
                <w:sz w:val="18"/>
                <w:szCs w:val="18"/>
              </w:rPr>
              <w:t>PMID 28314689</w:t>
            </w:r>
            <w:r w:rsidR="008A321E" w:rsidRPr="0064091B">
              <w:rPr>
                <w:bCs/>
                <w:sz w:val="18"/>
                <w:szCs w:val="18"/>
              </w:rPr>
              <w:t xml:space="preserve">, </w:t>
            </w:r>
            <w:r w:rsidR="00B0304B" w:rsidRPr="0064091B">
              <w:rPr>
                <w:bCs/>
                <w:sz w:val="18"/>
                <w:szCs w:val="18"/>
              </w:rPr>
              <w:t xml:space="preserve">NCBI GEO accession number GSE222054, </w:t>
            </w:r>
            <w:r w:rsidR="008A321E" w:rsidRPr="0064091B">
              <w:rPr>
                <w:bCs/>
                <w:sz w:val="18"/>
                <w:szCs w:val="18"/>
              </w:rPr>
              <w:t>Github</w:t>
            </w:r>
            <w:r w:rsidR="008756B4">
              <w:rPr>
                <w:bCs/>
                <w:sz w:val="18"/>
                <w:szCs w:val="18"/>
              </w:rPr>
              <w:t xml:space="preserve">: </w:t>
            </w:r>
            <w:r w:rsidR="008756B4" w:rsidRPr="008756B4">
              <w:rPr>
                <w:bCs/>
                <w:sz w:val="18"/>
                <w:szCs w:val="18"/>
              </w:rPr>
              <w:lastRenderedPageBreak/>
              <w:t>https://github.com/william-c-chen/Meningioma_GE_Biomarker</w:t>
            </w:r>
          </w:p>
        </w:tc>
      </w:tr>
      <w:tr w:rsidR="00A10BAB" w:rsidRPr="00CE4E1F" w14:paraId="46AC1F47" w14:textId="77777777" w:rsidTr="00234A82">
        <w:trPr>
          <w:trHeight w:val="274"/>
        </w:trPr>
        <w:tc>
          <w:tcPr>
            <w:tcW w:w="1435" w:type="dxa"/>
          </w:tcPr>
          <w:p w14:paraId="4C98067E" w14:textId="53FD4B78" w:rsidR="00065311" w:rsidRPr="00CE4E1F" w:rsidRDefault="00065311" w:rsidP="00742F09">
            <w:pPr>
              <w:spacing w:line="360" w:lineRule="auto"/>
              <w:contextualSpacing/>
              <w:jc w:val="both"/>
              <w:rPr>
                <w:b/>
                <w:sz w:val="18"/>
                <w:szCs w:val="18"/>
              </w:rPr>
            </w:pPr>
            <w:r w:rsidRPr="00CE4E1F">
              <w:rPr>
                <w:b/>
                <w:sz w:val="18"/>
                <w:szCs w:val="18"/>
              </w:rPr>
              <w:lastRenderedPageBreak/>
              <w:t>University of California Los Angeles</w:t>
            </w:r>
          </w:p>
        </w:tc>
        <w:tc>
          <w:tcPr>
            <w:tcW w:w="1710" w:type="dxa"/>
          </w:tcPr>
          <w:p w14:paraId="7F3DEFFA" w14:textId="61ECDB25" w:rsidR="00065311" w:rsidRPr="00CE4E1F" w:rsidRDefault="00065311" w:rsidP="00742F09">
            <w:pPr>
              <w:spacing w:line="360" w:lineRule="auto"/>
              <w:contextualSpacing/>
              <w:jc w:val="both"/>
              <w:rPr>
                <w:bCs/>
                <w:sz w:val="18"/>
                <w:szCs w:val="18"/>
              </w:rPr>
            </w:pPr>
            <w:r w:rsidRPr="00CE4E1F">
              <w:rPr>
                <w:bCs/>
                <w:sz w:val="18"/>
                <w:szCs w:val="18"/>
              </w:rPr>
              <w:t xml:space="preserve">56 </w:t>
            </w:r>
            <w:r w:rsidR="00FD1518" w:rsidRPr="00CE4E1F">
              <w:rPr>
                <w:bCs/>
                <w:sz w:val="18"/>
                <w:szCs w:val="18"/>
              </w:rPr>
              <w:t>frozen</w:t>
            </w:r>
          </w:p>
        </w:tc>
        <w:tc>
          <w:tcPr>
            <w:tcW w:w="2465" w:type="dxa"/>
          </w:tcPr>
          <w:p w14:paraId="062C52B8" w14:textId="5BF5A060" w:rsidR="00065311" w:rsidRPr="00CE4E1F" w:rsidRDefault="00065311" w:rsidP="00742F09">
            <w:pPr>
              <w:spacing w:line="360" w:lineRule="auto"/>
              <w:contextualSpacing/>
              <w:jc w:val="both"/>
              <w:rPr>
                <w:bCs/>
                <w:sz w:val="18"/>
                <w:szCs w:val="18"/>
              </w:rPr>
            </w:pPr>
            <w:r w:rsidRPr="00CE4E1F">
              <w:rPr>
                <w:bCs/>
                <w:sz w:val="18"/>
                <w:szCs w:val="18"/>
              </w:rPr>
              <w:t>Clinical</w:t>
            </w:r>
            <w:r w:rsidR="008A321E">
              <w:rPr>
                <w:bCs/>
                <w:sz w:val="18"/>
                <w:szCs w:val="18"/>
              </w:rPr>
              <w:t xml:space="preserve"> follow up</w:t>
            </w:r>
            <w:r w:rsidRPr="00CE4E1F">
              <w:rPr>
                <w:bCs/>
                <w:sz w:val="18"/>
                <w:szCs w:val="18"/>
              </w:rPr>
              <w:t>, microarray</w:t>
            </w:r>
          </w:p>
        </w:tc>
        <w:tc>
          <w:tcPr>
            <w:tcW w:w="2035" w:type="dxa"/>
          </w:tcPr>
          <w:p w14:paraId="6D6E0AEC" w14:textId="285420C0" w:rsidR="00065311" w:rsidRPr="00CE4E1F" w:rsidRDefault="00065311" w:rsidP="00742F09">
            <w:pPr>
              <w:spacing w:line="360" w:lineRule="auto"/>
              <w:contextualSpacing/>
              <w:jc w:val="both"/>
              <w:rPr>
                <w:bCs/>
                <w:sz w:val="18"/>
                <w:szCs w:val="18"/>
              </w:rPr>
            </w:pPr>
            <w:r w:rsidRPr="00CE4E1F">
              <w:rPr>
                <w:bCs/>
                <w:sz w:val="18"/>
                <w:szCs w:val="18"/>
              </w:rPr>
              <w:t>Analytical validation (Figure S4)</w:t>
            </w:r>
          </w:p>
        </w:tc>
        <w:tc>
          <w:tcPr>
            <w:tcW w:w="1705" w:type="dxa"/>
          </w:tcPr>
          <w:p w14:paraId="31A5F4C6" w14:textId="24209BD6" w:rsidR="00065311" w:rsidRPr="0064091B" w:rsidRDefault="00065311" w:rsidP="00742F09">
            <w:pPr>
              <w:spacing w:line="360" w:lineRule="auto"/>
              <w:contextualSpacing/>
              <w:jc w:val="both"/>
              <w:rPr>
                <w:bCs/>
                <w:sz w:val="18"/>
                <w:szCs w:val="18"/>
              </w:rPr>
            </w:pPr>
            <w:r w:rsidRPr="0064091B">
              <w:rPr>
                <w:bCs/>
                <w:sz w:val="18"/>
                <w:szCs w:val="18"/>
              </w:rPr>
              <w:t xml:space="preserve">PMID </w:t>
            </w:r>
            <w:r w:rsidR="00CF6602" w:rsidRPr="0064091B">
              <w:rPr>
                <w:bCs/>
                <w:sz w:val="18"/>
                <w:szCs w:val="18"/>
              </w:rPr>
              <w:t>20015288</w:t>
            </w:r>
            <w:r w:rsidR="009F254E" w:rsidRPr="0064091B">
              <w:rPr>
                <w:bCs/>
                <w:sz w:val="18"/>
                <w:szCs w:val="18"/>
              </w:rPr>
              <w:t xml:space="preserve">, </w:t>
            </w:r>
            <w:r w:rsidR="003219F2" w:rsidRPr="0064091B">
              <w:rPr>
                <w:bCs/>
                <w:sz w:val="18"/>
                <w:szCs w:val="18"/>
              </w:rPr>
              <w:t>NCBI G</w:t>
            </w:r>
            <w:r w:rsidR="00E02496" w:rsidRPr="0064091B">
              <w:rPr>
                <w:bCs/>
                <w:sz w:val="18"/>
                <w:szCs w:val="18"/>
              </w:rPr>
              <w:t>EO</w:t>
            </w:r>
            <w:r w:rsidR="003219F2" w:rsidRPr="0064091B">
              <w:rPr>
                <w:bCs/>
                <w:sz w:val="18"/>
                <w:szCs w:val="18"/>
              </w:rPr>
              <w:t xml:space="preserve"> </w:t>
            </w:r>
            <w:r w:rsidR="00E02496" w:rsidRPr="0064091B">
              <w:rPr>
                <w:bCs/>
                <w:sz w:val="18"/>
                <w:szCs w:val="18"/>
              </w:rPr>
              <w:t>a</w:t>
            </w:r>
            <w:r w:rsidR="003219F2" w:rsidRPr="0064091B">
              <w:rPr>
                <w:bCs/>
                <w:sz w:val="18"/>
                <w:szCs w:val="18"/>
              </w:rPr>
              <w:t xml:space="preserve">ccession </w:t>
            </w:r>
            <w:r w:rsidR="00E02496" w:rsidRPr="0064091B">
              <w:rPr>
                <w:bCs/>
                <w:sz w:val="18"/>
                <w:szCs w:val="18"/>
              </w:rPr>
              <w:t>n</w:t>
            </w:r>
            <w:r w:rsidR="003219F2" w:rsidRPr="0064091B">
              <w:rPr>
                <w:bCs/>
                <w:sz w:val="18"/>
                <w:szCs w:val="18"/>
              </w:rPr>
              <w:t xml:space="preserve">umber </w:t>
            </w:r>
            <w:r w:rsidR="00E02496" w:rsidRPr="0064091B">
              <w:rPr>
                <w:bCs/>
                <w:sz w:val="18"/>
                <w:szCs w:val="18"/>
              </w:rPr>
              <w:t>GSE16581</w:t>
            </w:r>
          </w:p>
        </w:tc>
      </w:tr>
      <w:tr w:rsidR="00A10BAB" w:rsidRPr="00CE4E1F" w14:paraId="4C34523B" w14:textId="77777777" w:rsidTr="00234A82">
        <w:trPr>
          <w:trHeight w:val="274"/>
        </w:trPr>
        <w:tc>
          <w:tcPr>
            <w:tcW w:w="1435" w:type="dxa"/>
          </w:tcPr>
          <w:p w14:paraId="2E67BBDE" w14:textId="7D53ABCF" w:rsidR="00065311" w:rsidRPr="00CE4E1F" w:rsidRDefault="00065311" w:rsidP="00742F09">
            <w:pPr>
              <w:spacing w:line="360" w:lineRule="auto"/>
              <w:contextualSpacing/>
              <w:jc w:val="both"/>
              <w:rPr>
                <w:b/>
                <w:sz w:val="18"/>
                <w:szCs w:val="18"/>
              </w:rPr>
            </w:pPr>
            <w:r w:rsidRPr="00CE4E1F">
              <w:rPr>
                <w:b/>
                <w:sz w:val="18"/>
                <w:szCs w:val="18"/>
              </w:rPr>
              <w:t>Brigham and Women’s Hospital</w:t>
            </w:r>
          </w:p>
        </w:tc>
        <w:tc>
          <w:tcPr>
            <w:tcW w:w="1710" w:type="dxa"/>
          </w:tcPr>
          <w:p w14:paraId="5C9EF330" w14:textId="24A67D3B" w:rsidR="00065311" w:rsidRPr="00CE4E1F" w:rsidRDefault="00065311" w:rsidP="00742F09">
            <w:pPr>
              <w:spacing w:line="360" w:lineRule="auto"/>
              <w:contextualSpacing/>
              <w:jc w:val="both"/>
              <w:rPr>
                <w:bCs/>
                <w:sz w:val="18"/>
                <w:szCs w:val="18"/>
              </w:rPr>
            </w:pPr>
            <w:r w:rsidRPr="00CE4E1F">
              <w:rPr>
                <w:bCs/>
                <w:sz w:val="18"/>
                <w:szCs w:val="18"/>
              </w:rPr>
              <w:t>47 frozen</w:t>
            </w:r>
          </w:p>
        </w:tc>
        <w:tc>
          <w:tcPr>
            <w:tcW w:w="2465" w:type="dxa"/>
          </w:tcPr>
          <w:p w14:paraId="58E45379" w14:textId="0AAA0DD5" w:rsidR="00065311" w:rsidRPr="00CE4E1F" w:rsidRDefault="002257BE" w:rsidP="00742F09">
            <w:pPr>
              <w:spacing w:line="360" w:lineRule="auto"/>
              <w:contextualSpacing/>
              <w:jc w:val="both"/>
              <w:rPr>
                <w:bCs/>
                <w:sz w:val="18"/>
                <w:szCs w:val="18"/>
              </w:rPr>
            </w:pPr>
            <w:r w:rsidRPr="00CE4E1F">
              <w:rPr>
                <w:bCs/>
                <w:sz w:val="18"/>
                <w:szCs w:val="18"/>
              </w:rPr>
              <w:t xml:space="preserve">RNA sequencing without clinical </w:t>
            </w:r>
            <w:r w:rsidR="008A321E">
              <w:rPr>
                <w:bCs/>
                <w:sz w:val="18"/>
                <w:szCs w:val="18"/>
              </w:rPr>
              <w:t>follow up</w:t>
            </w:r>
            <w:r w:rsidR="008A321E" w:rsidRPr="00CE4E1F">
              <w:rPr>
                <w:bCs/>
                <w:sz w:val="18"/>
                <w:szCs w:val="18"/>
              </w:rPr>
              <w:t xml:space="preserve"> </w:t>
            </w:r>
            <w:r w:rsidRPr="00CE4E1F">
              <w:rPr>
                <w:bCs/>
                <w:sz w:val="18"/>
                <w:szCs w:val="18"/>
              </w:rPr>
              <w:t>data</w:t>
            </w:r>
          </w:p>
        </w:tc>
        <w:tc>
          <w:tcPr>
            <w:tcW w:w="2035" w:type="dxa"/>
          </w:tcPr>
          <w:p w14:paraId="4A633D65" w14:textId="1917C5D0" w:rsidR="00065311" w:rsidRPr="00CE4E1F" w:rsidRDefault="002257BE" w:rsidP="00742F09">
            <w:pPr>
              <w:spacing w:line="360" w:lineRule="auto"/>
              <w:contextualSpacing/>
              <w:jc w:val="both"/>
              <w:rPr>
                <w:bCs/>
                <w:sz w:val="18"/>
                <w:szCs w:val="18"/>
              </w:rPr>
            </w:pPr>
            <w:r w:rsidRPr="00CE4E1F">
              <w:rPr>
                <w:bCs/>
                <w:sz w:val="18"/>
                <w:szCs w:val="18"/>
              </w:rPr>
              <w:t>Analytical validation (Figure S4)</w:t>
            </w:r>
          </w:p>
        </w:tc>
        <w:tc>
          <w:tcPr>
            <w:tcW w:w="1705" w:type="dxa"/>
          </w:tcPr>
          <w:p w14:paraId="5C372FDE" w14:textId="1CFAA11D" w:rsidR="00065311" w:rsidRPr="0064091B" w:rsidRDefault="008A321E" w:rsidP="00742F09">
            <w:pPr>
              <w:spacing w:line="360" w:lineRule="auto"/>
              <w:contextualSpacing/>
              <w:jc w:val="both"/>
              <w:rPr>
                <w:bCs/>
                <w:sz w:val="18"/>
                <w:szCs w:val="18"/>
              </w:rPr>
            </w:pPr>
            <w:r w:rsidRPr="0064091B">
              <w:rPr>
                <w:bCs/>
                <w:sz w:val="18"/>
                <w:szCs w:val="18"/>
              </w:rPr>
              <w:t>Github</w:t>
            </w:r>
            <w:r w:rsidR="008756B4">
              <w:rPr>
                <w:bCs/>
                <w:sz w:val="18"/>
                <w:szCs w:val="18"/>
              </w:rPr>
              <w:t xml:space="preserve">: </w:t>
            </w:r>
            <w:r w:rsidR="008756B4" w:rsidRPr="008756B4">
              <w:rPr>
                <w:bCs/>
                <w:sz w:val="18"/>
                <w:szCs w:val="18"/>
              </w:rPr>
              <w:t>https://github.com/william-c-chen/Meningioma_GE_Biomarker</w:t>
            </w:r>
          </w:p>
        </w:tc>
      </w:tr>
      <w:tr w:rsidR="00A10BAB" w:rsidRPr="00CE4E1F" w14:paraId="74BC18A1" w14:textId="77777777" w:rsidTr="00234A82">
        <w:trPr>
          <w:trHeight w:val="274"/>
        </w:trPr>
        <w:tc>
          <w:tcPr>
            <w:tcW w:w="1435" w:type="dxa"/>
          </w:tcPr>
          <w:p w14:paraId="52A8A1C3" w14:textId="108D5C68" w:rsidR="00065311" w:rsidRPr="00CE4E1F" w:rsidRDefault="00065311" w:rsidP="00742F09">
            <w:pPr>
              <w:spacing w:line="360" w:lineRule="auto"/>
              <w:contextualSpacing/>
              <w:jc w:val="both"/>
              <w:rPr>
                <w:b/>
                <w:sz w:val="18"/>
                <w:szCs w:val="18"/>
              </w:rPr>
            </w:pPr>
            <w:r w:rsidRPr="00CE4E1F">
              <w:rPr>
                <w:b/>
                <w:sz w:val="18"/>
                <w:szCs w:val="18"/>
              </w:rPr>
              <w:t>University Hospital Magdeburg</w:t>
            </w:r>
          </w:p>
        </w:tc>
        <w:tc>
          <w:tcPr>
            <w:tcW w:w="1710" w:type="dxa"/>
          </w:tcPr>
          <w:p w14:paraId="2A52A256" w14:textId="486183F0" w:rsidR="00065311" w:rsidRPr="00CE4E1F" w:rsidRDefault="00065311" w:rsidP="00742F09">
            <w:pPr>
              <w:spacing w:line="360" w:lineRule="auto"/>
              <w:contextualSpacing/>
              <w:jc w:val="both"/>
              <w:rPr>
                <w:bCs/>
                <w:sz w:val="18"/>
                <w:szCs w:val="18"/>
              </w:rPr>
            </w:pPr>
            <w:r w:rsidRPr="00CE4E1F">
              <w:rPr>
                <w:bCs/>
                <w:sz w:val="18"/>
                <w:szCs w:val="18"/>
              </w:rPr>
              <w:t>31 frozen</w:t>
            </w:r>
          </w:p>
        </w:tc>
        <w:tc>
          <w:tcPr>
            <w:tcW w:w="2465" w:type="dxa"/>
          </w:tcPr>
          <w:p w14:paraId="3F2A97AE" w14:textId="12072574" w:rsidR="00065311" w:rsidRPr="00CE4E1F" w:rsidRDefault="002257BE" w:rsidP="00742F09">
            <w:pPr>
              <w:spacing w:line="360" w:lineRule="auto"/>
              <w:contextualSpacing/>
              <w:jc w:val="both"/>
              <w:rPr>
                <w:bCs/>
                <w:sz w:val="18"/>
                <w:szCs w:val="18"/>
              </w:rPr>
            </w:pPr>
            <w:r w:rsidRPr="00CE4E1F">
              <w:rPr>
                <w:bCs/>
                <w:sz w:val="18"/>
                <w:szCs w:val="18"/>
              </w:rPr>
              <w:t xml:space="preserve">RNA sequencing without </w:t>
            </w:r>
            <w:r w:rsidR="008A321E">
              <w:rPr>
                <w:bCs/>
                <w:sz w:val="18"/>
                <w:szCs w:val="18"/>
              </w:rPr>
              <w:t>follow up</w:t>
            </w:r>
            <w:r w:rsidR="008A321E" w:rsidRPr="00CE4E1F">
              <w:rPr>
                <w:bCs/>
                <w:sz w:val="18"/>
                <w:szCs w:val="18"/>
              </w:rPr>
              <w:t xml:space="preserve"> </w:t>
            </w:r>
            <w:r w:rsidRPr="00CE4E1F">
              <w:rPr>
                <w:bCs/>
                <w:sz w:val="18"/>
                <w:szCs w:val="18"/>
              </w:rPr>
              <w:t>data</w:t>
            </w:r>
            <w:r w:rsidR="00065311" w:rsidRPr="00CE4E1F">
              <w:rPr>
                <w:bCs/>
                <w:sz w:val="18"/>
                <w:szCs w:val="18"/>
              </w:rPr>
              <w:t xml:space="preserve">, DNA sequencing showing </w:t>
            </w:r>
            <w:r w:rsidR="00065311" w:rsidRPr="00CE4E1F">
              <w:rPr>
                <w:bCs/>
                <w:i/>
                <w:iCs/>
                <w:sz w:val="18"/>
                <w:szCs w:val="18"/>
              </w:rPr>
              <w:t xml:space="preserve">KLF4 </w:t>
            </w:r>
            <w:r w:rsidR="00065311" w:rsidRPr="00CE4E1F">
              <w:rPr>
                <w:bCs/>
                <w:sz w:val="18"/>
                <w:szCs w:val="18"/>
              </w:rPr>
              <w:t xml:space="preserve">or </w:t>
            </w:r>
            <w:r w:rsidR="00B0123F">
              <w:rPr>
                <w:bCs/>
                <w:i/>
                <w:sz w:val="18"/>
                <w:szCs w:val="18"/>
              </w:rPr>
              <w:t>AKT1</w:t>
            </w:r>
            <w:r w:rsidR="00B0123F" w:rsidRPr="00CE4E1F">
              <w:rPr>
                <w:bCs/>
                <w:sz w:val="18"/>
                <w:szCs w:val="18"/>
              </w:rPr>
              <w:t xml:space="preserve"> </w:t>
            </w:r>
            <w:r w:rsidR="00065311" w:rsidRPr="00CE4E1F">
              <w:rPr>
                <w:bCs/>
                <w:sz w:val="18"/>
                <w:szCs w:val="18"/>
              </w:rPr>
              <w:t>mutations</w:t>
            </w:r>
          </w:p>
        </w:tc>
        <w:tc>
          <w:tcPr>
            <w:tcW w:w="2035" w:type="dxa"/>
          </w:tcPr>
          <w:p w14:paraId="6009D144" w14:textId="655477C6" w:rsidR="00065311" w:rsidRPr="00CE4E1F" w:rsidRDefault="002257BE" w:rsidP="00742F09">
            <w:pPr>
              <w:spacing w:line="360" w:lineRule="auto"/>
              <w:contextualSpacing/>
              <w:jc w:val="both"/>
              <w:rPr>
                <w:bCs/>
                <w:sz w:val="18"/>
                <w:szCs w:val="18"/>
              </w:rPr>
            </w:pPr>
            <w:r w:rsidRPr="00CE4E1F">
              <w:rPr>
                <w:bCs/>
                <w:sz w:val="18"/>
                <w:szCs w:val="18"/>
              </w:rPr>
              <w:t>Analytical validation (Figure S4)</w:t>
            </w:r>
          </w:p>
        </w:tc>
        <w:tc>
          <w:tcPr>
            <w:tcW w:w="1705" w:type="dxa"/>
          </w:tcPr>
          <w:p w14:paraId="73ADFC7C" w14:textId="02CFC374" w:rsidR="00065311" w:rsidRPr="0064091B" w:rsidRDefault="00B0123F" w:rsidP="00742F09">
            <w:pPr>
              <w:spacing w:line="360" w:lineRule="auto"/>
              <w:contextualSpacing/>
              <w:jc w:val="both"/>
              <w:rPr>
                <w:bCs/>
                <w:sz w:val="18"/>
                <w:szCs w:val="18"/>
              </w:rPr>
            </w:pPr>
            <w:r w:rsidRPr="0064091B">
              <w:rPr>
                <w:bCs/>
                <w:sz w:val="18"/>
                <w:szCs w:val="18"/>
              </w:rPr>
              <w:t>PMID 32245394</w:t>
            </w:r>
            <w:r w:rsidR="008A321E" w:rsidRPr="0064091B">
              <w:rPr>
                <w:bCs/>
                <w:sz w:val="18"/>
                <w:szCs w:val="18"/>
              </w:rPr>
              <w:t>, Github</w:t>
            </w:r>
            <w:r w:rsidR="008756B4">
              <w:rPr>
                <w:bCs/>
                <w:sz w:val="18"/>
                <w:szCs w:val="18"/>
              </w:rPr>
              <w:t xml:space="preserve">: </w:t>
            </w:r>
            <w:r w:rsidR="008756B4" w:rsidRPr="008756B4">
              <w:rPr>
                <w:bCs/>
                <w:sz w:val="18"/>
                <w:szCs w:val="18"/>
              </w:rPr>
              <w:t>https://github.com/william-c-chen/Meningioma_GE_Biomarker</w:t>
            </w:r>
          </w:p>
        </w:tc>
      </w:tr>
      <w:tr w:rsidR="00A10BAB" w:rsidRPr="00CE4E1F" w14:paraId="46E59327" w14:textId="77777777" w:rsidTr="00234A82">
        <w:trPr>
          <w:trHeight w:val="274"/>
        </w:trPr>
        <w:tc>
          <w:tcPr>
            <w:tcW w:w="1435" w:type="dxa"/>
          </w:tcPr>
          <w:p w14:paraId="35697610" w14:textId="7406AF89" w:rsidR="00065311" w:rsidRPr="00CE4E1F" w:rsidRDefault="00065311" w:rsidP="00742F09">
            <w:pPr>
              <w:spacing w:line="360" w:lineRule="auto"/>
              <w:contextualSpacing/>
              <w:jc w:val="both"/>
              <w:rPr>
                <w:b/>
                <w:sz w:val="18"/>
                <w:szCs w:val="18"/>
              </w:rPr>
            </w:pPr>
            <w:r w:rsidRPr="00CE4E1F">
              <w:rPr>
                <w:b/>
                <w:sz w:val="18"/>
                <w:szCs w:val="18"/>
              </w:rPr>
              <w:t>Children’s Brain Tumor Network</w:t>
            </w:r>
          </w:p>
        </w:tc>
        <w:tc>
          <w:tcPr>
            <w:tcW w:w="1710" w:type="dxa"/>
          </w:tcPr>
          <w:p w14:paraId="29E30347" w14:textId="13BC97DB" w:rsidR="00065311" w:rsidRPr="00CE4E1F" w:rsidRDefault="00065311" w:rsidP="00742F09">
            <w:pPr>
              <w:spacing w:line="360" w:lineRule="auto"/>
              <w:contextualSpacing/>
              <w:jc w:val="both"/>
              <w:rPr>
                <w:bCs/>
                <w:sz w:val="18"/>
                <w:szCs w:val="18"/>
              </w:rPr>
            </w:pPr>
            <w:r w:rsidRPr="00CE4E1F">
              <w:rPr>
                <w:bCs/>
                <w:sz w:val="18"/>
                <w:szCs w:val="18"/>
              </w:rPr>
              <w:t>29 frozen</w:t>
            </w:r>
          </w:p>
        </w:tc>
        <w:tc>
          <w:tcPr>
            <w:tcW w:w="2465" w:type="dxa"/>
          </w:tcPr>
          <w:p w14:paraId="05018EDE" w14:textId="393F56F5" w:rsidR="00065311" w:rsidRPr="00CE4E1F" w:rsidRDefault="00065311" w:rsidP="00742F09">
            <w:pPr>
              <w:spacing w:line="360" w:lineRule="auto"/>
              <w:contextualSpacing/>
              <w:jc w:val="both"/>
              <w:rPr>
                <w:bCs/>
                <w:sz w:val="18"/>
                <w:szCs w:val="18"/>
              </w:rPr>
            </w:pPr>
            <w:r w:rsidRPr="00CE4E1F">
              <w:rPr>
                <w:bCs/>
                <w:sz w:val="18"/>
                <w:szCs w:val="18"/>
              </w:rPr>
              <w:t>RNA sequencing</w:t>
            </w:r>
            <w:r w:rsidR="008460C5" w:rsidRPr="00CE4E1F">
              <w:rPr>
                <w:bCs/>
                <w:sz w:val="18"/>
                <w:szCs w:val="18"/>
              </w:rPr>
              <w:t xml:space="preserve"> without clinical </w:t>
            </w:r>
            <w:r w:rsidR="008A321E">
              <w:rPr>
                <w:bCs/>
                <w:sz w:val="18"/>
                <w:szCs w:val="18"/>
              </w:rPr>
              <w:t>follow up</w:t>
            </w:r>
            <w:r w:rsidR="008A321E" w:rsidRPr="00CE4E1F">
              <w:rPr>
                <w:bCs/>
                <w:sz w:val="18"/>
                <w:szCs w:val="18"/>
              </w:rPr>
              <w:t xml:space="preserve"> </w:t>
            </w:r>
            <w:r w:rsidR="008460C5" w:rsidRPr="00CE4E1F">
              <w:rPr>
                <w:bCs/>
                <w:sz w:val="18"/>
                <w:szCs w:val="18"/>
              </w:rPr>
              <w:t>data</w:t>
            </w:r>
          </w:p>
        </w:tc>
        <w:tc>
          <w:tcPr>
            <w:tcW w:w="2035" w:type="dxa"/>
          </w:tcPr>
          <w:p w14:paraId="27D2867C" w14:textId="0E73AE8A" w:rsidR="00065311" w:rsidRPr="00CE4E1F" w:rsidRDefault="002257BE" w:rsidP="00742F09">
            <w:pPr>
              <w:spacing w:line="360" w:lineRule="auto"/>
              <w:contextualSpacing/>
              <w:jc w:val="both"/>
              <w:rPr>
                <w:bCs/>
                <w:sz w:val="18"/>
                <w:szCs w:val="18"/>
              </w:rPr>
            </w:pPr>
            <w:r w:rsidRPr="00CE4E1F">
              <w:rPr>
                <w:bCs/>
                <w:sz w:val="18"/>
                <w:szCs w:val="18"/>
              </w:rPr>
              <w:t>Analytical validation (Figure S4)</w:t>
            </w:r>
          </w:p>
        </w:tc>
        <w:tc>
          <w:tcPr>
            <w:tcW w:w="1705" w:type="dxa"/>
          </w:tcPr>
          <w:p w14:paraId="527E007D" w14:textId="6B6F58BE" w:rsidR="00065311" w:rsidRPr="0064091B" w:rsidRDefault="00CF6602" w:rsidP="00742F09">
            <w:pPr>
              <w:spacing w:line="360" w:lineRule="auto"/>
              <w:contextualSpacing/>
              <w:jc w:val="both"/>
              <w:rPr>
                <w:bCs/>
                <w:sz w:val="18"/>
                <w:szCs w:val="18"/>
              </w:rPr>
            </w:pPr>
            <w:r w:rsidRPr="0064091B">
              <w:rPr>
                <w:bCs/>
                <w:sz w:val="18"/>
                <w:szCs w:val="18"/>
              </w:rPr>
              <w:t>https://cavatica.sbgenomics.com/u/cavatica/pbta-cbttc</w:t>
            </w:r>
          </w:p>
        </w:tc>
      </w:tr>
      <w:tr w:rsidR="00A10BAB" w:rsidRPr="00CE4E1F" w14:paraId="3B9CB185" w14:textId="77777777" w:rsidTr="00234A82">
        <w:trPr>
          <w:trHeight w:val="274"/>
        </w:trPr>
        <w:tc>
          <w:tcPr>
            <w:tcW w:w="1435" w:type="dxa"/>
          </w:tcPr>
          <w:p w14:paraId="54A60106" w14:textId="0FC2C6AA" w:rsidR="00065311" w:rsidRPr="00CE4E1F" w:rsidRDefault="00065311" w:rsidP="00742F09">
            <w:pPr>
              <w:spacing w:line="360" w:lineRule="auto"/>
              <w:contextualSpacing/>
              <w:jc w:val="both"/>
              <w:rPr>
                <w:b/>
                <w:sz w:val="18"/>
                <w:szCs w:val="18"/>
              </w:rPr>
            </w:pPr>
            <w:r w:rsidRPr="00CE4E1F">
              <w:rPr>
                <w:b/>
                <w:sz w:val="18"/>
                <w:szCs w:val="18"/>
              </w:rPr>
              <w:t>RTOG 0539</w:t>
            </w:r>
          </w:p>
        </w:tc>
        <w:tc>
          <w:tcPr>
            <w:tcW w:w="1710" w:type="dxa"/>
          </w:tcPr>
          <w:p w14:paraId="7F821D2A" w14:textId="29AC555B" w:rsidR="00065311" w:rsidRPr="00CE4E1F" w:rsidRDefault="00FC6BC2" w:rsidP="00742F09">
            <w:pPr>
              <w:spacing w:line="360" w:lineRule="auto"/>
              <w:contextualSpacing/>
              <w:jc w:val="both"/>
              <w:rPr>
                <w:bCs/>
                <w:sz w:val="18"/>
                <w:szCs w:val="18"/>
              </w:rPr>
            </w:pPr>
            <w:r w:rsidRPr="00CE4E1F">
              <w:rPr>
                <w:bCs/>
                <w:sz w:val="18"/>
                <w:szCs w:val="18"/>
              </w:rPr>
              <w:t>103 FFPE</w:t>
            </w:r>
          </w:p>
        </w:tc>
        <w:tc>
          <w:tcPr>
            <w:tcW w:w="2465" w:type="dxa"/>
          </w:tcPr>
          <w:p w14:paraId="3DA5DA3B" w14:textId="3C2CFEDB" w:rsidR="00065311" w:rsidRPr="00CE4E1F" w:rsidRDefault="00065311" w:rsidP="00742F09">
            <w:pPr>
              <w:spacing w:line="360" w:lineRule="auto"/>
              <w:contextualSpacing/>
              <w:jc w:val="both"/>
              <w:rPr>
                <w:bCs/>
                <w:sz w:val="18"/>
                <w:szCs w:val="18"/>
              </w:rPr>
            </w:pPr>
            <w:r w:rsidRPr="00CE4E1F">
              <w:rPr>
                <w:bCs/>
                <w:sz w:val="18"/>
                <w:szCs w:val="18"/>
              </w:rPr>
              <w:t>Clinical</w:t>
            </w:r>
            <w:r w:rsidR="008A321E">
              <w:rPr>
                <w:bCs/>
                <w:sz w:val="18"/>
                <w:szCs w:val="18"/>
              </w:rPr>
              <w:t xml:space="preserve"> follow up</w:t>
            </w:r>
            <w:r w:rsidRPr="00CE4E1F">
              <w:rPr>
                <w:bCs/>
                <w:sz w:val="18"/>
                <w:szCs w:val="18"/>
              </w:rPr>
              <w:t>, targeted gene expression profiling</w:t>
            </w:r>
          </w:p>
        </w:tc>
        <w:tc>
          <w:tcPr>
            <w:tcW w:w="2035" w:type="dxa"/>
          </w:tcPr>
          <w:p w14:paraId="1EB1DA95" w14:textId="37349C46" w:rsidR="00065311" w:rsidRPr="00CE4E1F" w:rsidRDefault="00065311" w:rsidP="00742F09">
            <w:pPr>
              <w:spacing w:line="360" w:lineRule="auto"/>
              <w:contextualSpacing/>
              <w:jc w:val="both"/>
              <w:rPr>
                <w:bCs/>
                <w:sz w:val="18"/>
                <w:szCs w:val="18"/>
              </w:rPr>
            </w:pPr>
            <w:r w:rsidRPr="00CE4E1F">
              <w:rPr>
                <w:bCs/>
                <w:sz w:val="18"/>
                <w:szCs w:val="18"/>
              </w:rPr>
              <w:t>Clinical validation (Figures 5</w:t>
            </w:r>
            <w:r w:rsidR="00131F6C">
              <w:rPr>
                <w:bCs/>
                <w:sz w:val="18"/>
                <w:szCs w:val="18"/>
              </w:rPr>
              <w:t xml:space="preserve">, </w:t>
            </w:r>
            <w:r w:rsidRPr="00CE4E1F">
              <w:rPr>
                <w:bCs/>
                <w:sz w:val="18"/>
                <w:szCs w:val="18"/>
              </w:rPr>
              <w:t>S8)</w:t>
            </w:r>
          </w:p>
        </w:tc>
        <w:tc>
          <w:tcPr>
            <w:tcW w:w="1705" w:type="dxa"/>
          </w:tcPr>
          <w:p w14:paraId="281B551B" w14:textId="1E6F3CA6" w:rsidR="00065311" w:rsidRPr="0064091B" w:rsidRDefault="00065311" w:rsidP="00742F09">
            <w:pPr>
              <w:spacing w:line="360" w:lineRule="auto"/>
              <w:contextualSpacing/>
              <w:jc w:val="both"/>
              <w:rPr>
                <w:bCs/>
                <w:sz w:val="18"/>
                <w:szCs w:val="18"/>
              </w:rPr>
            </w:pPr>
            <w:r w:rsidRPr="0064091B">
              <w:rPr>
                <w:bCs/>
                <w:sz w:val="18"/>
                <w:szCs w:val="18"/>
              </w:rPr>
              <w:t xml:space="preserve">PMID </w:t>
            </w:r>
            <w:r w:rsidR="002E7DB6" w:rsidRPr="0064091B">
              <w:rPr>
                <w:bCs/>
                <w:sz w:val="18"/>
                <w:szCs w:val="18"/>
              </w:rPr>
              <w:t>31786276, 28984517</w:t>
            </w:r>
            <w:r w:rsidR="0064091B">
              <w:rPr>
                <w:bCs/>
                <w:sz w:val="18"/>
                <w:szCs w:val="18"/>
              </w:rPr>
              <w:t>,</w:t>
            </w:r>
            <w:r w:rsidR="00A10BAB" w:rsidRPr="0064091B">
              <w:rPr>
                <w:bCs/>
                <w:sz w:val="18"/>
                <w:szCs w:val="18"/>
              </w:rPr>
              <w:t xml:space="preserve"> and</w:t>
            </w:r>
            <w:r w:rsidR="002E7DB6" w:rsidRPr="0064091B">
              <w:rPr>
                <w:bCs/>
                <w:sz w:val="18"/>
                <w:szCs w:val="18"/>
              </w:rPr>
              <w:t xml:space="preserve"> 35657335</w:t>
            </w:r>
            <w:r w:rsidR="00A10BAB" w:rsidRPr="0064091B">
              <w:rPr>
                <w:bCs/>
                <w:sz w:val="18"/>
                <w:szCs w:val="18"/>
              </w:rPr>
              <w:t>,</w:t>
            </w:r>
            <w:r w:rsidR="008A321E" w:rsidRPr="0064091B">
              <w:rPr>
                <w:bCs/>
                <w:sz w:val="18"/>
                <w:szCs w:val="18"/>
              </w:rPr>
              <w:t xml:space="preserve"> NCBI GEO accession number</w:t>
            </w:r>
            <w:r w:rsidR="00B0304B" w:rsidRPr="0064091B">
              <w:rPr>
                <w:bCs/>
                <w:sz w:val="18"/>
                <w:szCs w:val="18"/>
              </w:rPr>
              <w:t xml:space="preserve"> GSE222054</w:t>
            </w:r>
            <w:r w:rsidR="008A321E" w:rsidRPr="0064091B">
              <w:rPr>
                <w:bCs/>
                <w:sz w:val="18"/>
                <w:szCs w:val="18"/>
              </w:rPr>
              <w:t xml:space="preserve"> </w:t>
            </w:r>
          </w:p>
        </w:tc>
      </w:tr>
      <w:tr w:rsidR="00A10BAB" w:rsidRPr="00CE4E1F" w14:paraId="71014321" w14:textId="289BB589" w:rsidTr="00234A82">
        <w:trPr>
          <w:trHeight w:val="274"/>
        </w:trPr>
        <w:tc>
          <w:tcPr>
            <w:tcW w:w="1435" w:type="dxa"/>
          </w:tcPr>
          <w:p w14:paraId="56135968" w14:textId="0AED90CD" w:rsidR="00065311" w:rsidRPr="00CE4E1F" w:rsidRDefault="00065311" w:rsidP="00742F09">
            <w:pPr>
              <w:spacing w:line="360" w:lineRule="auto"/>
              <w:contextualSpacing/>
              <w:jc w:val="both"/>
              <w:rPr>
                <w:b/>
                <w:sz w:val="18"/>
                <w:szCs w:val="18"/>
              </w:rPr>
            </w:pPr>
            <w:r w:rsidRPr="00CE4E1F">
              <w:rPr>
                <w:b/>
                <w:sz w:val="18"/>
                <w:szCs w:val="18"/>
              </w:rPr>
              <w:t>Total</w:t>
            </w:r>
          </w:p>
        </w:tc>
        <w:tc>
          <w:tcPr>
            <w:tcW w:w="1710" w:type="dxa"/>
          </w:tcPr>
          <w:p w14:paraId="5ABD7B42" w14:textId="2D82BEB6" w:rsidR="00065311" w:rsidRPr="00CE4E1F" w:rsidRDefault="00775FFD" w:rsidP="00742F09">
            <w:pPr>
              <w:spacing w:line="360" w:lineRule="auto"/>
              <w:contextualSpacing/>
              <w:jc w:val="both"/>
              <w:rPr>
                <w:bCs/>
                <w:sz w:val="18"/>
                <w:szCs w:val="18"/>
              </w:rPr>
            </w:pPr>
            <w:r w:rsidRPr="00CE4E1F">
              <w:rPr>
                <w:bCs/>
                <w:sz w:val="18"/>
                <w:szCs w:val="18"/>
              </w:rPr>
              <w:t>1856 meningiomas</w:t>
            </w:r>
          </w:p>
        </w:tc>
        <w:tc>
          <w:tcPr>
            <w:tcW w:w="2465" w:type="dxa"/>
          </w:tcPr>
          <w:p w14:paraId="0CF83211" w14:textId="77777777" w:rsidR="00065311" w:rsidRPr="00CE4E1F" w:rsidRDefault="00065311" w:rsidP="00742F09">
            <w:pPr>
              <w:spacing w:line="360" w:lineRule="auto"/>
              <w:contextualSpacing/>
              <w:jc w:val="both"/>
              <w:rPr>
                <w:bCs/>
                <w:sz w:val="18"/>
                <w:szCs w:val="18"/>
              </w:rPr>
            </w:pPr>
          </w:p>
        </w:tc>
        <w:tc>
          <w:tcPr>
            <w:tcW w:w="2035" w:type="dxa"/>
          </w:tcPr>
          <w:p w14:paraId="3F59BF00" w14:textId="3ABD587B" w:rsidR="00065311" w:rsidRPr="00CE4E1F" w:rsidRDefault="00065311" w:rsidP="00742F09">
            <w:pPr>
              <w:spacing w:line="360" w:lineRule="auto"/>
              <w:contextualSpacing/>
              <w:jc w:val="both"/>
              <w:rPr>
                <w:bCs/>
                <w:sz w:val="18"/>
                <w:szCs w:val="18"/>
              </w:rPr>
            </w:pPr>
          </w:p>
        </w:tc>
        <w:tc>
          <w:tcPr>
            <w:tcW w:w="1705" w:type="dxa"/>
          </w:tcPr>
          <w:p w14:paraId="789012CC" w14:textId="77777777" w:rsidR="00065311" w:rsidRPr="00CE4E1F" w:rsidRDefault="00065311" w:rsidP="00742F09">
            <w:pPr>
              <w:spacing w:line="360" w:lineRule="auto"/>
              <w:contextualSpacing/>
              <w:jc w:val="both"/>
              <w:rPr>
                <w:bCs/>
                <w:sz w:val="18"/>
                <w:szCs w:val="18"/>
              </w:rPr>
            </w:pPr>
          </w:p>
        </w:tc>
      </w:tr>
    </w:tbl>
    <w:p w14:paraId="05FC526D" w14:textId="7FF3A1D0" w:rsidR="004A0554" w:rsidRPr="00CE4E1F" w:rsidRDefault="00607ADC" w:rsidP="00742F09">
      <w:pPr>
        <w:spacing w:line="360" w:lineRule="auto"/>
        <w:contextualSpacing/>
        <w:jc w:val="both"/>
        <w:rPr>
          <w:b/>
        </w:rPr>
      </w:pPr>
      <w:r w:rsidRPr="00CE4E1F">
        <w:rPr>
          <w:b/>
        </w:rPr>
        <w:br w:type="column"/>
      </w:r>
      <w:r w:rsidR="004A0554" w:rsidRPr="00CE4E1F">
        <w:rPr>
          <w:b/>
        </w:rPr>
        <w:lastRenderedPageBreak/>
        <w:t>Table S5. The University of Hong Kong clinical validation cohort characteristics.</w:t>
      </w:r>
    </w:p>
    <w:tbl>
      <w:tblPr>
        <w:tblW w:w="9355" w:type="dxa"/>
        <w:tblLook w:val="04A0" w:firstRow="1" w:lastRow="0" w:firstColumn="1" w:lastColumn="0" w:noHBand="0" w:noVBand="1"/>
      </w:tblPr>
      <w:tblGrid>
        <w:gridCol w:w="5575"/>
        <w:gridCol w:w="3780"/>
      </w:tblGrid>
      <w:tr w:rsidR="004A0554" w:rsidRPr="00CE4E1F" w14:paraId="053A1269" w14:textId="77777777" w:rsidTr="00635B44">
        <w:trPr>
          <w:trHeight w:val="320"/>
        </w:trPr>
        <w:tc>
          <w:tcPr>
            <w:tcW w:w="5575" w:type="dxa"/>
            <w:tcBorders>
              <w:top w:val="single" w:sz="4" w:space="0" w:color="auto"/>
              <w:left w:val="single" w:sz="4" w:space="0" w:color="auto"/>
              <w:bottom w:val="single" w:sz="4" w:space="0" w:color="auto"/>
              <w:right w:val="single" w:sz="4" w:space="0" w:color="auto"/>
            </w:tcBorders>
            <w:shd w:val="clear" w:color="auto" w:fill="auto"/>
            <w:noWrap/>
            <w:hideMark/>
          </w:tcPr>
          <w:p w14:paraId="3BF2DEFD" w14:textId="77777777" w:rsidR="004A0554" w:rsidRPr="00CE4E1F" w:rsidRDefault="004A0554" w:rsidP="00742F09">
            <w:pPr>
              <w:spacing w:line="360" w:lineRule="auto"/>
              <w:contextualSpacing/>
              <w:jc w:val="both"/>
              <w:rPr>
                <w:color w:val="000000"/>
                <w:sz w:val="18"/>
                <w:szCs w:val="18"/>
              </w:rPr>
            </w:pPr>
            <w:r w:rsidRPr="00CE4E1F">
              <w:rPr>
                <w:b/>
                <w:bCs/>
                <w:color w:val="000000"/>
                <w:sz w:val="18"/>
                <w:szCs w:val="18"/>
              </w:rPr>
              <w:t>Meningiomas - no.</w:t>
            </w:r>
          </w:p>
        </w:tc>
        <w:tc>
          <w:tcPr>
            <w:tcW w:w="3780" w:type="dxa"/>
            <w:tcBorders>
              <w:top w:val="single" w:sz="4" w:space="0" w:color="auto"/>
              <w:left w:val="nil"/>
              <w:bottom w:val="single" w:sz="4" w:space="0" w:color="auto"/>
              <w:right w:val="single" w:sz="4" w:space="0" w:color="auto"/>
            </w:tcBorders>
            <w:shd w:val="clear" w:color="auto" w:fill="auto"/>
            <w:noWrap/>
            <w:hideMark/>
          </w:tcPr>
          <w:p w14:paraId="6F615D02" w14:textId="77777777" w:rsidR="004A0554" w:rsidRPr="00CE4E1F" w:rsidRDefault="004A0554" w:rsidP="00742F09">
            <w:pPr>
              <w:spacing w:line="360" w:lineRule="auto"/>
              <w:contextualSpacing/>
              <w:jc w:val="both"/>
              <w:rPr>
                <w:b/>
                <w:bCs/>
                <w:color w:val="000000"/>
                <w:sz w:val="18"/>
                <w:szCs w:val="18"/>
              </w:rPr>
            </w:pPr>
            <w:r w:rsidRPr="00CE4E1F">
              <w:rPr>
                <w:color w:val="000000"/>
                <w:sz w:val="18"/>
                <w:szCs w:val="18"/>
              </w:rPr>
              <w:t>339</w:t>
            </w:r>
          </w:p>
        </w:tc>
      </w:tr>
      <w:tr w:rsidR="004A0554" w:rsidRPr="00CE4E1F" w14:paraId="7198DFB7"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FE10337" w14:textId="77777777" w:rsidR="004A0554" w:rsidRPr="00CE4E1F" w:rsidRDefault="004A0554" w:rsidP="00742F09">
            <w:pPr>
              <w:spacing w:line="360" w:lineRule="auto"/>
              <w:contextualSpacing/>
              <w:jc w:val="both"/>
              <w:rPr>
                <w:b/>
                <w:bCs/>
                <w:color w:val="000000"/>
                <w:sz w:val="18"/>
                <w:szCs w:val="18"/>
              </w:rPr>
            </w:pPr>
            <w:r w:rsidRPr="00CE4E1F">
              <w:rPr>
                <w:b/>
                <w:bCs/>
                <w:color w:val="000000"/>
                <w:sz w:val="18"/>
                <w:szCs w:val="18"/>
              </w:rPr>
              <w:t>Patients - no.</w:t>
            </w:r>
          </w:p>
        </w:tc>
        <w:tc>
          <w:tcPr>
            <w:tcW w:w="3780" w:type="dxa"/>
            <w:tcBorders>
              <w:top w:val="nil"/>
              <w:left w:val="nil"/>
              <w:bottom w:val="single" w:sz="4" w:space="0" w:color="auto"/>
              <w:right w:val="single" w:sz="4" w:space="0" w:color="auto"/>
            </w:tcBorders>
            <w:shd w:val="clear" w:color="auto" w:fill="auto"/>
            <w:noWrap/>
            <w:hideMark/>
          </w:tcPr>
          <w:p w14:paraId="164509E2"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304</w:t>
            </w:r>
          </w:p>
        </w:tc>
      </w:tr>
      <w:tr w:rsidR="004A0554" w:rsidRPr="00CE4E1F" w14:paraId="5427453A"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0CB6DAA" w14:textId="77777777" w:rsidR="004A0554" w:rsidRPr="00CE4E1F" w:rsidRDefault="004A0554" w:rsidP="00742F09">
            <w:pPr>
              <w:spacing w:line="360" w:lineRule="auto"/>
              <w:contextualSpacing/>
              <w:jc w:val="both"/>
              <w:rPr>
                <w:b/>
                <w:bCs/>
                <w:color w:val="000000"/>
                <w:sz w:val="18"/>
                <w:szCs w:val="18"/>
              </w:rPr>
            </w:pPr>
            <w:r w:rsidRPr="00CE4E1F">
              <w:rPr>
                <w:b/>
                <w:bCs/>
                <w:color w:val="000000"/>
                <w:sz w:val="18"/>
                <w:szCs w:val="18"/>
              </w:rPr>
              <w:t>Females - no. (%)</w:t>
            </w:r>
          </w:p>
        </w:tc>
        <w:tc>
          <w:tcPr>
            <w:tcW w:w="3780" w:type="dxa"/>
            <w:tcBorders>
              <w:top w:val="nil"/>
              <w:left w:val="nil"/>
              <w:bottom w:val="single" w:sz="4" w:space="0" w:color="auto"/>
              <w:right w:val="single" w:sz="4" w:space="0" w:color="auto"/>
            </w:tcBorders>
            <w:shd w:val="clear" w:color="auto" w:fill="auto"/>
            <w:noWrap/>
            <w:hideMark/>
          </w:tcPr>
          <w:p w14:paraId="673AC1BC"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212 (69.7)</w:t>
            </w:r>
          </w:p>
        </w:tc>
      </w:tr>
      <w:tr w:rsidR="004A0554" w:rsidRPr="00CE4E1F" w14:paraId="04DFCF8C"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197AC8C" w14:textId="77777777" w:rsidR="004A0554" w:rsidRPr="00CE4E1F" w:rsidRDefault="004A0554" w:rsidP="00742F09">
            <w:pPr>
              <w:spacing w:line="360" w:lineRule="auto"/>
              <w:contextualSpacing/>
              <w:jc w:val="both"/>
              <w:rPr>
                <w:b/>
                <w:bCs/>
                <w:color w:val="000000"/>
                <w:sz w:val="18"/>
                <w:szCs w:val="18"/>
              </w:rPr>
            </w:pPr>
            <w:r w:rsidRPr="00CE4E1F">
              <w:rPr>
                <w:b/>
                <w:bCs/>
                <w:color w:val="000000"/>
                <w:sz w:val="18"/>
                <w:szCs w:val="18"/>
              </w:rPr>
              <w:t>Median age (IQR) - yr.</w:t>
            </w:r>
          </w:p>
        </w:tc>
        <w:tc>
          <w:tcPr>
            <w:tcW w:w="3780" w:type="dxa"/>
            <w:tcBorders>
              <w:top w:val="nil"/>
              <w:left w:val="nil"/>
              <w:bottom w:val="single" w:sz="4" w:space="0" w:color="auto"/>
              <w:right w:val="single" w:sz="4" w:space="0" w:color="auto"/>
            </w:tcBorders>
            <w:shd w:val="clear" w:color="auto" w:fill="auto"/>
            <w:noWrap/>
            <w:hideMark/>
          </w:tcPr>
          <w:p w14:paraId="32C32E9B"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58.2 (48.8-68.4)</w:t>
            </w:r>
          </w:p>
        </w:tc>
      </w:tr>
      <w:tr w:rsidR="004A0554" w:rsidRPr="00CE4E1F" w14:paraId="367AEB29"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929E7AB" w14:textId="77777777" w:rsidR="004A0554" w:rsidRPr="00CE4E1F" w:rsidRDefault="004A0554" w:rsidP="00742F09">
            <w:pPr>
              <w:spacing w:line="360" w:lineRule="auto"/>
              <w:contextualSpacing/>
              <w:jc w:val="both"/>
              <w:rPr>
                <w:b/>
                <w:bCs/>
                <w:color w:val="000000"/>
                <w:sz w:val="18"/>
                <w:szCs w:val="18"/>
              </w:rPr>
            </w:pPr>
            <w:r w:rsidRPr="00CE4E1F">
              <w:rPr>
                <w:b/>
                <w:bCs/>
                <w:color w:val="000000"/>
                <w:sz w:val="18"/>
                <w:szCs w:val="18"/>
              </w:rPr>
              <w:t>Setting - no. (%)</w:t>
            </w:r>
          </w:p>
        </w:tc>
        <w:tc>
          <w:tcPr>
            <w:tcW w:w="3780" w:type="dxa"/>
            <w:tcBorders>
              <w:top w:val="nil"/>
              <w:left w:val="nil"/>
              <w:bottom w:val="single" w:sz="4" w:space="0" w:color="auto"/>
              <w:right w:val="single" w:sz="4" w:space="0" w:color="auto"/>
            </w:tcBorders>
            <w:shd w:val="clear" w:color="auto" w:fill="auto"/>
            <w:noWrap/>
            <w:hideMark/>
          </w:tcPr>
          <w:p w14:paraId="77A956FC"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 </w:t>
            </w:r>
          </w:p>
        </w:tc>
      </w:tr>
      <w:tr w:rsidR="004A0554" w:rsidRPr="00CE4E1F" w14:paraId="05F5042A"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49C4B74" w14:textId="77777777" w:rsidR="004A0554" w:rsidRPr="00CE4E1F" w:rsidRDefault="004A0554" w:rsidP="00742F09">
            <w:pPr>
              <w:spacing w:line="360" w:lineRule="auto"/>
              <w:contextualSpacing/>
              <w:jc w:val="both"/>
              <w:rPr>
                <w:b/>
                <w:bCs/>
                <w:color w:val="000000"/>
                <w:sz w:val="18"/>
                <w:szCs w:val="18"/>
              </w:rPr>
            </w:pPr>
            <w:r w:rsidRPr="00CE4E1F">
              <w:rPr>
                <w:color w:val="000000"/>
                <w:sz w:val="18"/>
                <w:szCs w:val="18"/>
              </w:rPr>
              <w:t xml:space="preserve">        Primary</w:t>
            </w:r>
          </w:p>
        </w:tc>
        <w:tc>
          <w:tcPr>
            <w:tcW w:w="3780" w:type="dxa"/>
            <w:tcBorders>
              <w:top w:val="nil"/>
              <w:left w:val="nil"/>
              <w:bottom w:val="single" w:sz="4" w:space="0" w:color="auto"/>
              <w:right w:val="single" w:sz="4" w:space="0" w:color="auto"/>
            </w:tcBorders>
            <w:shd w:val="clear" w:color="auto" w:fill="auto"/>
            <w:noWrap/>
            <w:hideMark/>
          </w:tcPr>
          <w:p w14:paraId="1B076687"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277 (81.7)</w:t>
            </w:r>
          </w:p>
        </w:tc>
      </w:tr>
      <w:tr w:rsidR="004A0554" w:rsidRPr="00CE4E1F" w14:paraId="074506E2"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3AD7ECD"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t>Recurrent</w:t>
            </w:r>
          </w:p>
        </w:tc>
        <w:tc>
          <w:tcPr>
            <w:tcW w:w="3780" w:type="dxa"/>
            <w:tcBorders>
              <w:top w:val="nil"/>
              <w:left w:val="nil"/>
              <w:bottom w:val="single" w:sz="4" w:space="0" w:color="auto"/>
              <w:right w:val="single" w:sz="4" w:space="0" w:color="auto"/>
            </w:tcBorders>
            <w:shd w:val="clear" w:color="auto" w:fill="auto"/>
            <w:noWrap/>
            <w:hideMark/>
          </w:tcPr>
          <w:p w14:paraId="51E63325"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62 (18.3)</w:t>
            </w:r>
          </w:p>
        </w:tc>
      </w:tr>
      <w:tr w:rsidR="004A0554" w:rsidRPr="00CE4E1F" w14:paraId="054950FE"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E25C9EA" w14:textId="77777777" w:rsidR="004A0554" w:rsidRPr="00CE4E1F" w:rsidRDefault="004A0554" w:rsidP="00742F09">
            <w:pPr>
              <w:spacing w:line="360" w:lineRule="auto"/>
              <w:contextualSpacing/>
              <w:jc w:val="both"/>
              <w:rPr>
                <w:color w:val="000000"/>
                <w:sz w:val="18"/>
                <w:szCs w:val="18"/>
              </w:rPr>
            </w:pPr>
            <w:r w:rsidRPr="00CE4E1F">
              <w:rPr>
                <w:b/>
                <w:bCs/>
                <w:color w:val="000000"/>
                <w:sz w:val="18"/>
                <w:szCs w:val="18"/>
              </w:rPr>
              <w:t>Extent of resection - no. (%)</w:t>
            </w:r>
          </w:p>
        </w:tc>
        <w:tc>
          <w:tcPr>
            <w:tcW w:w="3780" w:type="dxa"/>
            <w:tcBorders>
              <w:top w:val="nil"/>
              <w:left w:val="nil"/>
              <w:bottom w:val="single" w:sz="4" w:space="0" w:color="auto"/>
              <w:right w:val="single" w:sz="4" w:space="0" w:color="auto"/>
            </w:tcBorders>
            <w:shd w:val="clear" w:color="auto" w:fill="auto"/>
            <w:noWrap/>
            <w:hideMark/>
          </w:tcPr>
          <w:p w14:paraId="0AC01098"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 </w:t>
            </w:r>
          </w:p>
        </w:tc>
      </w:tr>
      <w:tr w:rsidR="004A0554" w:rsidRPr="00CE4E1F" w14:paraId="30B7121C"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8B4D578" w14:textId="77777777" w:rsidR="004A0554" w:rsidRPr="00CE4E1F" w:rsidRDefault="004A0554" w:rsidP="00742F09">
            <w:pPr>
              <w:spacing w:line="360" w:lineRule="auto"/>
              <w:contextualSpacing/>
              <w:jc w:val="both"/>
              <w:rPr>
                <w:b/>
                <w:bCs/>
                <w:color w:val="000000"/>
                <w:sz w:val="18"/>
                <w:szCs w:val="18"/>
              </w:rPr>
            </w:pPr>
            <w:r w:rsidRPr="00CE4E1F">
              <w:rPr>
                <w:color w:val="000000"/>
                <w:sz w:val="18"/>
                <w:szCs w:val="18"/>
              </w:rPr>
              <w:t xml:space="preserve">        Gross total</w:t>
            </w:r>
          </w:p>
        </w:tc>
        <w:tc>
          <w:tcPr>
            <w:tcW w:w="3780" w:type="dxa"/>
            <w:tcBorders>
              <w:top w:val="nil"/>
              <w:left w:val="nil"/>
              <w:bottom w:val="single" w:sz="4" w:space="0" w:color="auto"/>
              <w:right w:val="single" w:sz="4" w:space="0" w:color="auto"/>
            </w:tcBorders>
            <w:shd w:val="clear" w:color="auto" w:fill="auto"/>
            <w:noWrap/>
            <w:hideMark/>
          </w:tcPr>
          <w:p w14:paraId="7C6E5B72"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258 (76.1)</w:t>
            </w:r>
          </w:p>
        </w:tc>
      </w:tr>
      <w:tr w:rsidR="004A0554" w:rsidRPr="00CE4E1F" w14:paraId="45F500C1"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A3E9303"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t>Subtotal</w:t>
            </w:r>
          </w:p>
        </w:tc>
        <w:tc>
          <w:tcPr>
            <w:tcW w:w="3780" w:type="dxa"/>
            <w:tcBorders>
              <w:top w:val="nil"/>
              <w:left w:val="nil"/>
              <w:bottom w:val="single" w:sz="4" w:space="0" w:color="auto"/>
              <w:right w:val="single" w:sz="4" w:space="0" w:color="auto"/>
            </w:tcBorders>
            <w:shd w:val="clear" w:color="auto" w:fill="auto"/>
            <w:noWrap/>
            <w:hideMark/>
          </w:tcPr>
          <w:p w14:paraId="4D9AC7EF"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74 (21.8)</w:t>
            </w:r>
          </w:p>
        </w:tc>
      </w:tr>
      <w:tr w:rsidR="004A0554" w:rsidRPr="00CE4E1F" w14:paraId="6F1F35ED"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32AB94A" w14:textId="77777777" w:rsidR="004A0554" w:rsidRPr="00CE4E1F" w:rsidRDefault="004A0554" w:rsidP="00742F09">
            <w:pPr>
              <w:spacing w:line="360" w:lineRule="auto"/>
              <w:contextualSpacing/>
              <w:jc w:val="both"/>
              <w:rPr>
                <w:color w:val="000000"/>
                <w:sz w:val="18"/>
                <w:szCs w:val="18"/>
              </w:rPr>
            </w:pPr>
            <w:r w:rsidRPr="00CE4E1F">
              <w:rPr>
                <w:b/>
                <w:bCs/>
                <w:color w:val="000000"/>
                <w:sz w:val="18"/>
                <w:szCs w:val="18"/>
              </w:rPr>
              <w:t>WHO 2016 grade - no. (%)</w:t>
            </w:r>
          </w:p>
        </w:tc>
        <w:tc>
          <w:tcPr>
            <w:tcW w:w="3780" w:type="dxa"/>
            <w:tcBorders>
              <w:top w:val="nil"/>
              <w:left w:val="nil"/>
              <w:bottom w:val="single" w:sz="4" w:space="0" w:color="auto"/>
              <w:right w:val="single" w:sz="4" w:space="0" w:color="auto"/>
            </w:tcBorders>
            <w:shd w:val="clear" w:color="auto" w:fill="auto"/>
            <w:noWrap/>
            <w:hideMark/>
          </w:tcPr>
          <w:p w14:paraId="7913292A"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 </w:t>
            </w:r>
          </w:p>
        </w:tc>
      </w:tr>
      <w:tr w:rsidR="004A0554" w:rsidRPr="00CE4E1F" w14:paraId="49AD1C94"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B64C71A" w14:textId="77777777" w:rsidR="004A0554" w:rsidRPr="00CE4E1F" w:rsidRDefault="004A0554" w:rsidP="00742F09">
            <w:pPr>
              <w:spacing w:line="360" w:lineRule="auto"/>
              <w:contextualSpacing/>
              <w:jc w:val="both"/>
              <w:rPr>
                <w:b/>
                <w:bCs/>
                <w:color w:val="000000"/>
                <w:sz w:val="18"/>
                <w:szCs w:val="18"/>
              </w:rPr>
            </w:pPr>
            <w:r w:rsidRPr="00CE4E1F">
              <w:rPr>
                <w:color w:val="000000"/>
                <w:sz w:val="18"/>
                <w:szCs w:val="18"/>
              </w:rPr>
              <w:t xml:space="preserve">        1</w:t>
            </w:r>
          </w:p>
        </w:tc>
        <w:tc>
          <w:tcPr>
            <w:tcW w:w="3780" w:type="dxa"/>
            <w:tcBorders>
              <w:top w:val="nil"/>
              <w:left w:val="nil"/>
              <w:bottom w:val="single" w:sz="4" w:space="0" w:color="auto"/>
              <w:right w:val="single" w:sz="4" w:space="0" w:color="auto"/>
            </w:tcBorders>
            <w:shd w:val="clear" w:color="auto" w:fill="auto"/>
            <w:noWrap/>
            <w:hideMark/>
          </w:tcPr>
          <w:p w14:paraId="0436E99F"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277 (81.7)</w:t>
            </w:r>
          </w:p>
        </w:tc>
      </w:tr>
      <w:tr w:rsidR="004A0554" w:rsidRPr="00CE4E1F" w14:paraId="3218466A"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12E2CDD"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hideMark/>
          </w:tcPr>
          <w:p w14:paraId="337BDE9F"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57 (16.8)</w:t>
            </w:r>
          </w:p>
        </w:tc>
      </w:tr>
      <w:tr w:rsidR="004A0554" w:rsidRPr="00CE4E1F" w14:paraId="2D6E09EC"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8522360"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hideMark/>
          </w:tcPr>
          <w:p w14:paraId="32241608"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5 (1.5)</w:t>
            </w:r>
          </w:p>
        </w:tc>
      </w:tr>
      <w:tr w:rsidR="004A0554" w:rsidRPr="00CE4E1F" w14:paraId="5CDE3740"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717F747A" w14:textId="77777777" w:rsidR="004A0554" w:rsidRPr="00CE4E1F" w:rsidRDefault="004A0554" w:rsidP="00742F09">
            <w:pPr>
              <w:spacing w:line="360" w:lineRule="auto"/>
              <w:contextualSpacing/>
              <w:jc w:val="both"/>
              <w:rPr>
                <w:color w:val="000000"/>
                <w:sz w:val="18"/>
                <w:szCs w:val="18"/>
              </w:rPr>
            </w:pPr>
            <w:r w:rsidRPr="00CE4E1F">
              <w:rPr>
                <w:b/>
                <w:bCs/>
                <w:color w:val="000000"/>
                <w:sz w:val="18"/>
                <w:szCs w:val="18"/>
              </w:rPr>
              <w:t>WHO 2021 grade - no. (%)</w:t>
            </w:r>
          </w:p>
        </w:tc>
        <w:tc>
          <w:tcPr>
            <w:tcW w:w="3780" w:type="dxa"/>
            <w:tcBorders>
              <w:top w:val="nil"/>
              <w:left w:val="nil"/>
              <w:bottom w:val="single" w:sz="4" w:space="0" w:color="auto"/>
              <w:right w:val="single" w:sz="4" w:space="0" w:color="auto"/>
            </w:tcBorders>
            <w:shd w:val="clear" w:color="auto" w:fill="auto"/>
            <w:noWrap/>
          </w:tcPr>
          <w:p w14:paraId="41A4730B"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 </w:t>
            </w:r>
          </w:p>
        </w:tc>
      </w:tr>
      <w:tr w:rsidR="004A0554" w:rsidRPr="00CE4E1F" w14:paraId="0A3CA39C"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53FA6C50"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t>1</w:t>
            </w:r>
          </w:p>
        </w:tc>
        <w:tc>
          <w:tcPr>
            <w:tcW w:w="3780" w:type="dxa"/>
            <w:tcBorders>
              <w:top w:val="nil"/>
              <w:left w:val="nil"/>
              <w:bottom w:val="single" w:sz="4" w:space="0" w:color="auto"/>
              <w:right w:val="single" w:sz="4" w:space="0" w:color="auto"/>
            </w:tcBorders>
            <w:shd w:val="clear" w:color="auto" w:fill="auto"/>
            <w:noWrap/>
          </w:tcPr>
          <w:p w14:paraId="491A1FA4"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272 (80.2)</w:t>
            </w:r>
          </w:p>
        </w:tc>
      </w:tr>
      <w:tr w:rsidR="004A0554" w:rsidRPr="00CE4E1F" w14:paraId="2B67B305"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535D40A8"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tcPr>
          <w:p w14:paraId="3B865495"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46 (13.6)</w:t>
            </w:r>
          </w:p>
        </w:tc>
      </w:tr>
      <w:tr w:rsidR="004A0554" w:rsidRPr="00CE4E1F" w14:paraId="2FD1D849"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44B86F5"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tcPr>
          <w:p w14:paraId="20852B10"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21 (6.2)</w:t>
            </w:r>
          </w:p>
        </w:tc>
      </w:tr>
      <w:tr w:rsidR="004A0554" w:rsidRPr="00CE4E1F" w14:paraId="7A876BA0"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20632956" w14:textId="77777777" w:rsidR="004A0554" w:rsidRPr="00CE4E1F" w:rsidRDefault="004A0554" w:rsidP="00742F09">
            <w:pPr>
              <w:spacing w:line="360" w:lineRule="auto"/>
              <w:contextualSpacing/>
              <w:jc w:val="both"/>
              <w:rPr>
                <w:b/>
                <w:bCs/>
                <w:color w:val="000000"/>
                <w:sz w:val="18"/>
                <w:szCs w:val="18"/>
              </w:rPr>
            </w:pPr>
            <w:r w:rsidRPr="00CE4E1F">
              <w:rPr>
                <w:b/>
                <w:bCs/>
                <w:color w:val="000000"/>
                <w:sz w:val="18"/>
                <w:szCs w:val="18"/>
              </w:rPr>
              <w:t>Somatic short variant sequencing</w:t>
            </w:r>
          </w:p>
        </w:tc>
        <w:tc>
          <w:tcPr>
            <w:tcW w:w="3780" w:type="dxa"/>
            <w:tcBorders>
              <w:top w:val="nil"/>
              <w:left w:val="nil"/>
              <w:bottom w:val="single" w:sz="4" w:space="0" w:color="auto"/>
              <w:right w:val="single" w:sz="4" w:space="0" w:color="auto"/>
            </w:tcBorders>
            <w:shd w:val="clear" w:color="auto" w:fill="auto"/>
            <w:noWrap/>
          </w:tcPr>
          <w:p w14:paraId="1735804B"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35 (10.3)</w:t>
            </w:r>
          </w:p>
        </w:tc>
      </w:tr>
      <w:tr w:rsidR="004A0554" w:rsidRPr="00CE4E1F" w14:paraId="3F1E692B"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838C3AD" w14:textId="77777777" w:rsidR="004A0554" w:rsidRPr="00CE4E1F" w:rsidRDefault="004A0554" w:rsidP="00742F09">
            <w:pPr>
              <w:spacing w:line="360" w:lineRule="auto"/>
              <w:contextualSpacing/>
              <w:jc w:val="both"/>
              <w:rPr>
                <w:b/>
                <w:bCs/>
                <w:color w:val="000000"/>
                <w:sz w:val="18"/>
                <w:szCs w:val="18"/>
              </w:rPr>
            </w:pPr>
            <w:r w:rsidRPr="00CE4E1F">
              <w:rPr>
                <w:b/>
                <w:bCs/>
                <w:i/>
                <w:iCs/>
                <w:color w:val="000000"/>
                <w:sz w:val="18"/>
                <w:szCs w:val="18"/>
              </w:rPr>
              <w:t xml:space="preserve">TERT </w:t>
            </w:r>
            <w:r w:rsidRPr="00CE4E1F">
              <w:rPr>
                <w:b/>
                <w:bCs/>
                <w:color w:val="000000"/>
                <w:sz w:val="18"/>
                <w:szCs w:val="18"/>
              </w:rPr>
              <w:t>promoter sequencing*</w:t>
            </w:r>
          </w:p>
        </w:tc>
        <w:tc>
          <w:tcPr>
            <w:tcW w:w="3780" w:type="dxa"/>
            <w:tcBorders>
              <w:top w:val="nil"/>
              <w:left w:val="nil"/>
              <w:bottom w:val="single" w:sz="4" w:space="0" w:color="auto"/>
              <w:right w:val="single" w:sz="4" w:space="0" w:color="auto"/>
            </w:tcBorders>
            <w:shd w:val="clear" w:color="auto" w:fill="auto"/>
            <w:noWrap/>
            <w:hideMark/>
          </w:tcPr>
          <w:p w14:paraId="74B782B6"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332 (97.9)</w:t>
            </w:r>
          </w:p>
        </w:tc>
      </w:tr>
      <w:tr w:rsidR="004A0554" w:rsidRPr="00CE4E1F" w14:paraId="630BD254"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0CB56393" w14:textId="77777777" w:rsidR="004A0554" w:rsidRPr="00CE4E1F" w:rsidRDefault="004A0554" w:rsidP="00742F09">
            <w:pPr>
              <w:spacing w:line="360" w:lineRule="auto"/>
              <w:ind w:left="519"/>
              <w:contextualSpacing/>
              <w:jc w:val="both"/>
              <w:rPr>
                <w:bCs/>
                <w:iCs/>
                <w:color w:val="000000"/>
                <w:sz w:val="18"/>
                <w:szCs w:val="18"/>
              </w:rPr>
            </w:pPr>
            <w:r w:rsidRPr="00CE4E1F">
              <w:rPr>
                <w:bCs/>
                <w:iCs/>
                <w:color w:val="000000"/>
                <w:sz w:val="18"/>
                <w:szCs w:val="18"/>
              </w:rPr>
              <w:t>C228T mutant</w:t>
            </w:r>
          </w:p>
        </w:tc>
        <w:tc>
          <w:tcPr>
            <w:tcW w:w="3780" w:type="dxa"/>
            <w:tcBorders>
              <w:top w:val="nil"/>
              <w:left w:val="nil"/>
              <w:bottom w:val="single" w:sz="4" w:space="0" w:color="auto"/>
              <w:right w:val="single" w:sz="4" w:space="0" w:color="auto"/>
            </w:tcBorders>
            <w:shd w:val="clear" w:color="auto" w:fill="auto"/>
            <w:noWrap/>
          </w:tcPr>
          <w:p w14:paraId="25B9C6C9"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7 (2.1)</w:t>
            </w:r>
          </w:p>
        </w:tc>
      </w:tr>
      <w:tr w:rsidR="004A0554" w:rsidRPr="00CE4E1F" w14:paraId="216AC657"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5790BB07" w14:textId="77777777" w:rsidR="004A0554" w:rsidRPr="00CE4E1F" w:rsidRDefault="004A0554" w:rsidP="00742F09">
            <w:pPr>
              <w:spacing w:line="360" w:lineRule="auto"/>
              <w:ind w:left="519"/>
              <w:contextualSpacing/>
              <w:jc w:val="both"/>
              <w:rPr>
                <w:bCs/>
                <w:iCs/>
                <w:color w:val="000000"/>
                <w:sz w:val="18"/>
                <w:szCs w:val="18"/>
              </w:rPr>
            </w:pPr>
            <w:r w:rsidRPr="00CE4E1F">
              <w:rPr>
                <w:bCs/>
                <w:iCs/>
                <w:color w:val="000000"/>
                <w:sz w:val="18"/>
                <w:szCs w:val="18"/>
              </w:rPr>
              <w:t>C250T mutant</w:t>
            </w:r>
          </w:p>
        </w:tc>
        <w:tc>
          <w:tcPr>
            <w:tcW w:w="3780" w:type="dxa"/>
            <w:tcBorders>
              <w:top w:val="nil"/>
              <w:left w:val="nil"/>
              <w:bottom w:val="single" w:sz="4" w:space="0" w:color="auto"/>
              <w:right w:val="single" w:sz="4" w:space="0" w:color="auto"/>
            </w:tcBorders>
            <w:shd w:val="clear" w:color="auto" w:fill="auto"/>
            <w:noWrap/>
          </w:tcPr>
          <w:p w14:paraId="6663E591"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0 (0.0)</w:t>
            </w:r>
          </w:p>
        </w:tc>
      </w:tr>
      <w:tr w:rsidR="004A0554" w:rsidRPr="00CE4E1F" w14:paraId="07A5A96A"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1847C935" w14:textId="77777777" w:rsidR="004A0554" w:rsidRPr="00CE4E1F" w:rsidRDefault="004A0554" w:rsidP="00742F09">
            <w:pPr>
              <w:spacing w:line="360" w:lineRule="auto"/>
              <w:ind w:left="519"/>
              <w:contextualSpacing/>
              <w:jc w:val="both"/>
              <w:rPr>
                <w:bCs/>
                <w:iCs/>
                <w:color w:val="000000"/>
                <w:sz w:val="18"/>
                <w:szCs w:val="18"/>
              </w:rPr>
            </w:pPr>
            <w:r w:rsidRPr="00CE4E1F">
              <w:rPr>
                <w:bCs/>
                <w:iCs/>
                <w:color w:val="000000"/>
                <w:sz w:val="18"/>
                <w:szCs w:val="18"/>
              </w:rPr>
              <w:t>Other SNV*</w:t>
            </w:r>
          </w:p>
        </w:tc>
        <w:tc>
          <w:tcPr>
            <w:tcW w:w="3780" w:type="dxa"/>
            <w:tcBorders>
              <w:top w:val="nil"/>
              <w:left w:val="nil"/>
              <w:bottom w:val="single" w:sz="4" w:space="0" w:color="auto"/>
              <w:right w:val="single" w:sz="4" w:space="0" w:color="auto"/>
            </w:tcBorders>
            <w:shd w:val="clear" w:color="auto" w:fill="auto"/>
            <w:noWrap/>
          </w:tcPr>
          <w:p w14:paraId="14FEA251"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 (0.6)</w:t>
            </w:r>
          </w:p>
        </w:tc>
      </w:tr>
      <w:tr w:rsidR="002257BE" w:rsidRPr="00CE4E1F" w14:paraId="4733D3E9"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960EC85" w14:textId="65B96A00" w:rsidR="002257BE" w:rsidRPr="00CE4E1F" w:rsidRDefault="002257BE" w:rsidP="00742F09">
            <w:pPr>
              <w:spacing w:line="360" w:lineRule="auto"/>
              <w:contextualSpacing/>
              <w:jc w:val="both"/>
              <w:rPr>
                <w:b/>
                <w:bCs/>
                <w:color w:val="000000"/>
                <w:sz w:val="18"/>
                <w:szCs w:val="18"/>
              </w:rPr>
            </w:pPr>
            <w:r w:rsidRPr="00CE4E1F">
              <w:rPr>
                <w:b/>
                <w:bCs/>
                <w:color w:val="000000"/>
                <w:sz w:val="18"/>
                <w:szCs w:val="18"/>
              </w:rPr>
              <w:t xml:space="preserve">Copy number variants (including </w:t>
            </w:r>
            <w:r w:rsidRPr="00CE4E1F">
              <w:rPr>
                <w:b/>
                <w:bCs/>
                <w:i/>
                <w:iCs/>
                <w:color w:val="000000"/>
                <w:sz w:val="18"/>
                <w:szCs w:val="18"/>
              </w:rPr>
              <w:t>CDKN2A</w:t>
            </w:r>
            <w:r>
              <w:rPr>
                <w:b/>
                <w:bCs/>
                <w:i/>
                <w:iCs/>
                <w:color w:val="000000"/>
                <w:sz w:val="18"/>
                <w:szCs w:val="18"/>
              </w:rPr>
              <w:t>/B</w:t>
            </w:r>
            <w:r w:rsidRPr="00CE4E1F">
              <w:rPr>
                <w:b/>
                <w:bCs/>
                <w:color w:val="000000"/>
                <w:sz w:val="18"/>
                <w:szCs w:val="18"/>
              </w:rPr>
              <w:t xml:space="preserve"> zygosity)</w:t>
            </w:r>
          </w:p>
        </w:tc>
        <w:tc>
          <w:tcPr>
            <w:tcW w:w="3780" w:type="dxa"/>
            <w:tcBorders>
              <w:top w:val="nil"/>
              <w:left w:val="nil"/>
              <w:bottom w:val="single" w:sz="4" w:space="0" w:color="auto"/>
              <w:right w:val="single" w:sz="4" w:space="0" w:color="auto"/>
            </w:tcBorders>
            <w:shd w:val="clear" w:color="auto" w:fill="auto"/>
            <w:noWrap/>
            <w:hideMark/>
          </w:tcPr>
          <w:p w14:paraId="165EA02E" w14:textId="77777777" w:rsidR="002257BE" w:rsidRPr="00CE4E1F" w:rsidRDefault="002257BE" w:rsidP="00742F09">
            <w:pPr>
              <w:spacing w:line="360" w:lineRule="auto"/>
              <w:contextualSpacing/>
              <w:jc w:val="both"/>
              <w:rPr>
                <w:color w:val="000000"/>
                <w:sz w:val="18"/>
                <w:szCs w:val="18"/>
              </w:rPr>
            </w:pPr>
            <w:r w:rsidRPr="00CE4E1F">
              <w:rPr>
                <w:color w:val="000000"/>
                <w:sz w:val="18"/>
                <w:szCs w:val="18"/>
              </w:rPr>
              <w:t>339 (100)</w:t>
            </w:r>
          </w:p>
        </w:tc>
      </w:tr>
      <w:tr w:rsidR="002257BE" w:rsidRPr="00CE4E1F" w14:paraId="75F13F8F"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2A556B43" w14:textId="39A78550" w:rsidR="002257BE" w:rsidRPr="00CE4E1F" w:rsidRDefault="002257BE" w:rsidP="00742F09">
            <w:pPr>
              <w:spacing w:line="360" w:lineRule="auto"/>
              <w:contextualSpacing/>
              <w:jc w:val="both"/>
              <w:rPr>
                <w:b/>
                <w:bCs/>
                <w:color w:val="000000"/>
                <w:sz w:val="18"/>
                <w:szCs w:val="18"/>
              </w:rPr>
            </w:pPr>
            <w:r w:rsidRPr="00CE4E1F">
              <w:rPr>
                <w:b/>
                <w:bCs/>
                <w:i/>
                <w:color w:val="000000"/>
                <w:sz w:val="18"/>
                <w:szCs w:val="18"/>
              </w:rPr>
              <w:t>CDKN2A</w:t>
            </w:r>
            <w:r>
              <w:rPr>
                <w:b/>
                <w:bCs/>
                <w:i/>
                <w:color w:val="000000"/>
                <w:sz w:val="18"/>
                <w:szCs w:val="18"/>
              </w:rPr>
              <w:t>/B</w:t>
            </w:r>
            <w:r w:rsidRPr="00CE4E1F">
              <w:rPr>
                <w:b/>
                <w:bCs/>
                <w:i/>
                <w:color w:val="000000"/>
                <w:sz w:val="18"/>
                <w:szCs w:val="18"/>
              </w:rPr>
              <w:t xml:space="preserve"> </w:t>
            </w:r>
            <w:r w:rsidRPr="00CE4E1F">
              <w:rPr>
                <w:b/>
                <w:bCs/>
                <w:color w:val="000000"/>
                <w:sz w:val="18"/>
                <w:szCs w:val="18"/>
              </w:rPr>
              <w:t>deletion (hetero</w:t>
            </w:r>
            <w:r>
              <w:rPr>
                <w:b/>
                <w:bCs/>
                <w:color w:val="000000"/>
                <w:sz w:val="18"/>
                <w:szCs w:val="18"/>
              </w:rPr>
              <w:t>zygous/</w:t>
            </w:r>
            <w:r w:rsidRPr="00CE4E1F">
              <w:rPr>
                <w:b/>
                <w:bCs/>
                <w:color w:val="000000"/>
                <w:sz w:val="18"/>
                <w:szCs w:val="18"/>
              </w:rPr>
              <w:t>homozygous)</w:t>
            </w:r>
          </w:p>
        </w:tc>
        <w:tc>
          <w:tcPr>
            <w:tcW w:w="3780" w:type="dxa"/>
            <w:tcBorders>
              <w:top w:val="nil"/>
              <w:left w:val="nil"/>
              <w:bottom w:val="single" w:sz="4" w:space="0" w:color="auto"/>
              <w:right w:val="single" w:sz="4" w:space="0" w:color="auto"/>
            </w:tcBorders>
            <w:shd w:val="clear" w:color="auto" w:fill="auto"/>
            <w:noWrap/>
          </w:tcPr>
          <w:p w14:paraId="2A00A61C" w14:textId="77777777" w:rsidR="002257BE" w:rsidRPr="00CE4E1F" w:rsidRDefault="002257BE" w:rsidP="00742F09">
            <w:pPr>
              <w:spacing w:line="360" w:lineRule="auto"/>
              <w:contextualSpacing/>
              <w:jc w:val="both"/>
              <w:rPr>
                <w:color w:val="000000"/>
                <w:sz w:val="18"/>
                <w:szCs w:val="18"/>
              </w:rPr>
            </w:pPr>
            <w:r w:rsidRPr="00CE4E1F">
              <w:rPr>
                <w:color w:val="000000"/>
                <w:sz w:val="18"/>
                <w:szCs w:val="18"/>
              </w:rPr>
              <w:t>7 (2.1)/11 (3.2)</w:t>
            </w:r>
          </w:p>
        </w:tc>
      </w:tr>
      <w:tr w:rsidR="004A0554" w:rsidRPr="00CE4E1F" w14:paraId="7A779DF3"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4320446A" w14:textId="77777777" w:rsidR="004A0554" w:rsidRPr="00CE4E1F" w:rsidRDefault="004A0554" w:rsidP="00742F09">
            <w:pPr>
              <w:spacing w:line="360" w:lineRule="auto"/>
              <w:contextualSpacing/>
              <w:jc w:val="both"/>
              <w:rPr>
                <w:color w:val="000000"/>
                <w:sz w:val="18"/>
                <w:szCs w:val="18"/>
              </w:rPr>
            </w:pPr>
            <w:r w:rsidRPr="00CE4E1F">
              <w:rPr>
                <w:b/>
                <w:bCs/>
                <w:color w:val="000000"/>
                <w:sz w:val="18"/>
                <w:szCs w:val="18"/>
              </w:rPr>
              <w:t>DNA methylation profiling - no. (%)</w:t>
            </w:r>
          </w:p>
        </w:tc>
        <w:tc>
          <w:tcPr>
            <w:tcW w:w="3780" w:type="dxa"/>
            <w:tcBorders>
              <w:top w:val="nil"/>
              <w:left w:val="nil"/>
              <w:bottom w:val="single" w:sz="4" w:space="0" w:color="auto"/>
              <w:right w:val="single" w:sz="4" w:space="0" w:color="auto"/>
            </w:tcBorders>
            <w:shd w:val="clear" w:color="auto" w:fill="auto"/>
            <w:noWrap/>
            <w:hideMark/>
          </w:tcPr>
          <w:p w14:paraId="47ED6CE6"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339 (100)</w:t>
            </w:r>
          </w:p>
        </w:tc>
      </w:tr>
      <w:tr w:rsidR="004A0554" w:rsidRPr="00CE4E1F" w14:paraId="401D0341"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9F370C8" w14:textId="77777777" w:rsidR="004A0554" w:rsidRPr="00CE4E1F" w:rsidRDefault="004A0554" w:rsidP="00742F09">
            <w:pPr>
              <w:spacing w:line="360" w:lineRule="auto"/>
              <w:contextualSpacing/>
              <w:jc w:val="both"/>
              <w:rPr>
                <w:color w:val="000000"/>
                <w:sz w:val="18"/>
                <w:szCs w:val="18"/>
              </w:rPr>
            </w:pPr>
            <w:r w:rsidRPr="00CE4E1F">
              <w:rPr>
                <w:b/>
                <w:bCs/>
                <w:color w:val="000000"/>
                <w:sz w:val="18"/>
                <w:szCs w:val="18"/>
              </w:rPr>
              <w:t>RNA sequencing</w:t>
            </w:r>
          </w:p>
        </w:tc>
        <w:tc>
          <w:tcPr>
            <w:tcW w:w="3780" w:type="dxa"/>
            <w:tcBorders>
              <w:top w:val="nil"/>
              <w:left w:val="nil"/>
              <w:bottom w:val="single" w:sz="4" w:space="0" w:color="auto"/>
              <w:right w:val="single" w:sz="4" w:space="0" w:color="auto"/>
            </w:tcBorders>
            <w:shd w:val="clear" w:color="auto" w:fill="auto"/>
            <w:noWrap/>
            <w:hideMark/>
          </w:tcPr>
          <w:p w14:paraId="6B3A8C15"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296 (87.3)</w:t>
            </w:r>
          </w:p>
        </w:tc>
      </w:tr>
      <w:tr w:rsidR="000239D5" w:rsidRPr="00CE4E1F" w14:paraId="3338AC43" w14:textId="77777777" w:rsidTr="00607ADC">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5B16907A" w14:textId="615B78D4" w:rsidR="000239D5" w:rsidRPr="00CE4E1F" w:rsidRDefault="000239D5" w:rsidP="00742F09">
            <w:pPr>
              <w:spacing w:line="360" w:lineRule="auto"/>
              <w:contextualSpacing/>
              <w:jc w:val="both"/>
              <w:rPr>
                <w:b/>
                <w:bCs/>
                <w:color w:val="000000"/>
                <w:sz w:val="18"/>
                <w:szCs w:val="18"/>
              </w:rPr>
            </w:pPr>
            <w:r>
              <w:rPr>
                <w:b/>
                <w:bCs/>
                <w:color w:val="000000"/>
                <w:sz w:val="18"/>
                <w:szCs w:val="18"/>
              </w:rPr>
              <w:t xml:space="preserve">Nanostring targeted gene expression profiling </w:t>
            </w:r>
            <w:r w:rsidRPr="00CE4E1F">
              <w:rPr>
                <w:b/>
                <w:bCs/>
                <w:color w:val="000000"/>
                <w:sz w:val="18"/>
                <w:szCs w:val="18"/>
              </w:rPr>
              <w:t>- no. (%)</w:t>
            </w:r>
          </w:p>
        </w:tc>
        <w:tc>
          <w:tcPr>
            <w:tcW w:w="3780" w:type="dxa"/>
            <w:tcBorders>
              <w:top w:val="nil"/>
              <w:left w:val="nil"/>
              <w:bottom w:val="single" w:sz="4" w:space="0" w:color="auto"/>
              <w:right w:val="single" w:sz="4" w:space="0" w:color="auto"/>
            </w:tcBorders>
            <w:shd w:val="clear" w:color="auto" w:fill="auto"/>
            <w:noWrap/>
          </w:tcPr>
          <w:p w14:paraId="0BB17DED" w14:textId="6FEC7ED6" w:rsidR="000239D5" w:rsidRPr="00CE4E1F" w:rsidRDefault="000239D5" w:rsidP="00742F09">
            <w:pPr>
              <w:spacing w:line="360" w:lineRule="auto"/>
              <w:contextualSpacing/>
              <w:jc w:val="both"/>
              <w:rPr>
                <w:color w:val="000000"/>
                <w:sz w:val="18"/>
                <w:szCs w:val="18"/>
              </w:rPr>
            </w:pPr>
            <w:r>
              <w:rPr>
                <w:color w:val="000000"/>
                <w:sz w:val="18"/>
                <w:szCs w:val="18"/>
              </w:rPr>
              <w:t>33</w:t>
            </w:r>
            <w:r w:rsidR="005625AD">
              <w:rPr>
                <w:color w:val="000000"/>
                <w:sz w:val="18"/>
                <w:szCs w:val="18"/>
              </w:rPr>
              <w:t>9</w:t>
            </w:r>
            <w:r>
              <w:rPr>
                <w:color w:val="000000"/>
                <w:sz w:val="18"/>
                <w:szCs w:val="18"/>
              </w:rPr>
              <w:t xml:space="preserve"> (100)</w:t>
            </w:r>
          </w:p>
        </w:tc>
      </w:tr>
      <w:tr w:rsidR="004A0554" w:rsidRPr="00CE4E1F" w14:paraId="59F27465"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412B7BF" w14:textId="77777777" w:rsidR="004A0554" w:rsidRPr="00CE4E1F" w:rsidRDefault="004A0554" w:rsidP="00742F09">
            <w:pPr>
              <w:spacing w:line="360" w:lineRule="auto"/>
              <w:contextualSpacing/>
              <w:jc w:val="both"/>
              <w:rPr>
                <w:color w:val="000000"/>
                <w:sz w:val="18"/>
                <w:szCs w:val="18"/>
              </w:rPr>
            </w:pPr>
            <w:r w:rsidRPr="00CE4E1F">
              <w:rPr>
                <w:b/>
                <w:bCs/>
                <w:color w:val="000000"/>
                <w:sz w:val="18"/>
                <w:szCs w:val="18"/>
              </w:rPr>
              <w:t>Gene expression risk score - no. (%)</w:t>
            </w:r>
          </w:p>
        </w:tc>
        <w:tc>
          <w:tcPr>
            <w:tcW w:w="3780" w:type="dxa"/>
            <w:tcBorders>
              <w:top w:val="nil"/>
              <w:left w:val="nil"/>
              <w:bottom w:val="single" w:sz="4" w:space="0" w:color="auto"/>
              <w:right w:val="single" w:sz="4" w:space="0" w:color="auto"/>
            </w:tcBorders>
            <w:shd w:val="clear" w:color="auto" w:fill="auto"/>
            <w:noWrap/>
            <w:hideMark/>
          </w:tcPr>
          <w:p w14:paraId="4D1FD9C7" w14:textId="77777777" w:rsidR="004A0554" w:rsidRPr="00CE4E1F" w:rsidRDefault="004A0554" w:rsidP="00742F09">
            <w:pPr>
              <w:spacing w:line="360" w:lineRule="auto"/>
              <w:contextualSpacing/>
              <w:jc w:val="both"/>
              <w:rPr>
                <w:color w:val="000000"/>
                <w:sz w:val="18"/>
                <w:szCs w:val="18"/>
              </w:rPr>
            </w:pPr>
          </w:p>
        </w:tc>
      </w:tr>
      <w:tr w:rsidR="004A0554" w:rsidRPr="00CE4E1F" w14:paraId="63250ECB"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5681D02"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 xml:space="preserve">        </w:t>
            </w:r>
            <w:r w:rsidRPr="00CE4E1F">
              <w:rPr>
                <w:bCs/>
                <w:color w:val="000000"/>
                <w:sz w:val="18"/>
                <w:szCs w:val="18"/>
              </w:rPr>
              <w:t xml:space="preserve">Low </w:t>
            </w:r>
          </w:p>
        </w:tc>
        <w:tc>
          <w:tcPr>
            <w:tcW w:w="3780" w:type="dxa"/>
            <w:tcBorders>
              <w:top w:val="nil"/>
              <w:left w:val="nil"/>
              <w:bottom w:val="single" w:sz="4" w:space="0" w:color="auto"/>
              <w:right w:val="single" w:sz="4" w:space="0" w:color="auto"/>
            </w:tcBorders>
            <w:shd w:val="clear" w:color="auto" w:fill="auto"/>
            <w:noWrap/>
          </w:tcPr>
          <w:p w14:paraId="462DB928"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122 (36.0)</w:t>
            </w:r>
          </w:p>
        </w:tc>
      </w:tr>
      <w:tr w:rsidR="004A0554" w:rsidRPr="00CE4E1F" w14:paraId="704FAA4E"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1FB564BB" w14:textId="77777777" w:rsidR="004A0554" w:rsidRPr="00CE4E1F" w:rsidRDefault="004A0554" w:rsidP="00742F09">
            <w:pPr>
              <w:spacing w:line="360" w:lineRule="auto"/>
              <w:ind w:firstLineChars="200" w:firstLine="360"/>
              <w:contextualSpacing/>
              <w:jc w:val="both"/>
              <w:rPr>
                <w:color w:val="000000"/>
                <w:sz w:val="18"/>
                <w:szCs w:val="18"/>
              </w:rPr>
            </w:pPr>
            <w:r w:rsidRPr="00CE4E1F">
              <w:rPr>
                <w:bCs/>
                <w:color w:val="000000"/>
                <w:sz w:val="18"/>
                <w:szCs w:val="18"/>
              </w:rPr>
              <w:t xml:space="preserve">Intermediate </w:t>
            </w:r>
          </w:p>
        </w:tc>
        <w:tc>
          <w:tcPr>
            <w:tcW w:w="3780" w:type="dxa"/>
            <w:tcBorders>
              <w:top w:val="nil"/>
              <w:left w:val="nil"/>
              <w:bottom w:val="single" w:sz="4" w:space="0" w:color="auto"/>
              <w:right w:val="single" w:sz="4" w:space="0" w:color="auto"/>
            </w:tcBorders>
            <w:shd w:val="clear" w:color="auto" w:fill="auto"/>
            <w:noWrap/>
          </w:tcPr>
          <w:p w14:paraId="0CE60B64"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151 (44.5)</w:t>
            </w:r>
          </w:p>
        </w:tc>
      </w:tr>
      <w:tr w:rsidR="004A0554" w:rsidRPr="00CE4E1F" w14:paraId="3E398933"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3B456E45" w14:textId="77777777" w:rsidR="004A0554" w:rsidRPr="00CE4E1F" w:rsidRDefault="004A0554" w:rsidP="00742F09">
            <w:pPr>
              <w:spacing w:line="360" w:lineRule="auto"/>
              <w:ind w:firstLineChars="200" w:firstLine="360"/>
              <w:contextualSpacing/>
              <w:jc w:val="both"/>
              <w:rPr>
                <w:color w:val="000000"/>
                <w:sz w:val="18"/>
                <w:szCs w:val="18"/>
              </w:rPr>
            </w:pPr>
            <w:r w:rsidRPr="00CE4E1F">
              <w:rPr>
                <w:bCs/>
                <w:color w:val="000000"/>
                <w:sz w:val="18"/>
                <w:szCs w:val="18"/>
              </w:rPr>
              <w:t xml:space="preserve">High </w:t>
            </w:r>
          </w:p>
        </w:tc>
        <w:tc>
          <w:tcPr>
            <w:tcW w:w="3780" w:type="dxa"/>
            <w:tcBorders>
              <w:top w:val="nil"/>
              <w:left w:val="nil"/>
              <w:bottom w:val="single" w:sz="4" w:space="0" w:color="auto"/>
              <w:right w:val="single" w:sz="4" w:space="0" w:color="auto"/>
            </w:tcBorders>
            <w:shd w:val="clear" w:color="auto" w:fill="auto"/>
            <w:noWrap/>
          </w:tcPr>
          <w:p w14:paraId="71A41153"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66 (19.5)</w:t>
            </w:r>
          </w:p>
        </w:tc>
      </w:tr>
      <w:tr w:rsidR="004A0554" w:rsidRPr="00CE4E1F" w14:paraId="6B99F39D"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05140AB" w14:textId="77777777" w:rsidR="004A0554" w:rsidRPr="00CE4E1F" w:rsidRDefault="004A0554" w:rsidP="00742F09">
            <w:pPr>
              <w:spacing w:line="360" w:lineRule="auto"/>
              <w:contextualSpacing/>
              <w:jc w:val="both"/>
              <w:rPr>
                <w:color w:val="000000"/>
                <w:sz w:val="18"/>
                <w:szCs w:val="18"/>
              </w:rPr>
            </w:pPr>
            <w:r w:rsidRPr="00CE4E1F">
              <w:rPr>
                <w:b/>
                <w:bCs/>
                <w:color w:val="000000"/>
                <w:sz w:val="18"/>
                <w:szCs w:val="18"/>
              </w:rPr>
              <w:t>Postoperative radiotherapy - no. (%)</w:t>
            </w:r>
          </w:p>
        </w:tc>
        <w:tc>
          <w:tcPr>
            <w:tcW w:w="3780" w:type="dxa"/>
            <w:tcBorders>
              <w:top w:val="nil"/>
              <w:left w:val="nil"/>
              <w:bottom w:val="single" w:sz="4" w:space="0" w:color="auto"/>
              <w:right w:val="single" w:sz="4" w:space="0" w:color="auto"/>
            </w:tcBorders>
            <w:shd w:val="clear" w:color="auto" w:fill="auto"/>
            <w:noWrap/>
          </w:tcPr>
          <w:p w14:paraId="082AC37B"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42 (12.4)</w:t>
            </w:r>
          </w:p>
        </w:tc>
      </w:tr>
      <w:tr w:rsidR="004A0554" w:rsidRPr="00CE4E1F" w14:paraId="0F92F266"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C23B524" w14:textId="77777777" w:rsidR="004A0554" w:rsidRPr="00CE4E1F" w:rsidRDefault="004A0554" w:rsidP="00742F09">
            <w:pPr>
              <w:spacing w:line="360" w:lineRule="auto"/>
              <w:contextualSpacing/>
              <w:jc w:val="both"/>
              <w:rPr>
                <w:b/>
                <w:bCs/>
                <w:color w:val="000000"/>
                <w:sz w:val="18"/>
                <w:szCs w:val="18"/>
              </w:rPr>
            </w:pPr>
            <w:r w:rsidRPr="00CE4E1F">
              <w:rPr>
                <w:b/>
                <w:bCs/>
                <w:color w:val="000000"/>
                <w:sz w:val="18"/>
                <w:szCs w:val="18"/>
              </w:rPr>
              <w:t>Median follow up (IQR) - yr.**</w:t>
            </w:r>
          </w:p>
        </w:tc>
        <w:tc>
          <w:tcPr>
            <w:tcW w:w="3780" w:type="dxa"/>
            <w:tcBorders>
              <w:top w:val="nil"/>
              <w:left w:val="nil"/>
              <w:bottom w:val="single" w:sz="4" w:space="0" w:color="auto"/>
              <w:right w:val="single" w:sz="4" w:space="0" w:color="auto"/>
            </w:tcBorders>
            <w:shd w:val="clear" w:color="auto" w:fill="auto"/>
            <w:noWrap/>
            <w:hideMark/>
          </w:tcPr>
          <w:p w14:paraId="50E8D728"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6.1 (2.1-9.6)</w:t>
            </w:r>
          </w:p>
        </w:tc>
      </w:tr>
      <w:tr w:rsidR="004A0554" w:rsidRPr="00CE4E1F" w14:paraId="529B21D2"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369F6DE" w14:textId="77777777" w:rsidR="004A0554" w:rsidRPr="00CE4E1F" w:rsidRDefault="004A0554" w:rsidP="00742F09">
            <w:pPr>
              <w:spacing w:line="360" w:lineRule="auto"/>
              <w:contextualSpacing/>
              <w:jc w:val="both"/>
              <w:rPr>
                <w:b/>
                <w:bCs/>
                <w:color w:val="000000"/>
                <w:sz w:val="18"/>
                <w:szCs w:val="18"/>
              </w:rPr>
            </w:pPr>
            <w:r w:rsidRPr="00CE4E1F">
              <w:rPr>
                <w:b/>
                <w:bCs/>
                <w:color w:val="000000"/>
                <w:sz w:val="18"/>
                <w:szCs w:val="18"/>
              </w:rPr>
              <w:t>Local recurrence - no. (%)</w:t>
            </w:r>
          </w:p>
        </w:tc>
        <w:tc>
          <w:tcPr>
            <w:tcW w:w="3780" w:type="dxa"/>
            <w:tcBorders>
              <w:top w:val="nil"/>
              <w:left w:val="nil"/>
              <w:bottom w:val="single" w:sz="4" w:space="0" w:color="auto"/>
              <w:right w:val="single" w:sz="4" w:space="0" w:color="auto"/>
            </w:tcBorders>
            <w:shd w:val="clear" w:color="auto" w:fill="auto"/>
            <w:noWrap/>
            <w:hideMark/>
          </w:tcPr>
          <w:p w14:paraId="633064E2"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82 (24.2)</w:t>
            </w:r>
          </w:p>
        </w:tc>
      </w:tr>
      <w:tr w:rsidR="004A0554" w:rsidRPr="00CE4E1F" w14:paraId="7B373A83"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46D4876" w14:textId="77777777" w:rsidR="004A0554" w:rsidRPr="00CE4E1F" w:rsidRDefault="004A0554" w:rsidP="00742F09">
            <w:pPr>
              <w:spacing w:line="360" w:lineRule="auto"/>
              <w:contextualSpacing/>
              <w:jc w:val="both"/>
              <w:rPr>
                <w:b/>
                <w:bCs/>
                <w:color w:val="000000"/>
                <w:sz w:val="18"/>
                <w:szCs w:val="18"/>
              </w:rPr>
            </w:pPr>
            <w:r w:rsidRPr="00CE4E1F">
              <w:rPr>
                <w:b/>
                <w:bCs/>
                <w:color w:val="000000"/>
                <w:sz w:val="18"/>
                <w:szCs w:val="18"/>
              </w:rPr>
              <w:t>Death - no. (%)</w:t>
            </w:r>
          </w:p>
        </w:tc>
        <w:tc>
          <w:tcPr>
            <w:tcW w:w="3780" w:type="dxa"/>
            <w:tcBorders>
              <w:top w:val="nil"/>
              <w:left w:val="nil"/>
              <w:bottom w:val="single" w:sz="4" w:space="0" w:color="auto"/>
              <w:right w:val="single" w:sz="4" w:space="0" w:color="auto"/>
            </w:tcBorders>
            <w:shd w:val="clear" w:color="auto" w:fill="auto"/>
            <w:noWrap/>
            <w:hideMark/>
          </w:tcPr>
          <w:p w14:paraId="0F81A22C"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 </w:t>
            </w:r>
          </w:p>
        </w:tc>
      </w:tr>
      <w:tr w:rsidR="004A0554" w:rsidRPr="00CE4E1F" w14:paraId="5A8E0FC0"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0CCAD34" w14:textId="77777777" w:rsidR="004A0554" w:rsidRPr="00CE4E1F" w:rsidRDefault="004A0554" w:rsidP="00742F09">
            <w:pPr>
              <w:spacing w:line="360" w:lineRule="auto"/>
              <w:contextualSpacing/>
              <w:jc w:val="both"/>
              <w:rPr>
                <w:b/>
                <w:bCs/>
                <w:color w:val="000000"/>
                <w:sz w:val="18"/>
                <w:szCs w:val="18"/>
              </w:rPr>
            </w:pPr>
            <w:r w:rsidRPr="00CE4E1F">
              <w:rPr>
                <w:color w:val="000000"/>
                <w:sz w:val="18"/>
                <w:szCs w:val="18"/>
              </w:rPr>
              <w:t xml:space="preserve">        Meningioma</w:t>
            </w:r>
          </w:p>
        </w:tc>
        <w:tc>
          <w:tcPr>
            <w:tcW w:w="3780" w:type="dxa"/>
            <w:tcBorders>
              <w:top w:val="nil"/>
              <w:left w:val="nil"/>
              <w:bottom w:val="single" w:sz="4" w:space="0" w:color="auto"/>
              <w:right w:val="single" w:sz="4" w:space="0" w:color="auto"/>
            </w:tcBorders>
            <w:shd w:val="clear" w:color="auto" w:fill="auto"/>
            <w:noWrap/>
            <w:hideMark/>
          </w:tcPr>
          <w:p w14:paraId="171D4FE0"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30 (8.8)</w:t>
            </w:r>
          </w:p>
        </w:tc>
      </w:tr>
      <w:tr w:rsidR="004A0554" w:rsidRPr="00CE4E1F" w14:paraId="215B538B"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6FF2E9D"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lastRenderedPageBreak/>
              <w:t>Other</w:t>
            </w:r>
          </w:p>
        </w:tc>
        <w:tc>
          <w:tcPr>
            <w:tcW w:w="3780" w:type="dxa"/>
            <w:tcBorders>
              <w:top w:val="nil"/>
              <w:left w:val="nil"/>
              <w:bottom w:val="single" w:sz="4" w:space="0" w:color="auto"/>
              <w:right w:val="single" w:sz="4" w:space="0" w:color="auto"/>
            </w:tcBorders>
            <w:shd w:val="clear" w:color="auto" w:fill="auto"/>
            <w:noWrap/>
            <w:hideMark/>
          </w:tcPr>
          <w:p w14:paraId="56AC0C29"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29 (8.6)</w:t>
            </w:r>
          </w:p>
        </w:tc>
      </w:tr>
      <w:tr w:rsidR="004A0554" w:rsidRPr="00CE4E1F" w14:paraId="382ECDCF"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47A0BC62" w14:textId="77777777" w:rsidR="004A0554" w:rsidRPr="00CE4E1F" w:rsidRDefault="004A0554" w:rsidP="00742F09">
            <w:pPr>
              <w:spacing w:line="360" w:lineRule="auto"/>
              <w:ind w:firstLineChars="200" w:firstLine="360"/>
              <w:contextualSpacing/>
              <w:jc w:val="both"/>
              <w:rPr>
                <w:color w:val="000000"/>
                <w:sz w:val="18"/>
                <w:szCs w:val="18"/>
              </w:rPr>
            </w:pPr>
            <w:r w:rsidRPr="00CE4E1F">
              <w:rPr>
                <w:color w:val="000000"/>
                <w:sz w:val="18"/>
                <w:szCs w:val="18"/>
              </w:rPr>
              <w:t>Unknown</w:t>
            </w:r>
          </w:p>
        </w:tc>
        <w:tc>
          <w:tcPr>
            <w:tcW w:w="3780" w:type="dxa"/>
            <w:tcBorders>
              <w:top w:val="nil"/>
              <w:left w:val="nil"/>
              <w:bottom w:val="single" w:sz="4" w:space="0" w:color="auto"/>
              <w:right w:val="single" w:sz="4" w:space="0" w:color="auto"/>
            </w:tcBorders>
            <w:shd w:val="clear" w:color="auto" w:fill="auto"/>
            <w:noWrap/>
            <w:hideMark/>
          </w:tcPr>
          <w:p w14:paraId="7C67E0FA" w14:textId="77777777" w:rsidR="004A0554" w:rsidRPr="00CE4E1F" w:rsidRDefault="004A0554" w:rsidP="00742F09">
            <w:pPr>
              <w:spacing w:line="360" w:lineRule="auto"/>
              <w:contextualSpacing/>
              <w:jc w:val="both"/>
              <w:rPr>
                <w:color w:val="000000"/>
                <w:sz w:val="18"/>
                <w:szCs w:val="18"/>
              </w:rPr>
            </w:pPr>
            <w:r w:rsidRPr="00CE4E1F">
              <w:rPr>
                <w:color w:val="000000"/>
                <w:sz w:val="18"/>
                <w:szCs w:val="18"/>
              </w:rPr>
              <w:t>16 (4.7)</w:t>
            </w:r>
          </w:p>
        </w:tc>
      </w:tr>
    </w:tbl>
    <w:p w14:paraId="769A42C1" w14:textId="20AD4679" w:rsidR="004A0554" w:rsidRPr="00CE4E1F" w:rsidRDefault="004A0554" w:rsidP="00742F09">
      <w:pPr>
        <w:widowControl w:val="0"/>
        <w:autoSpaceDE w:val="0"/>
        <w:autoSpaceDN w:val="0"/>
        <w:adjustRightInd w:val="0"/>
        <w:spacing w:line="360" w:lineRule="auto"/>
        <w:contextualSpacing/>
        <w:jc w:val="both"/>
        <w:rPr>
          <w:b/>
          <w:bCs/>
        </w:rPr>
      </w:pPr>
      <w:r w:rsidRPr="00CE4E1F">
        <w:rPr>
          <w:b/>
          <w:bCs/>
        </w:rPr>
        <w:t>*</w:t>
      </w:r>
      <w:r w:rsidRPr="00CE4E1F">
        <w:rPr>
          <w:bCs/>
        </w:rPr>
        <w:t xml:space="preserve">Combination of targeted exome sequencing (N=35) and </w:t>
      </w:r>
      <w:r w:rsidRPr="00CE4E1F">
        <w:rPr>
          <w:bCs/>
          <w:i/>
        </w:rPr>
        <w:t>TERT</w:t>
      </w:r>
      <w:r w:rsidRPr="00CE4E1F">
        <w:rPr>
          <w:bCs/>
        </w:rPr>
        <w:t xml:space="preserve"> promoter amplicon sequencing (N=297). Other SNVs consisted of two 5’ untranslated region variants, one (c.-57A&gt;C) annotated as possibly pathogenic on ClinVar, the other of uncertain significance (c.-59T&gt;G). </w:t>
      </w:r>
    </w:p>
    <w:p w14:paraId="0DCCDC8E" w14:textId="219EEA90" w:rsidR="004A0554" w:rsidRPr="00CE4E1F" w:rsidRDefault="004A0554" w:rsidP="00742F09">
      <w:pPr>
        <w:widowControl w:val="0"/>
        <w:autoSpaceDE w:val="0"/>
        <w:autoSpaceDN w:val="0"/>
        <w:adjustRightInd w:val="0"/>
        <w:spacing w:line="360" w:lineRule="auto"/>
        <w:contextualSpacing/>
        <w:jc w:val="both"/>
        <w:rPr>
          <w:bCs/>
        </w:rPr>
      </w:pPr>
      <w:r w:rsidRPr="00CE4E1F">
        <w:rPr>
          <w:b/>
          <w:bCs/>
        </w:rPr>
        <w:t>**</w:t>
      </w:r>
      <w:r w:rsidRPr="00CE4E1F">
        <w:rPr>
          <w:bCs/>
        </w:rPr>
        <w:t xml:space="preserve">Estimated using the reverse Kaplan Meier method. Median clinical follow up time to survival events or censorship was 5.2 years. Median time to censorship among surviving patients without meningioma recurrence was 6.1 years. </w:t>
      </w:r>
      <w:bookmarkStart w:id="0" w:name="OLE_LINK47"/>
      <w:bookmarkStart w:id="1" w:name="OLE_LINK48"/>
      <w:r w:rsidRPr="00CE4E1F">
        <w:rPr>
          <w:bCs/>
        </w:rPr>
        <w:t xml:space="preserve">Median imaging follow up among patients without recurrence was 5.2 years. Median time to local recurrence was 1.6 years. </w:t>
      </w:r>
      <w:bookmarkEnd w:id="0"/>
      <w:bookmarkEnd w:id="1"/>
      <w:r w:rsidRPr="00CE4E1F">
        <w:rPr>
          <w:bCs/>
        </w:rPr>
        <w:t>Dates of surgery ranged between November 1999 and March 2019. Nucleic acids were extracted from frozen meningiomas.</w:t>
      </w:r>
    </w:p>
    <w:p w14:paraId="5102F68C" w14:textId="442073D1" w:rsidR="00F824C0" w:rsidRPr="00CE4E1F" w:rsidRDefault="004A0554" w:rsidP="00742F09">
      <w:pPr>
        <w:widowControl w:val="0"/>
        <w:autoSpaceDE w:val="0"/>
        <w:autoSpaceDN w:val="0"/>
        <w:adjustRightInd w:val="0"/>
        <w:spacing w:line="360" w:lineRule="auto"/>
        <w:contextualSpacing/>
        <w:jc w:val="both"/>
        <w:rPr>
          <w:b/>
        </w:rPr>
      </w:pPr>
      <w:r w:rsidRPr="00CE4E1F">
        <w:rPr>
          <w:bCs/>
        </w:rPr>
        <w:br w:type="column"/>
      </w:r>
      <w:r w:rsidR="00F824C0" w:rsidRPr="00CE4E1F">
        <w:rPr>
          <w:b/>
        </w:rPr>
        <w:lastRenderedPageBreak/>
        <w:t>Table S</w:t>
      </w:r>
      <w:r w:rsidRPr="00CE4E1F">
        <w:rPr>
          <w:b/>
        </w:rPr>
        <w:t>6</w:t>
      </w:r>
      <w:r w:rsidR="00F824C0" w:rsidRPr="00CE4E1F">
        <w:rPr>
          <w:b/>
        </w:rPr>
        <w:t xml:space="preserve">. Northwestern University </w:t>
      </w:r>
      <w:r w:rsidRPr="00CE4E1F">
        <w:rPr>
          <w:b/>
        </w:rPr>
        <w:t xml:space="preserve">clinical </w:t>
      </w:r>
      <w:r w:rsidR="00F824C0" w:rsidRPr="00CE4E1F">
        <w:rPr>
          <w:b/>
        </w:rPr>
        <w:t>validation cohort characteristics.</w:t>
      </w:r>
    </w:p>
    <w:tbl>
      <w:tblPr>
        <w:tblW w:w="9355" w:type="dxa"/>
        <w:tblLook w:val="04A0" w:firstRow="1" w:lastRow="0" w:firstColumn="1" w:lastColumn="0" w:noHBand="0" w:noVBand="1"/>
      </w:tblPr>
      <w:tblGrid>
        <w:gridCol w:w="5575"/>
        <w:gridCol w:w="3780"/>
      </w:tblGrid>
      <w:tr w:rsidR="00D30BEF" w:rsidRPr="00CE4E1F" w14:paraId="327826D5" w14:textId="77777777" w:rsidTr="00192379">
        <w:trPr>
          <w:trHeight w:val="320"/>
        </w:trPr>
        <w:tc>
          <w:tcPr>
            <w:tcW w:w="5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5A88B" w14:textId="77777777" w:rsidR="00D30BEF" w:rsidRPr="00CE4E1F" w:rsidRDefault="00D30BEF" w:rsidP="00742F09">
            <w:pPr>
              <w:spacing w:line="360" w:lineRule="auto"/>
              <w:contextualSpacing/>
              <w:jc w:val="both"/>
              <w:rPr>
                <w:color w:val="000000"/>
                <w:sz w:val="18"/>
                <w:szCs w:val="18"/>
              </w:rPr>
            </w:pPr>
            <w:r w:rsidRPr="00CE4E1F">
              <w:rPr>
                <w:b/>
                <w:bCs/>
                <w:color w:val="000000"/>
                <w:sz w:val="18"/>
                <w:szCs w:val="18"/>
              </w:rPr>
              <w:t>Meningiomas - no.</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11EFAACD" w14:textId="36626068" w:rsidR="00D30BEF" w:rsidRPr="00CE4E1F" w:rsidRDefault="00D30BEF" w:rsidP="00742F09">
            <w:pPr>
              <w:spacing w:line="360" w:lineRule="auto"/>
              <w:contextualSpacing/>
              <w:jc w:val="both"/>
              <w:rPr>
                <w:bCs/>
                <w:color w:val="000000"/>
                <w:sz w:val="18"/>
                <w:szCs w:val="18"/>
              </w:rPr>
            </w:pPr>
            <w:r w:rsidRPr="00CE4E1F">
              <w:rPr>
                <w:bCs/>
                <w:color w:val="000000"/>
                <w:sz w:val="18"/>
                <w:szCs w:val="18"/>
              </w:rPr>
              <w:t>180</w:t>
            </w:r>
          </w:p>
        </w:tc>
      </w:tr>
      <w:tr w:rsidR="00D30BEF" w:rsidRPr="00CE4E1F" w14:paraId="40633615"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4676813C"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Patients - no.</w:t>
            </w:r>
          </w:p>
        </w:tc>
        <w:tc>
          <w:tcPr>
            <w:tcW w:w="3780" w:type="dxa"/>
            <w:tcBorders>
              <w:top w:val="nil"/>
              <w:left w:val="nil"/>
              <w:bottom w:val="single" w:sz="4" w:space="0" w:color="auto"/>
              <w:right w:val="single" w:sz="4" w:space="0" w:color="auto"/>
            </w:tcBorders>
            <w:shd w:val="clear" w:color="auto" w:fill="auto"/>
            <w:noWrap/>
            <w:vAlign w:val="center"/>
            <w:hideMark/>
          </w:tcPr>
          <w:p w14:paraId="4B48BC0E" w14:textId="482EC19D" w:rsidR="00D30BEF" w:rsidRPr="00CE4E1F" w:rsidRDefault="00D30BEF" w:rsidP="00742F09">
            <w:pPr>
              <w:spacing w:line="360" w:lineRule="auto"/>
              <w:contextualSpacing/>
              <w:jc w:val="both"/>
              <w:rPr>
                <w:color w:val="000000"/>
                <w:sz w:val="18"/>
                <w:szCs w:val="18"/>
              </w:rPr>
            </w:pPr>
            <w:r w:rsidRPr="00CE4E1F">
              <w:rPr>
                <w:color w:val="000000"/>
                <w:sz w:val="18"/>
                <w:szCs w:val="18"/>
              </w:rPr>
              <w:t>180</w:t>
            </w:r>
          </w:p>
        </w:tc>
      </w:tr>
      <w:tr w:rsidR="00D30BEF" w:rsidRPr="00CE4E1F" w14:paraId="1570A64E"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391EAB08"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Females - no. (%)</w:t>
            </w:r>
          </w:p>
        </w:tc>
        <w:tc>
          <w:tcPr>
            <w:tcW w:w="3780" w:type="dxa"/>
            <w:tcBorders>
              <w:top w:val="nil"/>
              <w:left w:val="nil"/>
              <w:bottom w:val="single" w:sz="4" w:space="0" w:color="auto"/>
              <w:right w:val="single" w:sz="4" w:space="0" w:color="auto"/>
            </w:tcBorders>
            <w:shd w:val="clear" w:color="auto" w:fill="auto"/>
            <w:noWrap/>
            <w:vAlign w:val="center"/>
            <w:hideMark/>
          </w:tcPr>
          <w:p w14:paraId="68941EDB" w14:textId="30B0DA1F" w:rsidR="00D30BEF" w:rsidRPr="00CE4E1F" w:rsidRDefault="00D30BEF" w:rsidP="00742F09">
            <w:pPr>
              <w:spacing w:line="360" w:lineRule="auto"/>
              <w:contextualSpacing/>
              <w:jc w:val="both"/>
              <w:rPr>
                <w:color w:val="000000"/>
                <w:sz w:val="18"/>
                <w:szCs w:val="18"/>
              </w:rPr>
            </w:pPr>
            <w:r w:rsidRPr="00CE4E1F">
              <w:rPr>
                <w:color w:val="000000"/>
                <w:sz w:val="18"/>
                <w:szCs w:val="18"/>
              </w:rPr>
              <w:t>121 (67.2)</w:t>
            </w:r>
          </w:p>
        </w:tc>
      </w:tr>
      <w:tr w:rsidR="00D30BEF" w:rsidRPr="00CE4E1F" w14:paraId="6A352B29"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1DA8C3A6"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Median age (IQR) - yr.</w:t>
            </w:r>
          </w:p>
        </w:tc>
        <w:tc>
          <w:tcPr>
            <w:tcW w:w="3780" w:type="dxa"/>
            <w:tcBorders>
              <w:top w:val="nil"/>
              <w:left w:val="nil"/>
              <w:bottom w:val="single" w:sz="4" w:space="0" w:color="auto"/>
              <w:right w:val="single" w:sz="4" w:space="0" w:color="auto"/>
            </w:tcBorders>
            <w:shd w:val="clear" w:color="auto" w:fill="auto"/>
            <w:noWrap/>
            <w:vAlign w:val="center"/>
            <w:hideMark/>
          </w:tcPr>
          <w:p w14:paraId="6E666B74" w14:textId="6DC499FE" w:rsidR="00D30BEF" w:rsidRPr="00CE4E1F" w:rsidRDefault="00D30BEF" w:rsidP="00742F09">
            <w:pPr>
              <w:spacing w:line="360" w:lineRule="auto"/>
              <w:contextualSpacing/>
              <w:jc w:val="both"/>
              <w:rPr>
                <w:color w:val="000000"/>
                <w:sz w:val="18"/>
                <w:szCs w:val="18"/>
              </w:rPr>
            </w:pPr>
            <w:r w:rsidRPr="00CE4E1F">
              <w:rPr>
                <w:color w:val="000000"/>
                <w:sz w:val="18"/>
                <w:szCs w:val="18"/>
              </w:rPr>
              <w:t>60.9 (49.2-68.3)</w:t>
            </w:r>
          </w:p>
        </w:tc>
      </w:tr>
      <w:tr w:rsidR="00D30BEF" w:rsidRPr="00CE4E1F" w14:paraId="1DD5F031"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14C5C500"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Setting - no. (%)</w:t>
            </w:r>
          </w:p>
        </w:tc>
        <w:tc>
          <w:tcPr>
            <w:tcW w:w="3780" w:type="dxa"/>
            <w:tcBorders>
              <w:top w:val="nil"/>
              <w:left w:val="nil"/>
              <w:bottom w:val="single" w:sz="4" w:space="0" w:color="auto"/>
              <w:right w:val="single" w:sz="4" w:space="0" w:color="auto"/>
            </w:tcBorders>
            <w:shd w:val="clear" w:color="auto" w:fill="auto"/>
            <w:noWrap/>
            <w:vAlign w:val="center"/>
            <w:hideMark/>
          </w:tcPr>
          <w:p w14:paraId="02234335" w14:textId="77777777" w:rsidR="00D30BEF" w:rsidRPr="00CE4E1F" w:rsidRDefault="00D30BEF" w:rsidP="00742F09">
            <w:pPr>
              <w:spacing w:line="360" w:lineRule="auto"/>
              <w:contextualSpacing/>
              <w:jc w:val="both"/>
              <w:rPr>
                <w:color w:val="000000"/>
                <w:sz w:val="18"/>
                <w:szCs w:val="18"/>
              </w:rPr>
            </w:pPr>
            <w:r w:rsidRPr="00CE4E1F">
              <w:rPr>
                <w:color w:val="000000"/>
                <w:sz w:val="18"/>
                <w:szCs w:val="18"/>
              </w:rPr>
              <w:t> </w:t>
            </w:r>
          </w:p>
        </w:tc>
      </w:tr>
      <w:tr w:rsidR="00D30BEF" w:rsidRPr="00CE4E1F" w14:paraId="5EB07752"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336C5A86" w14:textId="77777777" w:rsidR="00D30BEF" w:rsidRPr="00CE4E1F" w:rsidRDefault="00D30BEF" w:rsidP="00742F09">
            <w:pPr>
              <w:spacing w:line="360" w:lineRule="auto"/>
              <w:contextualSpacing/>
              <w:jc w:val="both"/>
              <w:rPr>
                <w:b/>
                <w:bCs/>
                <w:color w:val="000000"/>
                <w:sz w:val="18"/>
                <w:szCs w:val="18"/>
              </w:rPr>
            </w:pPr>
            <w:r w:rsidRPr="00CE4E1F">
              <w:rPr>
                <w:color w:val="000000"/>
                <w:sz w:val="18"/>
                <w:szCs w:val="18"/>
              </w:rPr>
              <w:t xml:space="preserve">        Primary</w:t>
            </w:r>
          </w:p>
        </w:tc>
        <w:tc>
          <w:tcPr>
            <w:tcW w:w="3780" w:type="dxa"/>
            <w:tcBorders>
              <w:top w:val="nil"/>
              <w:left w:val="nil"/>
              <w:bottom w:val="single" w:sz="4" w:space="0" w:color="auto"/>
              <w:right w:val="single" w:sz="4" w:space="0" w:color="auto"/>
            </w:tcBorders>
            <w:shd w:val="clear" w:color="auto" w:fill="auto"/>
            <w:noWrap/>
            <w:vAlign w:val="center"/>
            <w:hideMark/>
          </w:tcPr>
          <w:p w14:paraId="5ED9A58A" w14:textId="61442D71" w:rsidR="00D30BEF" w:rsidRPr="00CE4E1F" w:rsidRDefault="00D30BEF" w:rsidP="00742F09">
            <w:pPr>
              <w:spacing w:line="360" w:lineRule="auto"/>
              <w:contextualSpacing/>
              <w:jc w:val="both"/>
              <w:rPr>
                <w:color w:val="000000"/>
                <w:sz w:val="18"/>
                <w:szCs w:val="18"/>
              </w:rPr>
            </w:pPr>
            <w:r w:rsidRPr="00CE4E1F">
              <w:rPr>
                <w:color w:val="000000"/>
                <w:sz w:val="18"/>
                <w:szCs w:val="18"/>
              </w:rPr>
              <w:t>152 (84.4)</w:t>
            </w:r>
          </w:p>
        </w:tc>
      </w:tr>
      <w:tr w:rsidR="00D30BEF" w:rsidRPr="00CE4E1F" w14:paraId="26CE3C01"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32DE7CFA" w14:textId="77777777" w:rsidR="00D30BEF" w:rsidRPr="00CE4E1F" w:rsidRDefault="00D30BEF" w:rsidP="00742F09">
            <w:pPr>
              <w:spacing w:line="360" w:lineRule="auto"/>
              <w:ind w:firstLineChars="200" w:firstLine="360"/>
              <w:contextualSpacing/>
              <w:jc w:val="both"/>
              <w:rPr>
                <w:color w:val="000000"/>
                <w:sz w:val="18"/>
                <w:szCs w:val="18"/>
              </w:rPr>
            </w:pPr>
            <w:r w:rsidRPr="00CE4E1F">
              <w:rPr>
                <w:color w:val="000000"/>
                <w:sz w:val="18"/>
                <w:szCs w:val="18"/>
              </w:rPr>
              <w:t>Recurrent</w:t>
            </w:r>
          </w:p>
        </w:tc>
        <w:tc>
          <w:tcPr>
            <w:tcW w:w="3780" w:type="dxa"/>
            <w:tcBorders>
              <w:top w:val="nil"/>
              <w:left w:val="nil"/>
              <w:bottom w:val="single" w:sz="4" w:space="0" w:color="auto"/>
              <w:right w:val="single" w:sz="4" w:space="0" w:color="auto"/>
            </w:tcBorders>
            <w:shd w:val="clear" w:color="auto" w:fill="auto"/>
            <w:noWrap/>
            <w:vAlign w:val="center"/>
            <w:hideMark/>
          </w:tcPr>
          <w:p w14:paraId="1C6D43C9" w14:textId="2EE130E4" w:rsidR="00D30BEF" w:rsidRPr="00CE4E1F" w:rsidRDefault="00D30BEF" w:rsidP="00742F09">
            <w:pPr>
              <w:spacing w:line="360" w:lineRule="auto"/>
              <w:contextualSpacing/>
              <w:jc w:val="both"/>
              <w:rPr>
                <w:color w:val="000000"/>
                <w:sz w:val="18"/>
                <w:szCs w:val="18"/>
              </w:rPr>
            </w:pPr>
            <w:r w:rsidRPr="00CE4E1F">
              <w:rPr>
                <w:color w:val="000000"/>
                <w:sz w:val="18"/>
                <w:szCs w:val="18"/>
              </w:rPr>
              <w:t>28 (15.6)</w:t>
            </w:r>
          </w:p>
        </w:tc>
      </w:tr>
      <w:tr w:rsidR="00D30BEF" w:rsidRPr="00CE4E1F" w14:paraId="7EEDA529"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50E0BEDD" w14:textId="77777777" w:rsidR="00D30BEF" w:rsidRPr="00CE4E1F" w:rsidRDefault="00D30BEF" w:rsidP="00742F09">
            <w:pPr>
              <w:spacing w:line="360" w:lineRule="auto"/>
              <w:contextualSpacing/>
              <w:jc w:val="both"/>
              <w:rPr>
                <w:color w:val="000000"/>
                <w:sz w:val="18"/>
                <w:szCs w:val="18"/>
              </w:rPr>
            </w:pPr>
            <w:r w:rsidRPr="00CE4E1F">
              <w:rPr>
                <w:b/>
                <w:bCs/>
                <w:color w:val="000000"/>
                <w:sz w:val="18"/>
                <w:szCs w:val="18"/>
              </w:rPr>
              <w:t>Extent of resection - no. (%)</w:t>
            </w:r>
          </w:p>
        </w:tc>
        <w:tc>
          <w:tcPr>
            <w:tcW w:w="3780" w:type="dxa"/>
            <w:tcBorders>
              <w:top w:val="nil"/>
              <w:left w:val="nil"/>
              <w:bottom w:val="single" w:sz="4" w:space="0" w:color="auto"/>
              <w:right w:val="single" w:sz="4" w:space="0" w:color="auto"/>
            </w:tcBorders>
            <w:shd w:val="clear" w:color="auto" w:fill="auto"/>
            <w:noWrap/>
            <w:vAlign w:val="center"/>
            <w:hideMark/>
          </w:tcPr>
          <w:p w14:paraId="59070F95" w14:textId="77777777" w:rsidR="00D30BEF" w:rsidRPr="00CE4E1F" w:rsidRDefault="00D30BEF" w:rsidP="00742F09">
            <w:pPr>
              <w:spacing w:line="360" w:lineRule="auto"/>
              <w:contextualSpacing/>
              <w:jc w:val="both"/>
              <w:rPr>
                <w:color w:val="000000"/>
                <w:sz w:val="18"/>
                <w:szCs w:val="18"/>
              </w:rPr>
            </w:pPr>
            <w:r w:rsidRPr="00CE4E1F">
              <w:rPr>
                <w:color w:val="000000"/>
                <w:sz w:val="18"/>
                <w:szCs w:val="18"/>
              </w:rPr>
              <w:t> </w:t>
            </w:r>
          </w:p>
        </w:tc>
      </w:tr>
      <w:tr w:rsidR="00D30BEF" w:rsidRPr="00CE4E1F" w14:paraId="7BB26B9D"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7DE61485" w14:textId="77777777" w:rsidR="00D30BEF" w:rsidRPr="00CE4E1F" w:rsidRDefault="00D30BEF" w:rsidP="00742F09">
            <w:pPr>
              <w:spacing w:line="360" w:lineRule="auto"/>
              <w:contextualSpacing/>
              <w:jc w:val="both"/>
              <w:rPr>
                <w:b/>
                <w:bCs/>
                <w:color w:val="000000"/>
                <w:sz w:val="18"/>
                <w:szCs w:val="18"/>
              </w:rPr>
            </w:pPr>
            <w:r w:rsidRPr="00CE4E1F">
              <w:rPr>
                <w:color w:val="000000"/>
                <w:sz w:val="18"/>
                <w:szCs w:val="18"/>
              </w:rPr>
              <w:t xml:space="preserve">        Gross total</w:t>
            </w:r>
          </w:p>
        </w:tc>
        <w:tc>
          <w:tcPr>
            <w:tcW w:w="3780" w:type="dxa"/>
            <w:tcBorders>
              <w:top w:val="nil"/>
              <w:left w:val="nil"/>
              <w:bottom w:val="single" w:sz="4" w:space="0" w:color="auto"/>
              <w:right w:val="single" w:sz="4" w:space="0" w:color="auto"/>
            </w:tcBorders>
            <w:shd w:val="clear" w:color="auto" w:fill="auto"/>
            <w:noWrap/>
            <w:vAlign w:val="center"/>
            <w:hideMark/>
          </w:tcPr>
          <w:p w14:paraId="7EAE319E" w14:textId="7DE141D0" w:rsidR="00D30BEF" w:rsidRPr="00CE4E1F" w:rsidRDefault="00D30BEF" w:rsidP="00742F09">
            <w:pPr>
              <w:spacing w:line="360" w:lineRule="auto"/>
              <w:contextualSpacing/>
              <w:jc w:val="both"/>
              <w:rPr>
                <w:color w:val="000000"/>
                <w:sz w:val="18"/>
                <w:szCs w:val="18"/>
              </w:rPr>
            </w:pPr>
            <w:r w:rsidRPr="00CE4E1F">
              <w:rPr>
                <w:color w:val="000000"/>
                <w:sz w:val="18"/>
                <w:szCs w:val="18"/>
              </w:rPr>
              <w:t>109 (60.6)</w:t>
            </w:r>
          </w:p>
        </w:tc>
      </w:tr>
      <w:tr w:rsidR="00D30BEF" w:rsidRPr="00CE4E1F" w14:paraId="500A91D1"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06D75190" w14:textId="77777777" w:rsidR="00D30BEF" w:rsidRPr="00CE4E1F" w:rsidRDefault="00D30BEF" w:rsidP="00742F09">
            <w:pPr>
              <w:spacing w:line="360" w:lineRule="auto"/>
              <w:ind w:firstLineChars="200" w:firstLine="360"/>
              <w:contextualSpacing/>
              <w:jc w:val="both"/>
              <w:rPr>
                <w:color w:val="000000"/>
                <w:sz w:val="18"/>
                <w:szCs w:val="18"/>
              </w:rPr>
            </w:pPr>
            <w:r w:rsidRPr="00CE4E1F">
              <w:rPr>
                <w:color w:val="000000"/>
                <w:sz w:val="18"/>
                <w:szCs w:val="18"/>
              </w:rPr>
              <w:t>Subtotal</w:t>
            </w:r>
          </w:p>
        </w:tc>
        <w:tc>
          <w:tcPr>
            <w:tcW w:w="3780" w:type="dxa"/>
            <w:tcBorders>
              <w:top w:val="nil"/>
              <w:left w:val="nil"/>
              <w:bottom w:val="single" w:sz="4" w:space="0" w:color="auto"/>
              <w:right w:val="single" w:sz="4" w:space="0" w:color="auto"/>
            </w:tcBorders>
            <w:shd w:val="clear" w:color="auto" w:fill="auto"/>
            <w:noWrap/>
            <w:vAlign w:val="center"/>
            <w:hideMark/>
          </w:tcPr>
          <w:p w14:paraId="0D60A79B" w14:textId="7852FC92" w:rsidR="00D30BEF" w:rsidRPr="00CE4E1F" w:rsidRDefault="00D30BEF" w:rsidP="00742F09">
            <w:pPr>
              <w:spacing w:line="360" w:lineRule="auto"/>
              <w:contextualSpacing/>
              <w:jc w:val="both"/>
              <w:rPr>
                <w:color w:val="000000"/>
                <w:sz w:val="18"/>
                <w:szCs w:val="18"/>
              </w:rPr>
            </w:pPr>
            <w:r w:rsidRPr="00CE4E1F">
              <w:rPr>
                <w:color w:val="000000"/>
                <w:sz w:val="18"/>
                <w:szCs w:val="18"/>
              </w:rPr>
              <w:t>70 (38.9)</w:t>
            </w:r>
          </w:p>
        </w:tc>
      </w:tr>
      <w:tr w:rsidR="00D30BEF" w:rsidRPr="00CE4E1F" w14:paraId="54B11CAB"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4088D4B8" w14:textId="77777777" w:rsidR="00D30BEF" w:rsidRPr="00CE4E1F" w:rsidRDefault="00D30BEF" w:rsidP="00742F09">
            <w:pPr>
              <w:spacing w:line="360" w:lineRule="auto"/>
              <w:contextualSpacing/>
              <w:jc w:val="both"/>
              <w:rPr>
                <w:color w:val="000000"/>
                <w:sz w:val="18"/>
                <w:szCs w:val="18"/>
              </w:rPr>
            </w:pPr>
            <w:r w:rsidRPr="00CE4E1F">
              <w:rPr>
                <w:b/>
                <w:bCs/>
                <w:color w:val="000000"/>
                <w:sz w:val="18"/>
                <w:szCs w:val="18"/>
              </w:rPr>
              <w:t>WHO 2016 grade - no. (%)</w:t>
            </w:r>
          </w:p>
        </w:tc>
        <w:tc>
          <w:tcPr>
            <w:tcW w:w="3780" w:type="dxa"/>
            <w:tcBorders>
              <w:top w:val="nil"/>
              <w:left w:val="nil"/>
              <w:bottom w:val="single" w:sz="4" w:space="0" w:color="auto"/>
              <w:right w:val="single" w:sz="4" w:space="0" w:color="auto"/>
            </w:tcBorders>
            <w:shd w:val="clear" w:color="auto" w:fill="auto"/>
            <w:noWrap/>
            <w:vAlign w:val="center"/>
            <w:hideMark/>
          </w:tcPr>
          <w:p w14:paraId="5C556FDB" w14:textId="77777777" w:rsidR="00D30BEF" w:rsidRPr="00CE4E1F" w:rsidRDefault="00D30BEF" w:rsidP="00742F09">
            <w:pPr>
              <w:spacing w:line="360" w:lineRule="auto"/>
              <w:contextualSpacing/>
              <w:jc w:val="both"/>
              <w:rPr>
                <w:color w:val="000000"/>
                <w:sz w:val="18"/>
                <w:szCs w:val="18"/>
              </w:rPr>
            </w:pPr>
            <w:r w:rsidRPr="00CE4E1F">
              <w:rPr>
                <w:color w:val="000000"/>
                <w:sz w:val="18"/>
                <w:szCs w:val="18"/>
              </w:rPr>
              <w:t> </w:t>
            </w:r>
          </w:p>
        </w:tc>
      </w:tr>
      <w:tr w:rsidR="00D30BEF" w:rsidRPr="00CE4E1F" w14:paraId="6EE27582"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29A5AC7B" w14:textId="77777777" w:rsidR="00D30BEF" w:rsidRPr="00CE4E1F" w:rsidRDefault="00D30BEF" w:rsidP="00742F09">
            <w:pPr>
              <w:spacing w:line="360" w:lineRule="auto"/>
              <w:contextualSpacing/>
              <w:jc w:val="both"/>
              <w:rPr>
                <w:b/>
                <w:bCs/>
                <w:color w:val="000000"/>
                <w:sz w:val="18"/>
                <w:szCs w:val="18"/>
              </w:rPr>
            </w:pPr>
            <w:r w:rsidRPr="00CE4E1F">
              <w:rPr>
                <w:color w:val="000000"/>
                <w:sz w:val="18"/>
                <w:szCs w:val="18"/>
              </w:rPr>
              <w:t xml:space="preserve">        1</w:t>
            </w:r>
          </w:p>
        </w:tc>
        <w:tc>
          <w:tcPr>
            <w:tcW w:w="3780" w:type="dxa"/>
            <w:tcBorders>
              <w:top w:val="nil"/>
              <w:left w:val="nil"/>
              <w:bottom w:val="single" w:sz="4" w:space="0" w:color="auto"/>
              <w:right w:val="single" w:sz="4" w:space="0" w:color="auto"/>
            </w:tcBorders>
            <w:shd w:val="clear" w:color="auto" w:fill="auto"/>
            <w:noWrap/>
            <w:vAlign w:val="center"/>
            <w:hideMark/>
          </w:tcPr>
          <w:p w14:paraId="53D6B4C9" w14:textId="239FC9DE" w:rsidR="00D30BEF" w:rsidRPr="00CE4E1F" w:rsidRDefault="00D30BEF" w:rsidP="00742F09">
            <w:pPr>
              <w:spacing w:line="360" w:lineRule="auto"/>
              <w:contextualSpacing/>
              <w:jc w:val="both"/>
              <w:rPr>
                <w:color w:val="000000"/>
                <w:sz w:val="18"/>
                <w:szCs w:val="18"/>
              </w:rPr>
            </w:pPr>
            <w:r w:rsidRPr="00CE4E1F">
              <w:rPr>
                <w:color w:val="000000"/>
                <w:sz w:val="18"/>
                <w:szCs w:val="18"/>
              </w:rPr>
              <w:t>99 (55.0)</w:t>
            </w:r>
          </w:p>
        </w:tc>
      </w:tr>
      <w:tr w:rsidR="00D30BEF" w:rsidRPr="00CE4E1F" w14:paraId="6F8EDE7A"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00C2EB0D" w14:textId="77777777" w:rsidR="00D30BEF" w:rsidRPr="00CE4E1F" w:rsidRDefault="00D30BEF"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vAlign w:val="center"/>
            <w:hideMark/>
          </w:tcPr>
          <w:p w14:paraId="50BFF7B6" w14:textId="7343A4BC" w:rsidR="00D30BEF" w:rsidRPr="00CE4E1F" w:rsidRDefault="00D30BEF" w:rsidP="00742F09">
            <w:pPr>
              <w:spacing w:line="360" w:lineRule="auto"/>
              <w:contextualSpacing/>
              <w:jc w:val="both"/>
              <w:rPr>
                <w:color w:val="000000"/>
                <w:sz w:val="18"/>
                <w:szCs w:val="18"/>
              </w:rPr>
            </w:pPr>
            <w:r w:rsidRPr="00CE4E1F">
              <w:rPr>
                <w:color w:val="000000"/>
                <w:sz w:val="18"/>
                <w:szCs w:val="18"/>
              </w:rPr>
              <w:t>61 (33.9)</w:t>
            </w:r>
          </w:p>
        </w:tc>
      </w:tr>
      <w:tr w:rsidR="00D30BEF" w:rsidRPr="00CE4E1F" w14:paraId="1613ACEE"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56F9E00F" w14:textId="77777777" w:rsidR="00D30BEF" w:rsidRPr="00CE4E1F" w:rsidRDefault="00D30BEF"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vAlign w:val="center"/>
            <w:hideMark/>
          </w:tcPr>
          <w:p w14:paraId="4B159576" w14:textId="4586E15C" w:rsidR="00D30BEF" w:rsidRPr="00CE4E1F" w:rsidRDefault="00D30BEF" w:rsidP="00742F09">
            <w:pPr>
              <w:spacing w:line="360" w:lineRule="auto"/>
              <w:contextualSpacing/>
              <w:jc w:val="both"/>
              <w:rPr>
                <w:color w:val="000000"/>
                <w:sz w:val="18"/>
                <w:szCs w:val="18"/>
              </w:rPr>
            </w:pPr>
            <w:r w:rsidRPr="00CE4E1F">
              <w:rPr>
                <w:color w:val="000000"/>
                <w:sz w:val="18"/>
                <w:szCs w:val="18"/>
              </w:rPr>
              <w:t>20 (11.1)</w:t>
            </w:r>
          </w:p>
        </w:tc>
      </w:tr>
      <w:tr w:rsidR="000239D5" w:rsidRPr="00CE4E1F" w14:paraId="41414708"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074A141B" w14:textId="1279FB0A" w:rsidR="000239D5" w:rsidRPr="00CE4E1F" w:rsidRDefault="000239D5" w:rsidP="00742F09">
            <w:pPr>
              <w:spacing w:line="360" w:lineRule="auto"/>
              <w:contextualSpacing/>
              <w:jc w:val="both"/>
              <w:rPr>
                <w:b/>
                <w:bCs/>
                <w:color w:val="000000"/>
                <w:sz w:val="18"/>
                <w:szCs w:val="18"/>
              </w:rPr>
            </w:pPr>
            <w:r>
              <w:rPr>
                <w:b/>
                <w:bCs/>
                <w:color w:val="000000"/>
                <w:sz w:val="18"/>
                <w:szCs w:val="18"/>
              </w:rPr>
              <w:t xml:space="preserve">Nanostring targeted gene expression profiling </w:t>
            </w:r>
            <w:r w:rsidRPr="00CE4E1F">
              <w:rPr>
                <w:b/>
                <w:bCs/>
                <w:color w:val="000000"/>
                <w:sz w:val="18"/>
                <w:szCs w:val="18"/>
              </w:rPr>
              <w:t>- no. (%)</w:t>
            </w:r>
          </w:p>
        </w:tc>
        <w:tc>
          <w:tcPr>
            <w:tcW w:w="3780" w:type="dxa"/>
            <w:tcBorders>
              <w:top w:val="nil"/>
              <w:left w:val="nil"/>
              <w:bottom w:val="single" w:sz="4" w:space="0" w:color="auto"/>
              <w:right w:val="single" w:sz="4" w:space="0" w:color="auto"/>
            </w:tcBorders>
            <w:shd w:val="clear" w:color="auto" w:fill="auto"/>
            <w:noWrap/>
            <w:vAlign w:val="center"/>
          </w:tcPr>
          <w:p w14:paraId="3FF1FB44" w14:textId="1B7695C7" w:rsidR="000239D5" w:rsidRPr="00CE4E1F" w:rsidRDefault="000239D5" w:rsidP="00742F09">
            <w:pPr>
              <w:spacing w:line="360" w:lineRule="auto"/>
              <w:contextualSpacing/>
              <w:jc w:val="both"/>
              <w:rPr>
                <w:color w:val="000000"/>
                <w:sz w:val="18"/>
                <w:szCs w:val="18"/>
              </w:rPr>
            </w:pPr>
            <w:r>
              <w:rPr>
                <w:color w:val="000000"/>
                <w:sz w:val="18"/>
                <w:szCs w:val="18"/>
              </w:rPr>
              <w:t>180 (100)</w:t>
            </w:r>
          </w:p>
        </w:tc>
      </w:tr>
      <w:tr w:rsidR="00D30BEF" w:rsidRPr="00CE4E1F" w14:paraId="0B256CDC"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0BDDF0DE" w14:textId="77777777" w:rsidR="00D30BEF" w:rsidRPr="00CE4E1F" w:rsidRDefault="00D30BEF" w:rsidP="00742F09">
            <w:pPr>
              <w:spacing w:line="360" w:lineRule="auto"/>
              <w:contextualSpacing/>
              <w:jc w:val="both"/>
              <w:rPr>
                <w:color w:val="000000"/>
                <w:sz w:val="18"/>
                <w:szCs w:val="18"/>
              </w:rPr>
            </w:pPr>
            <w:r w:rsidRPr="00CE4E1F">
              <w:rPr>
                <w:b/>
                <w:bCs/>
                <w:color w:val="000000"/>
                <w:sz w:val="18"/>
                <w:szCs w:val="18"/>
              </w:rPr>
              <w:t>Gene expression risk score - no. (%)</w:t>
            </w:r>
          </w:p>
        </w:tc>
        <w:tc>
          <w:tcPr>
            <w:tcW w:w="3780" w:type="dxa"/>
            <w:tcBorders>
              <w:top w:val="nil"/>
              <w:left w:val="nil"/>
              <w:bottom w:val="single" w:sz="4" w:space="0" w:color="auto"/>
              <w:right w:val="single" w:sz="4" w:space="0" w:color="auto"/>
            </w:tcBorders>
            <w:shd w:val="clear" w:color="auto" w:fill="auto"/>
            <w:noWrap/>
            <w:vAlign w:val="center"/>
            <w:hideMark/>
          </w:tcPr>
          <w:p w14:paraId="5C6E3649" w14:textId="77777777" w:rsidR="00D30BEF" w:rsidRPr="00CE4E1F" w:rsidRDefault="00D30BEF" w:rsidP="00742F09">
            <w:pPr>
              <w:spacing w:line="360" w:lineRule="auto"/>
              <w:contextualSpacing/>
              <w:jc w:val="both"/>
              <w:rPr>
                <w:color w:val="000000"/>
                <w:sz w:val="18"/>
                <w:szCs w:val="18"/>
              </w:rPr>
            </w:pPr>
          </w:p>
        </w:tc>
      </w:tr>
      <w:tr w:rsidR="00D30BEF" w:rsidRPr="00CE4E1F" w14:paraId="6126F190"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35CDDB56" w14:textId="77777777" w:rsidR="00D30BEF" w:rsidRPr="00CE4E1F" w:rsidRDefault="00D30BEF" w:rsidP="00742F09">
            <w:pPr>
              <w:spacing w:line="360" w:lineRule="auto"/>
              <w:contextualSpacing/>
              <w:jc w:val="both"/>
              <w:rPr>
                <w:color w:val="000000"/>
                <w:sz w:val="18"/>
                <w:szCs w:val="18"/>
              </w:rPr>
            </w:pPr>
            <w:r w:rsidRPr="00CE4E1F">
              <w:rPr>
                <w:color w:val="000000"/>
                <w:sz w:val="18"/>
                <w:szCs w:val="18"/>
              </w:rPr>
              <w:t xml:space="preserve">        </w:t>
            </w:r>
            <w:r w:rsidRPr="00CE4E1F">
              <w:rPr>
                <w:bCs/>
                <w:color w:val="000000"/>
                <w:sz w:val="18"/>
                <w:szCs w:val="18"/>
              </w:rPr>
              <w:t xml:space="preserve">Low </w:t>
            </w:r>
          </w:p>
        </w:tc>
        <w:tc>
          <w:tcPr>
            <w:tcW w:w="3780" w:type="dxa"/>
            <w:tcBorders>
              <w:top w:val="nil"/>
              <w:left w:val="nil"/>
              <w:bottom w:val="single" w:sz="4" w:space="0" w:color="auto"/>
              <w:right w:val="single" w:sz="4" w:space="0" w:color="auto"/>
            </w:tcBorders>
            <w:shd w:val="clear" w:color="auto" w:fill="auto"/>
            <w:noWrap/>
            <w:vAlign w:val="center"/>
          </w:tcPr>
          <w:p w14:paraId="35643A8D" w14:textId="32904F95" w:rsidR="00D30BEF" w:rsidRPr="00CE4E1F" w:rsidRDefault="00D30BEF" w:rsidP="00742F09">
            <w:pPr>
              <w:spacing w:line="360" w:lineRule="auto"/>
              <w:contextualSpacing/>
              <w:jc w:val="both"/>
              <w:rPr>
                <w:color w:val="000000"/>
                <w:sz w:val="18"/>
                <w:szCs w:val="18"/>
              </w:rPr>
            </w:pPr>
            <w:r w:rsidRPr="00CE4E1F">
              <w:rPr>
                <w:color w:val="000000"/>
                <w:sz w:val="18"/>
                <w:szCs w:val="18"/>
              </w:rPr>
              <w:t>40 (22.2)</w:t>
            </w:r>
          </w:p>
        </w:tc>
      </w:tr>
      <w:tr w:rsidR="00D30BEF" w:rsidRPr="00CE4E1F" w14:paraId="07EE0280"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2E0DFFF3" w14:textId="77777777" w:rsidR="00D30BEF" w:rsidRPr="00CE4E1F" w:rsidRDefault="00D30BEF" w:rsidP="00742F09">
            <w:pPr>
              <w:spacing w:line="360" w:lineRule="auto"/>
              <w:ind w:firstLineChars="200" w:firstLine="360"/>
              <w:contextualSpacing/>
              <w:jc w:val="both"/>
              <w:rPr>
                <w:color w:val="000000"/>
                <w:sz w:val="18"/>
                <w:szCs w:val="18"/>
              </w:rPr>
            </w:pPr>
            <w:r w:rsidRPr="00CE4E1F">
              <w:rPr>
                <w:bCs/>
                <w:color w:val="000000"/>
                <w:sz w:val="18"/>
                <w:szCs w:val="18"/>
              </w:rPr>
              <w:t xml:space="preserve">Intermediate </w:t>
            </w:r>
          </w:p>
        </w:tc>
        <w:tc>
          <w:tcPr>
            <w:tcW w:w="3780" w:type="dxa"/>
            <w:tcBorders>
              <w:top w:val="nil"/>
              <w:left w:val="nil"/>
              <w:bottom w:val="single" w:sz="4" w:space="0" w:color="auto"/>
              <w:right w:val="single" w:sz="4" w:space="0" w:color="auto"/>
            </w:tcBorders>
            <w:shd w:val="clear" w:color="auto" w:fill="auto"/>
            <w:noWrap/>
            <w:vAlign w:val="center"/>
          </w:tcPr>
          <w:p w14:paraId="6A20D090" w14:textId="72F18900" w:rsidR="00D30BEF" w:rsidRPr="00CE4E1F" w:rsidRDefault="00D30BEF" w:rsidP="00742F09">
            <w:pPr>
              <w:spacing w:line="360" w:lineRule="auto"/>
              <w:contextualSpacing/>
              <w:jc w:val="both"/>
              <w:rPr>
                <w:color w:val="000000"/>
                <w:sz w:val="18"/>
                <w:szCs w:val="18"/>
              </w:rPr>
            </w:pPr>
            <w:r w:rsidRPr="00CE4E1F">
              <w:rPr>
                <w:color w:val="000000"/>
                <w:sz w:val="18"/>
                <w:szCs w:val="18"/>
              </w:rPr>
              <w:t>98 (54.4)</w:t>
            </w:r>
          </w:p>
        </w:tc>
      </w:tr>
      <w:tr w:rsidR="00D30BEF" w:rsidRPr="00CE4E1F" w14:paraId="79D0D61E"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50E2A857" w14:textId="77777777" w:rsidR="00D30BEF" w:rsidRPr="00CE4E1F" w:rsidRDefault="00D30BEF" w:rsidP="00742F09">
            <w:pPr>
              <w:spacing w:line="360" w:lineRule="auto"/>
              <w:ind w:firstLineChars="200" w:firstLine="360"/>
              <w:contextualSpacing/>
              <w:jc w:val="both"/>
              <w:rPr>
                <w:color w:val="000000"/>
                <w:sz w:val="18"/>
                <w:szCs w:val="18"/>
              </w:rPr>
            </w:pPr>
            <w:r w:rsidRPr="00CE4E1F">
              <w:rPr>
                <w:bCs/>
                <w:color w:val="000000"/>
                <w:sz w:val="18"/>
                <w:szCs w:val="18"/>
              </w:rPr>
              <w:t xml:space="preserve">High </w:t>
            </w:r>
          </w:p>
        </w:tc>
        <w:tc>
          <w:tcPr>
            <w:tcW w:w="3780" w:type="dxa"/>
            <w:tcBorders>
              <w:top w:val="nil"/>
              <w:left w:val="nil"/>
              <w:bottom w:val="single" w:sz="4" w:space="0" w:color="auto"/>
              <w:right w:val="single" w:sz="4" w:space="0" w:color="auto"/>
            </w:tcBorders>
            <w:shd w:val="clear" w:color="auto" w:fill="auto"/>
            <w:noWrap/>
            <w:vAlign w:val="center"/>
          </w:tcPr>
          <w:p w14:paraId="2260E228" w14:textId="183F643C" w:rsidR="00D30BEF" w:rsidRPr="00CE4E1F" w:rsidRDefault="00D30BEF" w:rsidP="00742F09">
            <w:pPr>
              <w:spacing w:line="360" w:lineRule="auto"/>
              <w:contextualSpacing/>
              <w:jc w:val="both"/>
              <w:rPr>
                <w:color w:val="000000"/>
                <w:sz w:val="18"/>
                <w:szCs w:val="18"/>
              </w:rPr>
            </w:pPr>
            <w:r w:rsidRPr="00CE4E1F">
              <w:rPr>
                <w:color w:val="000000"/>
                <w:sz w:val="18"/>
                <w:szCs w:val="18"/>
              </w:rPr>
              <w:t>42 (23.3)</w:t>
            </w:r>
          </w:p>
        </w:tc>
      </w:tr>
      <w:tr w:rsidR="00D30BEF" w:rsidRPr="00CE4E1F" w14:paraId="5189F2E2"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5BB348F0" w14:textId="77777777" w:rsidR="00D30BEF" w:rsidRPr="00CE4E1F" w:rsidRDefault="00D30BEF" w:rsidP="00742F09">
            <w:pPr>
              <w:spacing w:line="360" w:lineRule="auto"/>
              <w:contextualSpacing/>
              <w:jc w:val="both"/>
              <w:rPr>
                <w:color w:val="000000"/>
                <w:sz w:val="18"/>
                <w:szCs w:val="18"/>
              </w:rPr>
            </w:pPr>
            <w:r w:rsidRPr="00CE4E1F">
              <w:rPr>
                <w:b/>
                <w:bCs/>
                <w:color w:val="000000"/>
                <w:sz w:val="18"/>
                <w:szCs w:val="18"/>
              </w:rPr>
              <w:t>Postoperative radiotherapy - no. (%)</w:t>
            </w:r>
          </w:p>
        </w:tc>
        <w:tc>
          <w:tcPr>
            <w:tcW w:w="3780" w:type="dxa"/>
            <w:tcBorders>
              <w:top w:val="nil"/>
              <w:left w:val="nil"/>
              <w:bottom w:val="single" w:sz="4" w:space="0" w:color="auto"/>
              <w:right w:val="single" w:sz="4" w:space="0" w:color="auto"/>
            </w:tcBorders>
            <w:shd w:val="clear" w:color="auto" w:fill="auto"/>
            <w:noWrap/>
            <w:vAlign w:val="center"/>
          </w:tcPr>
          <w:p w14:paraId="08020BC3" w14:textId="74FA0CF4" w:rsidR="00D30BEF" w:rsidRPr="00CE4E1F" w:rsidRDefault="00D30BEF" w:rsidP="00742F09">
            <w:pPr>
              <w:spacing w:line="360" w:lineRule="auto"/>
              <w:contextualSpacing/>
              <w:jc w:val="both"/>
              <w:rPr>
                <w:color w:val="000000"/>
                <w:sz w:val="18"/>
                <w:szCs w:val="18"/>
              </w:rPr>
            </w:pPr>
            <w:r w:rsidRPr="00CE4E1F">
              <w:rPr>
                <w:color w:val="000000"/>
                <w:sz w:val="18"/>
                <w:szCs w:val="18"/>
              </w:rPr>
              <w:t>25 (13.9)</w:t>
            </w:r>
          </w:p>
        </w:tc>
      </w:tr>
      <w:tr w:rsidR="00D30BEF" w:rsidRPr="00CE4E1F" w14:paraId="3A94C0AA"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3437A709"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Median follow up (IQR) - yr.*</w:t>
            </w:r>
          </w:p>
        </w:tc>
        <w:tc>
          <w:tcPr>
            <w:tcW w:w="3780" w:type="dxa"/>
            <w:tcBorders>
              <w:top w:val="nil"/>
              <w:left w:val="nil"/>
              <w:bottom w:val="single" w:sz="4" w:space="0" w:color="auto"/>
              <w:right w:val="single" w:sz="4" w:space="0" w:color="auto"/>
            </w:tcBorders>
            <w:shd w:val="clear" w:color="auto" w:fill="auto"/>
            <w:noWrap/>
            <w:vAlign w:val="center"/>
            <w:hideMark/>
          </w:tcPr>
          <w:p w14:paraId="560FE36D" w14:textId="62846695" w:rsidR="00D30BEF" w:rsidRPr="00CE4E1F" w:rsidRDefault="00D30BEF" w:rsidP="00742F09">
            <w:pPr>
              <w:spacing w:line="360" w:lineRule="auto"/>
              <w:contextualSpacing/>
              <w:jc w:val="both"/>
              <w:rPr>
                <w:color w:val="000000"/>
                <w:sz w:val="18"/>
                <w:szCs w:val="18"/>
              </w:rPr>
            </w:pPr>
            <w:r w:rsidRPr="00CE4E1F">
              <w:rPr>
                <w:color w:val="000000"/>
                <w:sz w:val="18"/>
                <w:szCs w:val="18"/>
              </w:rPr>
              <w:t>5.7 (3.8-7.5)</w:t>
            </w:r>
          </w:p>
        </w:tc>
      </w:tr>
      <w:tr w:rsidR="00D30BEF" w:rsidRPr="00CE4E1F" w14:paraId="0DC1A2D6"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77AFFB18"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Local recurrence - no. (%)</w:t>
            </w:r>
          </w:p>
        </w:tc>
        <w:tc>
          <w:tcPr>
            <w:tcW w:w="3780" w:type="dxa"/>
            <w:tcBorders>
              <w:top w:val="nil"/>
              <w:left w:val="nil"/>
              <w:bottom w:val="single" w:sz="4" w:space="0" w:color="auto"/>
              <w:right w:val="single" w:sz="4" w:space="0" w:color="auto"/>
            </w:tcBorders>
            <w:shd w:val="clear" w:color="auto" w:fill="auto"/>
            <w:noWrap/>
            <w:vAlign w:val="bottom"/>
            <w:hideMark/>
          </w:tcPr>
          <w:p w14:paraId="3540B08B" w14:textId="610B15AB" w:rsidR="00D30BEF" w:rsidRPr="00CE4E1F" w:rsidRDefault="00D30BEF" w:rsidP="00742F09">
            <w:pPr>
              <w:spacing w:line="360" w:lineRule="auto"/>
              <w:contextualSpacing/>
              <w:jc w:val="both"/>
              <w:rPr>
                <w:color w:val="000000"/>
                <w:sz w:val="18"/>
                <w:szCs w:val="18"/>
              </w:rPr>
            </w:pPr>
            <w:r w:rsidRPr="00CE4E1F">
              <w:rPr>
                <w:color w:val="000000"/>
                <w:sz w:val="18"/>
                <w:szCs w:val="18"/>
              </w:rPr>
              <w:t>57 (31.7)</w:t>
            </w:r>
          </w:p>
        </w:tc>
      </w:tr>
      <w:tr w:rsidR="00D30BEF" w:rsidRPr="00CE4E1F" w14:paraId="2D6D4F73" w14:textId="77777777" w:rsidTr="00192379">
        <w:trPr>
          <w:trHeight w:val="320"/>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58909327"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Death - no. (%)</w:t>
            </w:r>
          </w:p>
        </w:tc>
        <w:tc>
          <w:tcPr>
            <w:tcW w:w="3780" w:type="dxa"/>
            <w:tcBorders>
              <w:top w:val="nil"/>
              <w:left w:val="nil"/>
              <w:bottom w:val="single" w:sz="4" w:space="0" w:color="auto"/>
              <w:right w:val="single" w:sz="4" w:space="0" w:color="auto"/>
            </w:tcBorders>
            <w:shd w:val="clear" w:color="auto" w:fill="auto"/>
            <w:noWrap/>
            <w:vAlign w:val="bottom"/>
            <w:hideMark/>
          </w:tcPr>
          <w:p w14:paraId="3D6A2DD6" w14:textId="584B4E60" w:rsidR="00D30BEF" w:rsidRPr="00CE4E1F" w:rsidRDefault="00D30BEF" w:rsidP="00742F09">
            <w:pPr>
              <w:spacing w:line="360" w:lineRule="auto"/>
              <w:contextualSpacing/>
              <w:jc w:val="both"/>
              <w:rPr>
                <w:color w:val="000000"/>
                <w:sz w:val="18"/>
                <w:szCs w:val="18"/>
              </w:rPr>
            </w:pPr>
            <w:r w:rsidRPr="00CE4E1F">
              <w:rPr>
                <w:color w:val="000000"/>
                <w:sz w:val="18"/>
                <w:szCs w:val="18"/>
              </w:rPr>
              <w:t>17 (9.4)</w:t>
            </w:r>
          </w:p>
        </w:tc>
      </w:tr>
    </w:tbl>
    <w:p w14:paraId="09381850" w14:textId="4BE3521B" w:rsidR="00F824C0" w:rsidRPr="00CE4E1F" w:rsidRDefault="00D30BEF" w:rsidP="00742F09">
      <w:pPr>
        <w:spacing w:line="360" w:lineRule="auto"/>
        <w:contextualSpacing/>
        <w:jc w:val="both"/>
        <w:rPr>
          <w:bCs/>
        </w:rPr>
      </w:pPr>
      <w:r w:rsidRPr="00CE4E1F">
        <w:rPr>
          <w:b/>
          <w:bCs/>
        </w:rPr>
        <w:t>*</w:t>
      </w:r>
      <w:r w:rsidRPr="00CE4E1F">
        <w:rPr>
          <w:bCs/>
        </w:rPr>
        <w:t xml:space="preserve">Estimated using the reverse Kaplan Meier method. Median clinical follow up time to survival events or censorship was 5.9 years. Median imaging follow up among patients without recurrence was 5.5 years. Median time to local recurrence was 1.8 years. Dates of surgery ranged between February 2005 and October 2021. </w:t>
      </w:r>
      <w:r w:rsidR="00F824C0" w:rsidRPr="00CE4E1F">
        <w:rPr>
          <w:bCs/>
        </w:rPr>
        <w:t xml:space="preserve">Nucleic acids were extracted from both frozen </w:t>
      </w:r>
      <w:r w:rsidRPr="00CE4E1F">
        <w:rPr>
          <w:bCs/>
        </w:rPr>
        <w:t xml:space="preserve">(N=105) </w:t>
      </w:r>
      <w:r w:rsidR="00F824C0" w:rsidRPr="00CE4E1F">
        <w:rPr>
          <w:bCs/>
        </w:rPr>
        <w:t xml:space="preserve">and FFPE </w:t>
      </w:r>
      <w:r w:rsidRPr="00CE4E1F">
        <w:rPr>
          <w:bCs/>
        </w:rPr>
        <w:t xml:space="preserve">(N=75) </w:t>
      </w:r>
      <w:r w:rsidR="00F824C0" w:rsidRPr="00CE4E1F">
        <w:rPr>
          <w:bCs/>
        </w:rPr>
        <w:t>meningiomas.</w:t>
      </w:r>
      <w:r w:rsidR="00A03244" w:rsidRPr="00CE4E1F">
        <w:rPr>
          <w:bCs/>
        </w:rPr>
        <w:t xml:space="preserve"> </w:t>
      </w:r>
    </w:p>
    <w:p w14:paraId="309D4F56" w14:textId="04208BDC" w:rsidR="00F824C0" w:rsidRPr="00CE4E1F" w:rsidRDefault="00F824C0" w:rsidP="00742F09">
      <w:pPr>
        <w:spacing w:line="360" w:lineRule="auto"/>
        <w:contextualSpacing/>
        <w:jc w:val="both"/>
        <w:rPr>
          <w:b/>
        </w:rPr>
      </w:pPr>
      <w:r w:rsidRPr="00CE4E1F">
        <w:rPr>
          <w:bCs/>
        </w:rPr>
        <w:br w:type="column"/>
      </w:r>
      <w:r w:rsidRPr="00CE4E1F">
        <w:rPr>
          <w:b/>
        </w:rPr>
        <w:lastRenderedPageBreak/>
        <w:t xml:space="preserve">Table S7. UCSF </w:t>
      </w:r>
      <w:r w:rsidRPr="00CE4E1F">
        <w:rPr>
          <w:b/>
          <w:bCs/>
        </w:rPr>
        <w:t xml:space="preserve">WHO grade 2 </w:t>
      </w:r>
      <w:r w:rsidR="004A0554" w:rsidRPr="00CE4E1F">
        <w:rPr>
          <w:b/>
          <w:bCs/>
        </w:rPr>
        <w:t>or</w:t>
      </w:r>
      <w:r w:rsidRPr="00CE4E1F">
        <w:rPr>
          <w:b/>
          <w:bCs/>
        </w:rPr>
        <w:t xml:space="preserve"> </w:t>
      </w:r>
      <w:r w:rsidR="00D73EA6">
        <w:rPr>
          <w:b/>
          <w:bCs/>
        </w:rPr>
        <w:t xml:space="preserve">grade </w:t>
      </w:r>
      <w:r w:rsidRPr="00CE4E1F">
        <w:rPr>
          <w:b/>
          <w:bCs/>
        </w:rPr>
        <w:t>3</w:t>
      </w:r>
      <w:r w:rsidRPr="00CE4E1F">
        <w:rPr>
          <w:b/>
        </w:rPr>
        <w:t xml:space="preserve"> </w:t>
      </w:r>
      <w:r w:rsidR="004A0554" w:rsidRPr="00CE4E1F">
        <w:rPr>
          <w:b/>
        </w:rPr>
        <w:t xml:space="preserve">clinical </w:t>
      </w:r>
      <w:r w:rsidRPr="00CE4E1F">
        <w:rPr>
          <w:b/>
        </w:rPr>
        <w:t>validation cohort characteristics.</w:t>
      </w:r>
    </w:p>
    <w:tbl>
      <w:tblPr>
        <w:tblW w:w="9355" w:type="dxa"/>
        <w:tblLook w:val="04A0" w:firstRow="1" w:lastRow="0" w:firstColumn="1" w:lastColumn="0" w:noHBand="0" w:noVBand="1"/>
      </w:tblPr>
      <w:tblGrid>
        <w:gridCol w:w="5575"/>
        <w:gridCol w:w="3780"/>
      </w:tblGrid>
      <w:tr w:rsidR="00F824C0" w:rsidRPr="00CE4E1F" w14:paraId="6BD38DCD" w14:textId="77777777" w:rsidTr="000C1374">
        <w:trPr>
          <w:trHeight w:val="320"/>
        </w:trPr>
        <w:tc>
          <w:tcPr>
            <w:tcW w:w="5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968EE" w14:textId="77777777" w:rsidR="00F824C0" w:rsidRPr="00CE4E1F" w:rsidRDefault="00F824C0" w:rsidP="00742F09">
            <w:pPr>
              <w:spacing w:line="360" w:lineRule="auto"/>
              <w:contextualSpacing/>
              <w:jc w:val="both"/>
              <w:rPr>
                <w:color w:val="000000"/>
                <w:sz w:val="18"/>
                <w:szCs w:val="18"/>
              </w:rPr>
            </w:pPr>
            <w:r w:rsidRPr="00CE4E1F">
              <w:rPr>
                <w:b/>
                <w:bCs/>
                <w:color w:val="000000"/>
                <w:sz w:val="18"/>
                <w:szCs w:val="18"/>
              </w:rPr>
              <w:t>Meningiomas - no.</w:t>
            </w:r>
          </w:p>
        </w:tc>
        <w:tc>
          <w:tcPr>
            <w:tcW w:w="3780" w:type="dxa"/>
            <w:tcBorders>
              <w:top w:val="single" w:sz="4" w:space="0" w:color="auto"/>
              <w:left w:val="nil"/>
              <w:bottom w:val="single" w:sz="4" w:space="0" w:color="auto"/>
              <w:right w:val="single" w:sz="4" w:space="0" w:color="auto"/>
            </w:tcBorders>
            <w:shd w:val="clear" w:color="auto" w:fill="auto"/>
            <w:noWrap/>
            <w:vAlign w:val="center"/>
            <w:hideMark/>
          </w:tcPr>
          <w:p w14:paraId="043B23A8" w14:textId="6F6CF462" w:rsidR="00F824C0" w:rsidRPr="00CE4E1F" w:rsidRDefault="00F824C0" w:rsidP="00742F09">
            <w:pPr>
              <w:spacing w:line="360" w:lineRule="auto"/>
              <w:contextualSpacing/>
              <w:jc w:val="both"/>
              <w:rPr>
                <w:bCs/>
                <w:color w:val="000000"/>
                <w:sz w:val="18"/>
                <w:szCs w:val="18"/>
              </w:rPr>
            </w:pPr>
            <w:r w:rsidRPr="00CE4E1F">
              <w:rPr>
                <w:bCs/>
                <w:color w:val="000000"/>
                <w:sz w:val="18"/>
                <w:szCs w:val="18"/>
              </w:rPr>
              <w:t>15</w:t>
            </w:r>
            <w:r w:rsidR="00B7429F" w:rsidRPr="00CE4E1F">
              <w:rPr>
                <w:bCs/>
                <w:color w:val="000000"/>
                <w:sz w:val="18"/>
                <w:szCs w:val="18"/>
              </w:rPr>
              <w:t>8</w:t>
            </w:r>
          </w:p>
        </w:tc>
      </w:tr>
      <w:tr w:rsidR="00F824C0" w:rsidRPr="00CE4E1F" w14:paraId="4CBC7EB0"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2DF3E8A6" w14:textId="77777777" w:rsidR="00F824C0" w:rsidRPr="00CE4E1F" w:rsidRDefault="00F824C0" w:rsidP="00742F09">
            <w:pPr>
              <w:spacing w:line="360" w:lineRule="auto"/>
              <w:contextualSpacing/>
              <w:jc w:val="both"/>
              <w:rPr>
                <w:b/>
                <w:bCs/>
                <w:color w:val="000000"/>
                <w:sz w:val="18"/>
                <w:szCs w:val="18"/>
              </w:rPr>
            </w:pPr>
            <w:r w:rsidRPr="00CE4E1F">
              <w:rPr>
                <w:b/>
                <w:bCs/>
                <w:color w:val="000000"/>
                <w:sz w:val="18"/>
                <w:szCs w:val="18"/>
              </w:rPr>
              <w:t>Patients - no.</w:t>
            </w:r>
          </w:p>
        </w:tc>
        <w:tc>
          <w:tcPr>
            <w:tcW w:w="3780" w:type="dxa"/>
            <w:tcBorders>
              <w:top w:val="nil"/>
              <w:left w:val="nil"/>
              <w:bottom w:val="single" w:sz="4" w:space="0" w:color="auto"/>
              <w:right w:val="single" w:sz="4" w:space="0" w:color="auto"/>
            </w:tcBorders>
            <w:shd w:val="clear" w:color="auto" w:fill="auto"/>
            <w:noWrap/>
            <w:vAlign w:val="center"/>
            <w:hideMark/>
          </w:tcPr>
          <w:p w14:paraId="0130EB38" w14:textId="41E835AF" w:rsidR="00F824C0" w:rsidRPr="00CE4E1F" w:rsidRDefault="00F824C0" w:rsidP="00742F09">
            <w:pPr>
              <w:spacing w:line="360" w:lineRule="auto"/>
              <w:contextualSpacing/>
              <w:jc w:val="both"/>
              <w:rPr>
                <w:color w:val="000000"/>
                <w:sz w:val="18"/>
                <w:szCs w:val="18"/>
              </w:rPr>
            </w:pPr>
            <w:r w:rsidRPr="00CE4E1F">
              <w:rPr>
                <w:color w:val="000000"/>
                <w:sz w:val="18"/>
                <w:szCs w:val="18"/>
              </w:rPr>
              <w:t>1</w:t>
            </w:r>
            <w:r w:rsidR="00B7429F" w:rsidRPr="00CE4E1F">
              <w:rPr>
                <w:color w:val="000000"/>
                <w:sz w:val="18"/>
                <w:szCs w:val="18"/>
              </w:rPr>
              <w:t>33</w:t>
            </w:r>
          </w:p>
        </w:tc>
      </w:tr>
      <w:tr w:rsidR="00F824C0" w:rsidRPr="00CE4E1F" w14:paraId="35CA4F48"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7654FA61" w14:textId="77777777" w:rsidR="00F824C0" w:rsidRPr="00CE4E1F" w:rsidRDefault="00F824C0" w:rsidP="00742F09">
            <w:pPr>
              <w:spacing w:line="360" w:lineRule="auto"/>
              <w:contextualSpacing/>
              <w:jc w:val="both"/>
              <w:rPr>
                <w:b/>
                <w:bCs/>
                <w:color w:val="000000"/>
                <w:sz w:val="18"/>
                <w:szCs w:val="18"/>
              </w:rPr>
            </w:pPr>
            <w:r w:rsidRPr="00CE4E1F">
              <w:rPr>
                <w:b/>
                <w:bCs/>
                <w:color w:val="000000"/>
                <w:sz w:val="18"/>
                <w:szCs w:val="18"/>
              </w:rPr>
              <w:t>Females - no. (%)</w:t>
            </w:r>
          </w:p>
        </w:tc>
        <w:tc>
          <w:tcPr>
            <w:tcW w:w="3780" w:type="dxa"/>
            <w:tcBorders>
              <w:top w:val="nil"/>
              <w:left w:val="nil"/>
              <w:bottom w:val="single" w:sz="4" w:space="0" w:color="auto"/>
              <w:right w:val="single" w:sz="4" w:space="0" w:color="auto"/>
            </w:tcBorders>
            <w:shd w:val="clear" w:color="auto" w:fill="auto"/>
            <w:noWrap/>
            <w:vAlign w:val="center"/>
            <w:hideMark/>
          </w:tcPr>
          <w:p w14:paraId="35165BBE" w14:textId="7D400770" w:rsidR="00F824C0" w:rsidRPr="00CE4E1F" w:rsidRDefault="00F824C0" w:rsidP="00742F09">
            <w:pPr>
              <w:spacing w:line="360" w:lineRule="auto"/>
              <w:contextualSpacing/>
              <w:jc w:val="both"/>
              <w:rPr>
                <w:color w:val="000000"/>
                <w:sz w:val="18"/>
                <w:szCs w:val="18"/>
              </w:rPr>
            </w:pPr>
            <w:r w:rsidRPr="00CE4E1F">
              <w:rPr>
                <w:color w:val="000000"/>
                <w:sz w:val="18"/>
                <w:szCs w:val="18"/>
              </w:rPr>
              <w:t>80 (6</w:t>
            </w:r>
            <w:r w:rsidR="00B7429F" w:rsidRPr="00CE4E1F">
              <w:rPr>
                <w:color w:val="000000"/>
                <w:sz w:val="18"/>
                <w:szCs w:val="18"/>
              </w:rPr>
              <w:t>0</w:t>
            </w:r>
            <w:r w:rsidRPr="00CE4E1F">
              <w:rPr>
                <w:color w:val="000000"/>
                <w:sz w:val="18"/>
                <w:szCs w:val="18"/>
              </w:rPr>
              <w:t>.</w:t>
            </w:r>
            <w:r w:rsidR="00B7429F" w:rsidRPr="00CE4E1F">
              <w:rPr>
                <w:color w:val="000000"/>
                <w:sz w:val="18"/>
                <w:szCs w:val="18"/>
              </w:rPr>
              <w:t>2</w:t>
            </w:r>
            <w:r w:rsidRPr="00CE4E1F">
              <w:rPr>
                <w:color w:val="000000"/>
                <w:sz w:val="18"/>
                <w:szCs w:val="18"/>
              </w:rPr>
              <w:t>)</w:t>
            </w:r>
          </w:p>
        </w:tc>
      </w:tr>
      <w:tr w:rsidR="00F824C0" w:rsidRPr="00CE4E1F" w14:paraId="52CF1AA1"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2D504D08" w14:textId="77777777" w:rsidR="00F824C0" w:rsidRPr="00CE4E1F" w:rsidRDefault="00F824C0" w:rsidP="00742F09">
            <w:pPr>
              <w:spacing w:line="360" w:lineRule="auto"/>
              <w:contextualSpacing/>
              <w:jc w:val="both"/>
              <w:rPr>
                <w:b/>
                <w:bCs/>
                <w:color w:val="000000"/>
                <w:sz w:val="18"/>
                <w:szCs w:val="18"/>
              </w:rPr>
            </w:pPr>
            <w:r w:rsidRPr="00CE4E1F">
              <w:rPr>
                <w:b/>
                <w:bCs/>
                <w:color w:val="000000"/>
                <w:sz w:val="18"/>
                <w:szCs w:val="18"/>
              </w:rPr>
              <w:t>Median age (IQR) - yr.</w:t>
            </w:r>
          </w:p>
        </w:tc>
        <w:tc>
          <w:tcPr>
            <w:tcW w:w="3780" w:type="dxa"/>
            <w:tcBorders>
              <w:top w:val="nil"/>
              <w:left w:val="nil"/>
              <w:bottom w:val="single" w:sz="4" w:space="0" w:color="auto"/>
              <w:right w:val="single" w:sz="4" w:space="0" w:color="auto"/>
            </w:tcBorders>
            <w:shd w:val="clear" w:color="auto" w:fill="auto"/>
            <w:noWrap/>
            <w:vAlign w:val="center"/>
            <w:hideMark/>
          </w:tcPr>
          <w:p w14:paraId="7CA7F781" w14:textId="77777777" w:rsidR="00F824C0" w:rsidRPr="00CE4E1F" w:rsidRDefault="00F824C0" w:rsidP="00742F09">
            <w:pPr>
              <w:spacing w:line="360" w:lineRule="auto"/>
              <w:contextualSpacing/>
              <w:jc w:val="both"/>
              <w:rPr>
                <w:color w:val="000000"/>
                <w:sz w:val="18"/>
                <w:szCs w:val="18"/>
              </w:rPr>
            </w:pPr>
            <w:r w:rsidRPr="00CE4E1F">
              <w:rPr>
                <w:color w:val="000000"/>
                <w:sz w:val="18"/>
                <w:szCs w:val="18"/>
              </w:rPr>
              <w:t>56.9 (45.4-66.4)</w:t>
            </w:r>
          </w:p>
        </w:tc>
      </w:tr>
      <w:tr w:rsidR="00F824C0" w:rsidRPr="00CE4E1F" w14:paraId="13D100AD"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6E3D7B9C" w14:textId="77777777" w:rsidR="00F824C0" w:rsidRPr="00CE4E1F" w:rsidRDefault="00F824C0" w:rsidP="00742F09">
            <w:pPr>
              <w:spacing w:line="360" w:lineRule="auto"/>
              <w:contextualSpacing/>
              <w:jc w:val="both"/>
              <w:rPr>
                <w:b/>
                <w:bCs/>
                <w:color w:val="000000"/>
                <w:sz w:val="18"/>
                <w:szCs w:val="18"/>
              </w:rPr>
            </w:pPr>
            <w:r w:rsidRPr="00CE4E1F">
              <w:rPr>
                <w:b/>
                <w:bCs/>
                <w:color w:val="000000"/>
                <w:sz w:val="18"/>
                <w:szCs w:val="18"/>
              </w:rPr>
              <w:t>Setting - no. (%)</w:t>
            </w:r>
          </w:p>
        </w:tc>
        <w:tc>
          <w:tcPr>
            <w:tcW w:w="3780" w:type="dxa"/>
            <w:tcBorders>
              <w:top w:val="nil"/>
              <w:left w:val="nil"/>
              <w:bottom w:val="single" w:sz="4" w:space="0" w:color="auto"/>
              <w:right w:val="single" w:sz="4" w:space="0" w:color="auto"/>
            </w:tcBorders>
            <w:shd w:val="clear" w:color="auto" w:fill="auto"/>
            <w:noWrap/>
            <w:vAlign w:val="center"/>
            <w:hideMark/>
          </w:tcPr>
          <w:p w14:paraId="47BC09CE" w14:textId="77777777" w:rsidR="00F824C0" w:rsidRPr="00CE4E1F" w:rsidRDefault="00F824C0" w:rsidP="00742F09">
            <w:pPr>
              <w:spacing w:line="360" w:lineRule="auto"/>
              <w:contextualSpacing/>
              <w:jc w:val="both"/>
              <w:rPr>
                <w:color w:val="000000"/>
                <w:sz w:val="18"/>
                <w:szCs w:val="18"/>
              </w:rPr>
            </w:pPr>
            <w:r w:rsidRPr="00CE4E1F">
              <w:rPr>
                <w:color w:val="000000"/>
                <w:sz w:val="18"/>
                <w:szCs w:val="18"/>
              </w:rPr>
              <w:t> </w:t>
            </w:r>
          </w:p>
        </w:tc>
      </w:tr>
      <w:tr w:rsidR="00F824C0" w:rsidRPr="00CE4E1F" w14:paraId="34F4E017"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5413A258" w14:textId="77777777" w:rsidR="00F824C0" w:rsidRPr="00CE4E1F" w:rsidRDefault="00F824C0" w:rsidP="00742F09">
            <w:pPr>
              <w:spacing w:line="360" w:lineRule="auto"/>
              <w:contextualSpacing/>
              <w:jc w:val="both"/>
              <w:rPr>
                <w:b/>
                <w:bCs/>
                <w:color w:val="000000"/>
                <w:sz w:val="18"/>
                <w:szCs w:val="18"/>
              </w:rPr>
            </w:pPr>
            <w:r w:rsidRPr="00CE4E1F">
              <w:rPr>
                <w:color w:val="000000"/>
                <w:sz w:val="18"/>
                <w:szCs w:val="18"/>
              </w:rPr>
              <w:t xml:space="preserve">        Primary</w:t>
            </w:r>
          </w:p>
        </w:tc>
        <w:tc>
          <w:tcPr>
            <w:tcW w:w="3780" w:type="dxa"/>
            <w:tcBorders>
              <w:top w:val="nil"/>
              <w:left w:val="nil"/>
              <w:bottom w:val="single" w:sz="4" w:space="0" w:color="auto"/>
              <w:right w:val="single" w:sz="4" w:space="0" w:color="auto"/>
            </w:tcBorders>
            <w:shd w:val="clear" w:color="auto" w:fill="auto"/>
            <w:noWrap/>
            <w:vAlign w:val="center"/>
            <w:hideMark/>
          </w:tcPr>
          <w:p w14:paraId="1047FE56" w14:textId="3432B9D2" w:rsidR="00F824C0" w:rsidRPr="00CE4E1F" w:rsidRDefault="00B7429F" w:rsidP="00742F09">
            <w:pPr>
              <w:spacing w:line="360" w:lineRule="auto"/>
              <w:contextualSpacing/>
              <w:jc w:val="both"/>
              <w:rPr>
                <w:color w:val="000000"/>
                <w:sz w:val="18"/>
                <w:szCs w:val="18"/>
              </w:rPr>
            </w:pPr>
            <w:r w:rsidRPr="00CE4E1F">
              <w:rPr>
                <w:color w:val="000000"/>
                <w:sz w:val="18"/>
                <w:szCs w:val="18"/>
              </w:rPr>
              <w:t>131</w:t>
            </w:r>
            <w:r w:rsidR="00F824C0" w:rsidRPr="00CE4E1F">
              <w:rPr>
                <w:color w:val="000000"/>
                <w:sz w:val="18"/>
                <w:szCs w:val="18"/>
              </w:rPr>
              <w:t xml:space="preserve"> (82.</w:t>
            </w:r>
            <w:r w:rsidRPr="00CE4E1F">
              <w:rPr>
                <w:color w:val="000000"/>
                <w:sz w:val="18"/>
                <w:szCs w:val="18"/>
              </w:rPr>
              <w:t>9</w:t>
            </w:r>
            <w:r w:rsidR="00F824C0" w:rsidRPr="00CE4E1F">
              <w:rPr>
                <w:color w:val="000000"/>
                <w:sz w:val="18"/>
                <w:szCs w:val="18"/>
              </w:rPr>
              <w:t>)</w:t>
            </w:r>
          </w:p>
        </w:tc>
      </w:tr>
      <w:tr w:rsidR="00F824C0" w:rsidRPr="00CE4E1F" w14:paraId="4B776451"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3145AAB2" w14:textId="77777777" w:rsidR="00F824C0" w:rsidRPr="00CE4E1F" w:rsidRDefault="00F824C0" w:rsidP="00742F09">
            <w:pPr>
              <w:spacing w:line="360" w:lineRule="auto"/>
              <w:ind w:firstLineChars="200" w:firstLine="360"/>
              <w:contextualSpacing/>
              <w:jc w:val="both"/>
              <w:rPr>
                <w:color w:val="000000"/>
                <w:sz w:val="18"/>
                <w:szCs w:val="18"/>
              </w:rPr>
            </w:pPr>
            <w:r w:rsidRPr="00CE4E1F">
              <w:rPr>
                <w:color w:val="000000"/>
                <w:sz w:val="18"/>
                <w:szCs w:val="18"/>
              </w:rPr>
              <w:t>Recurrent</w:t>
            </w:r>
          </w:p>
        </w:tc>
        <w:tc>
          <w:tcPr>
            <w:tcW w:w="3780" w:type="dxa"/>
            <w:tcBorders>
              <w:top w:val="nil"/>
              <w:left w:val="nil"/>
              <w:bottom w:val="single" w:sz="4" w:space="0" w:color="auto"/>
              <w:right w:val="single" w:sz="4" w:space="0" w:color="auto"/>
            </w:tcBorders>
            <w:shd w:val="clear" w:color="auto" w:fill="auto"/>
            <w:noWrap/>
            <w:vAlign w:val="center"/>
            <w:hideMark/>
          </w:tcPr>
          <w:p w14:paraId="58B24E6C" w14:textId="190F7992" w:rsidR="00F824C0" w:rsidRPr="00CE4E1F" w:rsidRDefault="00F824C0" w:rsidP="00742F09">
            <w:pPr>
              <w:spacing w:line="360" w:lineRule="auto"/>
              <w:contextualSpacing/>
              <w:jc w:val="both"/>
              <w:rPr>
                <w:color w:val="000000"/>
                <w:sz w:val="18"/>
                <w:szCs w:val="18"/>
              </w:rPr>
            </w:pPr>
            <w:r w:rsidRPr="00CE4E1F">
              <w:rPr>
                <w:color w:val="000000"/>
                <w:sz w:val="18"/>
                <w:szCs w:val="18"/>
              </w:rPr>
              <w:t>27 (17.</w:t>
            </w:r>
            <w:r w:rsidR="00B7429F" w:rsidRPr="00CE4E1F">
              <w:rPr>
                <w:color w:val="000000"/>
                <w:sz w:val="18"/>
                <w:szCs w:val="18"/>
              </w:rPr>
              <w:t>1</w:t>
            </w:r>
            <w:r w:rsidRPr="00CE4E1F">
              <w:rPr>
                <w:color w:val="000000"/>
                <w:sz w:val="18"/>
                <w:szCs w:val="18"/>
              </w:rPr>
              <w:t>)</w:t>
            </w:r>
          </w:p>
        </w:tc>
      </w:tr>
      <w:tr w:rsidR="00F824C0" w:rsidRPr="00CE4E1F" w14:paraId="394FDD2A"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3E506486" w14:textId="77777777" w:rsidR="00F824C0" w:rsidRPr="00CE4E1F" w:rsidRDefault="00F824C0" w:rsidP="00742F09">
            <w:pPr>
              <w:spacing w:line="360" w:lineRule="auto"/>
              <w:contextualSpacing/>
              <w:jc w:val="both"/>
              <w:rPr>
                <w:color w:val="000000"/>
                <w:sz w:val="18"/>
                <w:szCs w:val="18"/>
              </w:rPr>
            </w:pPr>
            <w:r w:rsidRPr="00CE4E1F">
              <w:rPr>
                <w:b/>
                <w:bCs/>
                <w:color w:val="000000"/>
                <w:sz w:val="18"/>
                <w:szCs w:val="18"/>
              </w:rPr>
              <w:t>Extent of resection - no. (%)</w:t>
            </w:r>
          </w:p>
        </w:tc>
        <w:tc>
          <w:tcPr>
            <w:tcW w:w="3780" w:type="dxa"/>
            <w:tcBorders>
              <w:top w:val="nil"/>
              <w:left w:val="nil"/>
              <w:bottom w:val="single" w:sz="4" w:space="0" w:color="auto"/>
              <w:right w:val="single" w:sz="4" w:space="0" w:color="auto"/>
            </w:tcBorders>
            <w:shd w:val="clear" w:color="auto" w:fill="auto"/>
            <w:noWrap/>
            <w:vAlign w:val="center"/>
            <w:hideMark/>
          </w:tcPr>
          <w:p w14:paraId="2D2D2E24" w14:textId="77777777" w:rsidR="00F824C0" w:rsidRPr="00CE4E1F" w:rsidRDefault="00F824C0" w:rsidP="00742F09">
            <w:pPr>
              <w:spacing w:line="360" w:lineRule="auto"/>
              <w:contextualSpacing/>
              <w:jc w:val="both"/>
              <w:rPr>
                <w:color w:val="000000"/>
                <w:sz w:val="18"/>
                <w:szCs w:val="18"/>
              </w:rPr>
            </w:pPr>
            <w:r w:rsidRPr="00CE4E1F">
              <w:rPr>
                <w:color w:val="000000"/>
                <w:sz w:val="18"/>
                <w:szCs w:val="18"/>
              </w:rPr>
              <w:t> </w:t>
            </w:r>
          </w:p>
        </w:tc>
      </w:tr>
      <w:tr w:rsidR="00F824C0" w:rsidRPr="00CE4E1F" w14:paraId="38464BEA"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47E4760A" w14:textId="77777777" w:rsidR="00F824C0" w:rsidRPr="00CE4E1F" w:rsidRDefault="00F824C0" w:rsidP="00742F09">
            <w:pPr>
              <w:spacing w:line="360" w:lineRule="auto"/>
              <w:contextualSpacing/>
              <w:jc w:val="both"/>
              <w:rPr>
                <w:b/>
                <w:bCs/>
                <w:color w:val="000000"/>
                <w:sz w:val="18"/>
                <w:szCs w:val="18"/>
              </w:rPr>
            </w:pPr>
            <w:r w:rsidRPr="00CE4E1F">
              <w:rPr>
                <w:color w:val="000000"/>
                <w:sz w:val="18"/>
                <w:szCs w:val="18"/>
              </w:rPr>
              <w:t xml:space="preserve">        Gross total</w:t>
            </w:r>
          </w:p>
        </w:tc>
        <w:tc>
          <w:tcPr>
            <w:tcW w:w="3780" w:type="dxa"/>
            <w:tcBorders>
              <w:top w:val="nil"/>
              <w:left w:val="nil"/>
              <w:bottom w:val="single" w:sz="4" w:space="0" w:color="auto"/>
              <w:right w:val="single" w:sz="4" w:space="0" w:color="auto"/>
            </w:tcBorders>
            <w:shd w:val="clear" w:color="auto" w:fill="auto"/>
            <w:noWrap/>
            <w:vAlign w:val="center"/>
            <w:hideMark/>
          </w:tcPr>
          <w:p w14:paraId="2291390C" w14:textId="789F2492" w:rsidR="00F824C0" w:rsidRPr="00CE4E1F" w:rsidRDefault="00F824C0" w:rsidP="00742F09">
            <w:pPr>
              <w:spacing w:line="360" w:lineRule="auto"/>
              <w:contextualSpacing/>
              <w:jc w:val="both"/>
              <w:rPr>
                <w:color w:val="000000"/>
                <w:sz w:val="18"/>
                <w:szCs w:val="18"/>
              </w:rPr>
            </w:pPr>
            <w:r w:rsidRPr="00CE4E1F">
              <w:rPr>
                <w:color w:val="000000"/>
                <w:sz w:val="18"/>
                <w:szCs w:val="18"/>
              </w:rPr>
              <w:t>8</w:t>
            </w:r>
            <w:r w:rsidR="00B7429F" w:rsidRPr="00CE4E1F">
              <w:rPr>
                <w:color w:val="000000"/>
                <w:sz w:val="18"/>
                <w:szCs w:val="18"/>
              </w:rPr>
              <w:t>2</w:t>
            </w:r>
            <w:r w:rsidRPr="00CE4E1F">
              <w:rPr>
                <w:color w:val="000000"/>
                <w:sz w:val="18"/>
                <w:szCs w:val="18"/>
              </w:rPr>
              <w:t xml:space="preserve"> (5</w:t>
            </w:r>
            <w:r w:rsidR="00B7429F" w:rsidRPr="00CE4E1F">
              <w:rPr>
                <w:color w:val="000000"/>
                <w:sz w:val="18"/>
                <w:szCs w:val="18"/>
              </w:rPr>
              <w:t>1</w:t>
            </w:r>
            <w:r w:rsidRPr="00CE4E1F">
              <w:rPr>
                <w:color w:val="000000"/>
                <w:sz w:val="18"/>
                <w:szCs w:val="18"/>
              </w:rPr>
              <w:t>.9)</w:t>
            </w:r>
          </w:p>
        </w:tc>
      </w:tr>
      <w:tr w:rsidR="00F824C0" w:rsidRPr="00CE4E1F" w14:paraId="5505F24E"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7BDB1F94" w14:textId="77777777" w:rsidR="00F824C0" w:rsidRPr="00CE4E1F" w:rsidRDefault="00F824C0" w:rsidP="00742F09">
            <w:pPr>
              <w:spacing w:line="360" w:lineRule="auto"/>
              <w:ind w:firstLineChars="200" w:firstLine="360"/>
              <w:contextualSpacing/>
              <w:jc w:val="both"/>
              <w:rPr>
                <w:color w:val="000000"/>
                <w:sz w:val="18"/>
                <w:szCs w:val="18"/>
              </w:rPr>
            </w:pPr>
            <w:r w:rsidRPr="00CE4E1F">
              <w:rPr>
                <w:color w:val="000000"/>
                <w:sz w:val="18"/>
                <w:szCs w:val="18"/>
              </w:rPr>
              <w:t>Subtotal</w:t>
            </w:r>
          </w:p>
        </w:tc>
        <w:tc>
          <w:tcPr>
            <w:tcW w:w="3780" w:type="dxa"/>
            <w:tcBorders>
              <w:top w:val="nil"/>
              <w:left w:val="nil"/>
              <w:bottom w:val="single" w:sz="4" w:space="0" w:color="auto"/>
              <w:right w:val="single" w:sz="4" w:space="0" w:color="auto"/>
            </w:tcBorders>
            <w:shd w:val="clear" w:color="auto" w:fill="auto"/>
            <w:noWrap/>
            <w:vAlign w:val="center"/>
            <w:hideMark/>
          </w:tcPr>
          <w:p w14:paraId="20576D39" w14:textId="3247B8DB" w:rsidR="00F824C0" w:rsidRPr="00CE4E1F" w:rsidRDefault="00F824C0" w:rsidP="00742F09">
            <w:pPr>
              <w:spacing w:line="360" w:lineRule="auto"/>
              <w:contextualSpacing/>
              <w:jc w:val="both"/>
              <w:rPr>
                <w:color w:val="000000"/>
                <w:sz w:val="18"/>
                <w:szCs w:val="18"/>
              </w:rPr>
            </w:pPr>
            <w:r w:rsidRPr="00CE4E1F">
              <w:rPr>
                <w:color w:val="000000"/>
                <w:sz w:val="18"/>
                <w:szCs w:val="18"/>
              </w:rPr>
              <w:t>7</w:t>
            </w:r>
            <w:r w:rsidR="00B7429F" w:rsidRPr="00CE4E1F">
              <w:rPr>
                <w:color w:val="000000"/>
                <w:sz w:val="18"/>
                <w:szCs w:val="18"/>
              </w:rPr>
              <w:t>4</w:t>
            </w:r>
            <w:r w:rsidRPr="00CE4E1F">
              <w:rPr>
                <w:color w:val="000000"/>
                <w:sz w:val="18"/>
                <w:szCs w:val="18"/>
              </w:rPr>
              <w:t xml:space="preserve"> (4</w:t>
            </w:r>
            <w:r w:rsidR="00B7429F" w:rsidRPr="00CE4E1F">
              <w:rPr>
                <w:color w:val="000000"/>
                <w:sz w:val="18"/>
                <w:szCs w:val="18"/>
              </w:rPr>
              <w:t>6</w:t>
            </w:r>
            <w:r w:rsidRPr="00CE4E1F">
              <w:rPr>
                <w:color w:val="000000"/>
                <w:sz w:val="18"/>
                <w:szCs w:val="18"/>
              </w:rPr>
              <w:t>.8)</w:t>
            </w:r>
          </w:p>
        </w:tc>
      </w:tr>
      <w:tr w:rsidR="00F824C0" w:rsidRPr="00CE4E1F" w14:paraId="490D90EB"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602D88EE" w14:textId="77777777" w:rsidR="00F824C0" w:rsidRPr="00CE4E1F" w:rsidRDefault="00F824C0" w:rsidP="00742F09">
            <w:pPr>
              <w:spacing w:line="360" w:lineRule="auto"/>
              <w:contextualSpacing/>
              <w:jc w:val="both"/>
              <w:rPr>
                <w:color w:val="000000"/>
                <w:sz w:val="18"/>
                <w:szCs w:val="18"/>
              </w:rPr>
            </w:pPr>
            <w:r w:rsidRPr="00CE4E1F">
              <w:rPr>
                <w:b/>
                <w:bCs/>
                <w:color w:val="000000"/>
                <w:sz w:val="18"/>
                <w:szCs w:val="18"/>
              </w:rPr>
              <w:t>WHO 2016 grade - no. (%)</w:t>
            </w:r>
          </w:p>
        </w:tc>
        <w:tc>
          <w:tcPr>
            <w:tcW w:w="3780" w:type="dxa"/>
            <w:tcBorders>
              <w:top w:val="nil"/>
              <w:left w:val="nil"/>
              <w:bottom w:val="single" w:sz="4" w:space="0" w:color="auto"/>
              <w:right w:val="single" w:sz="4" w:space="0" w:color="auto"/>
            </w:tcBorders>
            <w:shd w:val="clear" w:color="auto" w:fill="auto"/>
            <w:noWrap/>
            <w:vAlign w:val="center"/>
            <w:hideMark/>
          </w:tcPr>
          <w:p w14:paraId="4DEAF032" w14:textId="77777777" w:rsidR="00F824C0" w:rsidRPr="00CE4E1F" w:rsidRDefault="00F824C0" w:rsidP="00742F09">
            <w:pPr>
              <w:spacing w:line="360" w:lineRule="auto"/>
              <w:contextualSpacing/>
              <w:jc w:val="both"/>
              <w:rPr>
                <w:color w:val="000000"/>
                <w:sz w:val="18"/>
                <w:szCs w:val="18"/>
              </w:rPr>
            </w:pPr>
            <w:r w:rsidRPr="00CE4E1F">
              <w:rPr>
                <w:color w:val="000000"/>
                <w:sz w:val="18"/>
                <w:szCs w:val="18"/>
              </w:rPr>
              <w:t> </w:t>
            </w:r>
          </w:p>
        </w:tc>
      </w:tr>
      <w:tr w:rsidR="00F824C0" w:rsidRPr="00CE4E1F" w14:paraId="02FDF3C1"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287D70A6" w14:textId="77777777" w:rsidR="00F824C0" w:rsidRPr="00CE4E1F" w:rsidRDefault="00F824C0" w:rsidP="00742F09">
            <w:pPr>
              <w:spacing w:line="360" w:lineRule="auto"/>
              <w:contextualSpacing/>
              <w:jc w:val="both"/>
              <w:rPr>
                <w:b/>
                <w:bCs/>
                <w:color w:val="000000"/>
                <w:sz w:val="18"/>
                <w:szCs w:val="18"/>
              </w:rPr>
            </w:pPr>
            <w:r w:rsidRPr="00CE4E1F">
              <w:rPr>
                <w:color w:val="000000"/>
                <w:sz w:val="18"/>
                <w:szCs w:val="18"/>
              </w:rPr>
              <w:t xml:space="preserve">        1</w:t>
            </w:r>
          </w:p>
        </w:tc>
        <w:tc>
          <w:tcPr>
            <w:tcW w:w="3780" w:type="dxa"/>
            <w:tcBorders>
              <w:top w:val="nil"/>
              <w:left w:val="nil"/>
              <w:bottom w:val="single" w:sz="4" w:space="0" w:color="auto"/>
              <w:right w:val="single" w:sz="4" w:space="0" w:color="auto"/>
            </w:tcBorders>
            <w:shd w:val="clear" w:color="auto" w:fill="auto"/>
            <w:noWrap/>
            <w:vAlign w:val="center"/>
            <w:hideMark/>
          </w:tcPr>
          <w:p w14:paraId="6F574BA5" w14:textId="77777777" w:rsidR="00F824C0" w:rsidRPr="00CE4E1F" w:rsidRDefault="00F824C0" w:rsidP="00742F09">
            <w:pPr>
              <w:spacing w:line="360" w:lineRule="auto"/>
              <w:contextualSpacing/>
              <w:jc w:val="both"/>
              <w:rPr>
                <w:color w:val="000000"/>
                <w:sz w:val="18"/>
                <w:szCs w:val="18"/>
              </w:rPr>
            </w:pPr>
            <w:r w:rsidRPr="00CE4E1F">
              <w:rPr>
                <w:color w:val="000000"/>
                <w:sz w:val="18"/>
                <w:szCs w:val="18"/>
              </w:rPr>
              <w:t>0 (0)</w:t>
            </w:r>
          </w:p>
        </w:tc>
      </w:tr>
      <w:tr w:rsidR="00F824C0" w:rsidRPr="00CE4E1F" w14:paraId="6616F39E"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637CDB7F" w14:textId="77777777" w:rsidR="00F824C0" w:rsidRPr="00CE4E1F" w:rsidRDefault="00F824C0"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vAlign w:val="center"/>
            <w:hideMark/>
          </w:tcPr>
          <w:p w14:paraId="47FD93AB" w14:textId="6ED85D47" w:rsidR="00F824C0" w:rsidRPr="00CE4E1F" w:rsidRDefault="00F824C0" w:rsidP="00742F09">
            <w:pPr>
              <w:spacing w:line="360" w:lineRule="auto"/>
              <w:contextualSpacing/>
              <w:jc w:val="both"/>
              <w:rPr>
                <w:color w:val="000000"/>
                <w:sz w:val="18"/>
                <w:szCs w:val="18"/>
              </w:rPr>
            </w:pPr>
            <w:r w:rsidRPr="00CE4E1F">
              <w:rPr>
                <w:color w:val="000000"/>
                <w:sz w:val="18"/>
                <w:szCs w:val="18"/>
              </w:rPr>
              <w:t>7</w:t>
            </w:r>
            <w:r w:rsidR="00B7429F" w:rsidRPr="00CE4E1F">
              <w:rPr>
                <w:color w:val="000000"/>
                <w:sz w:val="18"/>
                <w:szCs w:val="18"/>
              </w:rPr>
              <w:t>6</w:t>
            </w:r>
            <w:r w:rsidRPr="00CE4E1F">
              <w:rPr>
                <w:color w:val="000000"/>
                <w:sz w:val="18"/>
                <w:szCs w:val="18"/>
              </w:rPr>
              <w:t xml:space="preserve"> (4</w:t>
            </w:r>
            <w:r w:rsidR="00B7429F" w:rsidRPr="00CE4E1F">
              <w:rPr>
                <w:color w:val="000000"/>
                <w:sz w:val="18"/>
                <w:szCs w:val="18"/>
              </w:rPr>
              <w:t>8</w:t>
            </w:r>
            <w:r w:rsidRPr="00CE4E1F">
              <w:rPr>
                <w:color w:val="000000"/>
                <w:sz w:val="18"/>
                <w:szCs w:val="18"/>
              </w:rPr>
              <w:t>.</w:t>
            </w:r>
            <w:r w:rsidR="00B7429F" w:rsidRPr="00CE4E1F">
              <w:rPr>
                <w:color w:val="000000"/>
                <w:sz w:val="18"/>
                <w:szCs w:val="18"/>
              </w:rPr>
              <w:t>1</w:t>
            </w:r>
            <w:r w:rsidRPr="00CE4E1F">
              <w:rPr>
                <w:color w:val="000000"/>
                <w:sz w:val="18"/>
                <w:szCs w:val="18"/>
              </w:rPr>
              <w:t>)</w:t>
            </w:r>
          </w:p>
        </w:tc>
      </w:tr>
      <w:tr w:rsidR="00F824C0" w:rsidRPr="00CE4E1F" w14:paraId="5C5BD2E4"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198CCED7" w14:textId="77777777" w:rsidR="00F824C0" w:rsidRPr="00CE4E1F" w:rsidRDefault="00F824C0"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vAlign w:val="center"/>
            <w:hideMark/>
          </w:tcPr>
          <w:p w14:paraId="49E7CACC" w14:textId="1B5A51D6" w:rsidR="00F824C0" w:rsidRPr="00CE4E1F" w:rsidRDefault="00F824C0" w:rsidP="00742F09">
            <w:pPr>
              <w:spacing w:line="360" w:lineRule="auto"/>
              <w:contextualSpacing/>
              <w:jc w:val="both"/>
              <w:rPr>
                <w:color w:val="000000"/>
                <w:sz w:val="18"/>
                <w:szCs w:val="18"/>
              </w:rPr>
            </w:pPr>
            <w:r w:rsidRPr="00CE4E1F">
              <w:rPr>
                <w:color w:val="000000"/>
                <w:sz w:val="18"/>
                <w:szCs w:val="18"/>
              </w:rPr>
              <w:t>82 (5</w:t>
            </w:r>
            <w:r w:rsidR="00B7429F" w:rsidRPr="00CE4E1F">
              <w:rPr>
                <w:color w:val="000000"/>
                <w:sz w:val="18"/>
                <w:szCs w:val="18"/>
              </w:rPr>
              <w:t>1</w:t>
            </w:r>
            <w:r w:rsidRPr="00CE4E1F">
              <w:rPr>
                <w:color w:val="000000"/>
                <w:sz w:val="18"/>
                <w:szCs w:val="18"/>
              </w:rPr>
              <w:t>.</w:t>
            </w:r>
            <w:r w:rsidR="00B7429F" w:rsidRPr="00CE4E1F">
              <w:rPr>
                <w:color w:val="000000"/>
                <w:sz w:val="18"/>
                <w:szCs w:val="18"/>
              </w:rPr>
              <w:t>9</w:t>
            </w:r>
            <w:r w:rsidRPr="00CE4E1F">
              <w:rPr>
                <w:color w:val="000000"/>
                <w:sz w:val="18"/>
                <w:szCs w:val="18"/>
              </w:rPr>
              <w:t>)</w:t>
            </w:r>
          </w:p>
        </w:tc>
      </w:tr>
      <w:tr w:rsidR="000239D5" w:rsidRPr="00CE4E1F" w14:paraId="502814F3"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A2144D3" w14:textId="66B6453A" w:rsidR="000239D5" w:rsidRPr="00CE4E1F" w:rsidRDefault="000239D5" w:rsidP="00742F09">
            <w:pPr>
              <w:spacing w:line="360" w:lineRule="auto"/>
              <w:contextualSpacing/>
              <w:jc w:val="both"/>
              <w:rPr>
                <w:b/>
                <w:bCs/>
                <w:color w:val="000000"/>
                <w:sz w:val="18"/>
                <w:szCs w:val="18"/>
              </w:rPr>
            </w:pPr>
            <w:r w:rsidRPr="00CE4E1F">
              <w:rPr>
                <w:b/>
                <w:bCs/>
                <w:color w:val="000000"/>
                <w:sz w:val="18"/>
                <w:szCs w:val="18"/>
              </w:rPr>
              <w:t xml:space="preserve">Copy number variants (including </w:t>
            </w:r>
            <w:r w:rsidRPr="00CE4E1F">
              <w:rPr>
                <w:b/>
                <w:bCs/>
                <w:i/>
                <w:iCs/>
                <w:color w:val="000000"/>
                <w:sz w:val="18"/>
                <w:szCs w:val="18"/>
              </w:rPr>
              <w:t>CDKN2A</w:t>
            </w:r>
            <w:r>
              <w:rPr>
                <w:b/>
                <w:bCs/>
                <w:i/>
                <w:iCs/>
                <w:color w:val="000000"/>
                <w:sz w:val="18"/>
                <w:szCs w:val="18"/>
              </w:rPr>
              <w:t>/B</w:t>
            </w:r>
            <w:r w:rsidRPr="00CE4E1F">
              <w:rPr>
                <w:b/>
                <w:bCs/>
                <w:color w:val="000000"/>
                <w:sz w:val="18"/>
                <w:szCs w:val="18"/>
              </w:rPr>
              <w:t xml:space="preserve"> zygosity)</w:t>
            </w:r>
          </w:p>
        </w:tc>
        <w:tc>
          <w:tcPr>
            <w:tcW w:w="3780" w:type="dxa"/>
            <w:tcBorders>
              <w:top w:val="nil"/>
              <w:left w:val="nil"/>
              <w:bottom w:val="single" w:sz="4" w:space="0" w:color="auto"/>
              <w:right w:val="single" w:sz="4" w:space="0" w:color="auto"/>
            </w:tcBorders>
            <w:shd w:val="clear" w:color="auto" w:fill="auto"/>
            <w:noWrap/>
            <w:vAlign w:val="center"/>
            <w:hideMark/>
          </w:tcPr>
          <w:p w14:paraId="395A16C3" w14:textId="127539A4" w:rsidR="000239D5" w:rsidRPr="00CE4E1F" w:rsidRDefault="000239D5" w:rsidP="00742F09">
            <w:pPr>
              <w:spacing w:line="360" w:lineRule="auto"/>
              <w:contextualSpacing/>
              <w:jc w:val="both"/>
              <w:rPr>
                <w:color w:val="000000"/>
                <w:sz w:val="18"/>
                <w:szCs w:val="18"/>
              </w:rPr>
            </w:pPr>
            <w:r w:rsidRPr="00CE4E1F">
              <w:rPr>
                <w:color w:val="000000"/>
                <w:sz w:val="18"/>
                <w:szCs w:val="18"/>
              </w:rPr>
              <w:t>122 (77.2)</w:t>
            </w:r>
          </w:p>
        </w:tc>
      </w:tr>
      <w:tr w:rsidR="000239D5" w:rsidRPr="00CE4E1F" w14:paraId="56382406"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5A8547F" w14:textId="5616051C" w:rsidR="000239D5" w:rsidRPr="00CE4E1F" w:rsidRDefault="000239D5" w:rsidP="00742F09">
            <w:pPr>
              <w:spacing w:line="360" w:lineRule="auto"/>
              <w:contextualSpacing/>
              <w:jc w:val="both"/>
              <w:rPr>
                <w:b/>
                <w:bCs/>
                <w:color w:val="000000"/>
                <w:sz w:val="18"/>
                <w:szCs w:val="18"/>
              </w:rPr>
            </w:pPr>
            <w:r w:rsidRPr="00CE4E1F">
              <w:rPr>
                <w:b/>
                <w:bCs/>
                <w:i/>
                <w:color w:val="000000"/>
                <w:sz w:val="18"/>
                <w:szCs w:val="18"/>
              </w:rPr>
              <w:t>CDKN2A</w:t>
            </w:r>
            <w:r>
              <w:rPr>
                <w:b/>
                <w:bCs/>
                <w:i/>
                <w:color w:val="000000"/>
                <w:sz w:val="18"/>
                <w:szCs w:val="18"/>
              </w:rPr>
              <w:t>/B</w:t>
            </w:r>
            <w:r w:rsidRPr="00CE4E1F">
              <w:rPr>
                <w:b/>
                <w:bCs/>
                <w:i/>
                <w:color w:val="000000"/>
                <w:sz w:val="18"/>
                <w:szCs w:val="18"/>
              </w:rPr>
              <w:t xml:space="preserve"> </w:t>
            </w:r>
            <w:r w:rsidRPr="00CE4E1F">
              <w:rPr>
                <w:b/>
                <w:bCs/>
                <w:color w:val="000000"/>
                <w:sz w:val="18"/>
                <w:szCs w:val="18"/>
              </w:rPr>
              <w:t>deletion (hetero</w:t>
            </w:r>
            <w:r>
              <w:rPr>
                <w:b/>
                <w:bCs/>
                <w:color w:val="000000"/>
                <w:sz w:val="18"/>
                <w:szCs w:val="18"/>
              </w:rPr>
              <w:t>zygous/</w:t>
            </w:r>
            <w:r w:rsidRPr="00CE4E1F">
              <w:rPr>
                <w:b/>
                <w:bCs/>
                <w:color w:val="000000"/>
                <w:sz w:val="18"/>
                <w:szCs w:val="18"/>
              </w:rPr>
              <w:t>homozygous)</w:t>
            </w:r>
          </w:p>
        </w:tc>
        <w:tc>
          <w:tcPr>
            <w:tcW w:w="3780" w:type="dxa"/>
            <w:tcBorders>
              <w:top w:val="nil"/>
              <w:left w:val="nil"/>
              <w:bottom w:val="single" w:sz="4" w:space="0" w:color="auto"/>
              <w:right w:val="single" w:sz="4" w:space="0" w:color="auto"/>
            </w:tcBorders>
            <w:shd w:val="clear" w:color="auto" w:fill="auto"/>
            <w:noWrap/>
            <w:vAlign w:val="center"/>
          </w:tcPr>
          <w:p w14:paraId="65BE7269" w14:textId="472BDCDE" w:rsidR="000239D5" w:rsidRPr="00CE4E1F" w:rsidDel="00D30BEF" w:rsidRDefault="000239D5" w:rsidP="00742F09">
            <w:pPr>
              <w:spacing w:line="360" w:lineRule="auto"/>
              <w:contextualSpacing/>
              <w:jc w:val="both"/>
              <w:rPr>
                <w:color w:val="000000"/>
                <w:sz w:val="18"/>
                <w:szCs w:val="18"/>
              </w:rPr>
            </w:pPr>
            <w:r w:rsidRPr="00CE4E1F">
              <w:rPr>
                <w:color w:val="000000"/>
                <w:sz w:val="18"/>
                <w:szCs w:val="18"/>
              </w:rPr>
              <w:t>16 (13.1)/10 (8.2)</w:t>
            </w:r>
          </w:p>
        </w:tc>
      </w:tr>
      <w:tr w:rsidR="00D30BEF" w:rsidRPr="00CE4E1F" w14:paraId="57655A8E"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2CB88D83" w14:textId="77777777" w:rsidR="00D30BEF" w:rsidRPr="00CE4E1F" w:rsidRDefault="00D30BEF" w:rsidP="00742F09">
            <w:pPr>
              <w:spacing w:line="360" w:lineRule="auto"/>
              <w:contextualSpacing/>
              <w:jc w:val="both"/>
              <w:rPr>
                <w:color w:val="000000"/>
                <w:sz w:val="18"/>
                <w:szCs w:val="18"/>
              </w:rPr>
            </w:pPr>
            <w:r w:rsidRPr="00CE4E1F">
              <w:rPr>
                <w:b/>
                <w:bCs/>
                <w:color w:val="000000"/>
                <w:sz w:val="18"/>
                <w:szCs w:val="18"/>
              </w:rPr>
              <w:t>DNA methylation profiling - no. (%)</w:t>
            </w:r>
          </w:p>
        </w:tc>
        <w:tc>
          <w:tcPr>
            <w:tcW w:w="3780" w:type="dxa"/>
            <w:tcBorders>
              <w:top w:val="nil"/>
              <w:left w:val="nil"/>
              <w:bottom w:val="single" w:sz="4" w:space="0" w:color="auto"/>
              <w:right w:val="single" w:sz="4" w:space="0" w:color="auto"/>
            </w:tcBorders>
            <w:shd w:val="clear" w:color="auto" w:fill="auto"/>
            <w:noWrap/>
            <w:vAlign w:val="center"/>
            <w:hideMark/>
          </w:tcPr>
          <w:p w14:paraId="3F19AF42" w14:textId="104B165F" w:rsidR="00D30BEF" w:rsidRPr="00CE4E1F" w:rsidRDefault="00D30BEF" w:rsidP="00742F09">
            <w:pPr>
              <w:spacing w:line="360" w:lineRule="auto"/>
              <w:contextualSpacing/>
              <w:jc w:val="both"/>
              <w:rPr>
                <w:color w:val="000000"/>
                <w:sz w:val="18"/>
                <w:szCs w:val="18"/>
              </w:rPr>
            </w:pPr>
            <w:r w:rsidRPr="00CE4E1F">
              <w:rPr>
                <w:color w:val="000000"/>
                <w:sz w:val="18"/>
                <w:szCs w:val="18"/>
              </w:rPr>
              <w:t>1</w:t>
            </w:r>
            <w:r w:rsidR="00B7429F" w:rsidRPr="00CE4E1F">
              <w:rPr>
                <w:color w:val="000000"/>
                <w:sz w:val="18"/>
                <w:szCs w:val="18"/>
              </w:rPr>
              <w:t>22</w:t>
            </w:r>
            <w:r w:rsidRPr="00CE4E1F">
              <w:rPr>
                <w:color w:val="000000"/>
                <w:sz w:val="18"/>
                <w:szCs w:val="18"/>
              </w:rPr>
              <w:t xml:space="preserve"> (77.</w:t>
            </w:r>
            <w:r w:rsidR="00B7429F" w:rsidRPr="00CE4E1F">
              <w:rPr>
                <w:color w:val="000000"/>
                <w:sz w:val="18"/>
                <w:szCs w:val="18"/>
              </w:rPr>
              <w:t>2</w:t>
            </w:r>
            <w:r w:rsidRPr="00CE4E1F">
              <w:rPr>
                <w:color w:val="000000"/>
                <w:sz w:val="18"/>
                <w:szCs w:val="18"/>
              </w:rPr>
              <w:t>)</w:t>
            </w:r>
          </w:p>
        </w:tc>
      </w:tr>
      <w:tr w:rsidR="000239D5" w:rsidRPr="00CE4E1F" w14:paraId="29512065"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6BF215FC" w14:textId="5E9C570E" w:rsidR="000239D5" w:rsidRPr="00CE4E1F" w:rsidRDefault="000239D5" w:rsidP="00742F09">
            <w:pPr>
              <w:spacing w:line="360" w:lineRule="auto"/>
              <w:contextualSpacing/>
              <w:jc w:val="both"/>
              <w:rPr>
                <w:b/>
                <w:bCs/>
                <w:color w:val="000000"/>
                <w:sz w:val="18"/>
                <w:szCs w:val="18"/>
              </w:rPr>
            </w:pPr>
            <w:r>
              <w:rPr>
                <w:b/>
                <w:bCs/>
                <w:color w:val="000000"/>
                <w:sz w:val="18"/>
                <w:szCs w:val="18"/>
              </w:rPr>
              <w:t xml:space="preserve">Nanostring targeted gene expression profiling </w:t>
            </w:r>
            <w:r w:rsidRPr="00CE4E1F">
              <w:rPr>
                <w:b/>
                <w:bCs/>
                <w:color w:val="000000"/>
                <w:sz w:val="18"/>
                <w:szCs w:val="18"/>
              </w:rPr>
              <w:t>- no. (%)</w:t>
            </w:r>
          </w:p>
        </w:tc>
        <w:tc>
          <w:tcPr>
            <w:tcW w:w="3780" w:type="dxa"/>
            <w:tcBorders>
              <w:top w:val="nil"/>
              <w:left w:val="nil"/>
              <w:bottom w:val="single" w:sz="4" w:space="0" w:color="auto"/>
              <w:right w:val="single" w:sz="4" w:space="0" w:color="auto"/>
            </w:tcBorders>
            <w:shd w:val="clear" w:color="auto" w:fill="auto"/>
            <w:noWrap/>
            <w:vAlign w:val="center"/>
          </w:tcPr>
          <w:p w14:paraId="414258B0" w14:textId="7F0102A9" w:rsidR="000239D5" w:rsidRPr="00CE4E1F" w:rsidRDefault="000239D5" w:rsidP="00742F09">
            <w:pPr>
              <w:spacing w:line="360" w:lineRule="auto"/>
              <w:contextualSpacing/>
              <w:jc w:val="both"/>
              <w:rPr>
                <w:color w:val="000000"/>
                <w:sz w:val="18"/>
                <w:szCs w:val="18"/>
              </w:rPr>
            </w:pPr>
            <w:r>
              <w:rPr>
                <w:color w:val="000000"/>
                <w:sz w:val="18"/>
                <w:szCs w:val="18"/>
              </w:rPr>
              <w:t>158 (100)</w:t>
            </w:r>
          </w:p>
        </w:tc>
      </w:tr>
      <w:tr w:rsidR="00D30BEF" w:rsidRPr="00CE4E1F" w14:paraId="474ED20B"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664FE2C9" w14:textId="77777777" w:rsidR="00D30BEF" w:rsidRPr="00CE4E1F" w:rsidRDefault="00D30BEF" w:rsidP="00742F09">
            <w:pPr>
              <w:spacing w:line="360" w:lineRule="auto"/>
              <w:contextualSpacing/>
              <w:jc w:val="both"/>
              <w:rPr>
                <w:color w:val="000000"/>
                <w:sz w:val="18"/>
                <w:szCs w:val="18"/>
              </w:rPr>
            </w:pPr>
            <w:r w:rsidRPr="00CE4E1F">
              <w:rPr>
                <w:b/>
                <w:bCs/>
                <w:color w:val="000000"/>
                <w:sz w:val="18"/>
                <w:szCs w:val="18"/>
              </w:rPr>
              <w:t>Gene expression risk score - no. (%)</w:t>
            </w:r>
          </w:p>
        </w:tc>
        <w:tc>
          <w:tcPr>
            <w:tcW w:w="3780" w:type="dxa"/>
            <w:tcBorders>
              <w:top w:val="nil"/>
              <w:left w:val="nil"/>
              <w:bottom w:val="single" w:sz="4" w:space="0" w:color="auto"/>
              <w:right w:val="single" w:sz="4" w:space="0" w:color="auto"/>
            </w:tcBorders>
            <w:shd w:val="clear" w:color="auto" w:fill="auto"/>
            <w:noWrap/>
            <w:vAlign w:val="center"/>
            <w:hideMark/>
          </w:tcPr>
          <w:p w14:paraId="21BC13C3" w14:textId="77777777" w:rsidR="00D30BEF" w:rsidRPr="00CE4E1F" w:rsidRDefault="00D30BEF" w:rsidP="00742F09">
            <w:pPr>
              <w:spacing w:line="360" w:lineRule="auto"/>
              <w:contextualSpacing/>
              <w:jc w:val="both"/>
              <w:rPr>
                <w:color w:val="000000"/>
                <w:sz w:val="18"/>
                <w:szCs w:val="18"/>
              </w:rPr>
            </w:pPr>
          </w:p>
        </w:tc>
      </w:tr>
      <w:tr w:rsidR="00D30BEF" w:rsidRPr="00CE4E1F" w14:paraId="0F8050BD"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35DCBE4C" w14:textId="77777777" w:rsidR="00D30BEF" w:rsidRPr="00CE4E1F" w:rsidRDefault="00D30BEF" w:rsidP="00742F09">
            <w:pPr>
              <w:spacing w:line="360" w:lineRule="auto"/>
              <w:contextualSpacing/>
              <w:jc w:val="both"/>
              <w:rPr>
                <w:color w:val="000000"/>
                <w:sz w:val="18"/>
                <w:szCs w:val="18"/>
              </w:rPr>
            </w:pPr>
            <w:r w:rsidRPr="00CE4E1F">
              <w:rPr>
                <w:color w:val="000000"/>
                <w:sz w:val="18"/>
                <w:szCs w:val="18"/>
              </w:rPr>
              <w:t xml:space="preserve">        </w:t>
            </w:r>
            <w:r w:rsidRPr="00CE4E1F">
              <w:rPr>
                <w:bCs/>
                <w:color w:val="000000"/>
                <w:sz w:val="18"/>
                <w:szCs w:val="18"/>
              </w:rPr>
              <w:t xml:space="preserve">Low </w:t>
            </w:r>
          </w:p>
        </w:tc>
        <w:tc>
          <w:tcPr>
            <w:tcW w:w="3780" w:type="dxa"/>
            <w:tcBorders>
              <w:top w:val="nil"/>
              <w:left w:val="nil"/>
              <w:bottom w:val="single" w:sz="4" w:space="0" w:color="auto"/>
              <w:right w:val="single" w:sz="4" w:space="0" w:color="auto"/>
            </w:tcBorders>
            <w:shd w:val="clear" w:color="auto" w:fill="auto"/>
            <w:noWrap/>
            <w:vAlign w:val="center"/>
          </w:tcPr>
          <w:p w14:paraId="707D3C54" w14:textId="2BA6078A" w:rsidR="00D30BEF" w:rsidRPr="00CE4E1F" w:rsidRDefault="00D30BEF" w:rsidP="00742F09">
            <w:pPr>
              <w:spacing w:line="360" w:lineRule="auto"/>
              <w:contextualSpacing/>
              <w:jc w:val="both"/>
              <w:rPr>
                <w:color w:val="000000"/>
                <w:sz w:val="18"/>
                <w:szCs w:val="18"/>
              </w:rPr>
            </w:pPr>
            <w:r w:rsidRPr="00CE4E1F">
              <w:rPr>
                <w:color w:val="000000"/>
                <w:sz w:val="18"/>
                <w:szCs w:val="18"/>
              </w:rPr>
              <w:t>24 (15.</w:t>
            </w:r>
            <w:r w:rsidR="00B7429F" w:rsidRPr="00CE4E1F">
              <w:rPr>
                <w:color w:val="000000"/>
                <w:sz w:val="18"/>
                <w:szCs w:val="18"/>
              </w:rPr>
              <w:t>2</w:t>
            </w:r>
            <w:r w:rsidRPr="00CE4E1F">
              <w:rPr>
                <w:color w:val="000000"/>
                <w:sz w:val="18"/>
                <w:szCs w:val="18"/>
              </w:rPr>
              <w:t>)</w:t>
            </w:r>
          </w:p>
        </w:tc>
      </w:tr>
      <w:tr w:rsidR="00D30BEF" w:rsidRPr="00CE4E1F" w14:paraId="4532226C"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48A61DA1" w14:textId="77777777" w:rsidR="00D30BEF" w:rsidRPr="00CE4E1F" w:rsidRDefault="00D30BEF" w:rsidP="00742F09">
            <w:pPr>
              <w:spacing w:line="360" w:lineRule="auto"/>
              <w:ind w:firstLineChars="200" w:firstLine="360"/>
              <w:contextualSpacing/>
              <w:jc w:val="both"/>
              <w:rPr>
                <w:color w:val="000000"/>
                <w:sz w:val="18"/>
                <w:szCs w:val="18"/>
              </w:rPr>
            </w:pPr>
            <w:r w:rsidRPr="00CE4E1F">
              <w:rPr>
                <w:bCs/>
                <w:color w:val="000000"/>
                <w:sz w:val="18"/>
                <w:szCs w:val="18"/>
              </w:rPr>
              <w:t xml:space="preserve">Intermediate </w:t>
            </w:r>
          </w:p>
        </w:tc>
        <w:tc>
          <w:tcPr>
            <w:tcW w:w="3780" w:type="dxa"/>
            <w:tcBorders>
              <w:top w:val="nil"/>
              <w:left w:val="nil"/>
              <w:bottom w:val="single" w:sz="4" w:space="0" w:color="auto"/>
              <w:right w:val="single" w:sz="4" w:space="0" w:color="auto"/>
            </w:tcBorders>
            <w:shd w:val="clear" w:color="auto" w:fill="auto"/>
            <w:noWrap/>
            <w:vAlign w:val="center"/>
          </w:tcPr>
          <w:p w14:paraId="27CB8175" w14:textId="005E3E3D" w:rsidR="00D30BEF" w:rsidRPr="00CE4E1F" w:rsidRDefault="00D30BEF" w:rsidP="00742F09">
            <w:pPr>
              <w:spacing w:line="360" w:lineRule="auto"/>
              <w:contextualSpacing/>
              <w:jc w:val="both"/>
              <w:rPr>
                <w:color w:val="000000"/>
                <w:sz w:val="18"/>
                <w:szCs w:val="18"/>
              </w:rPr>
            </w:pPr>
            <w:r w:rsidRPr="00CE4E1F">
              <w:rPr>
                <w:color w:val="000000"/>
                <w:sz w:val="18"/>
                <w:szCs w:val="18"/>
              </w:rPr>
              <w:t>6</w:t>
            </w:r>
            <w:r w:rsidR="00B7429F" w:rsidRPr="00CE4E1F">
              <w:rPr>
                <w:color w:val="000000"/>
                <w:sz w:val="18"/>
                <w:szCs w:val="18"/>
              </w:rPr>
              <w:t>8</w:t>
            </w:r>
            <w:r w:rsidRPr="00CE4E1F">
              <w:rPr>
                <w:color w:val="000000"/>
                <w:sz w:val="18"/>
                <w:szCs w:val="18"/>
              </w:rPr>
              <w:t xml:space="preserve"> (43.</w:t>
            </w:r>
            <w:r w:rsidR="00B7429F" w:rsidRPr="00CE4E1F">
              <w:rPr>
                <w:color w:val="000000"/>
                <w:sz w:val="18"/>
                <w:szCs w:val="18"/>
              </w:rPr>
              <w:t>0</w:t>
            </w:r>
            <w:r w:rsidRPr="00CE4E1F">
              <w:rPr>
                <w:color w:val="000000"/>
                <w:sz w:val="18"/>
                <w:szCs w:val="18"/>
              </w:rPr>
              <w:t>)</w:t>
            </w:r>
          </w:p>
        </w:tc>
      </w:tr>
      <w:tr w:rsidR="00D30BEF" w:rsidRPr="00CE4E1F" w14:paraId="4E1C4A0D"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2F5F5690" w14:textId="77777777" w:rsidR="00D30BEF" w:rsidRPr="00CE4E1F" w:rsidRDefault="00D30BEF" w:rsidP="00742F09">
            <w:pPr>
              <w:spacing w:line="360" w:lineRule="auto"/>
              <w:ind w:firstLineChars="200" w:firstLine="360"/>
              <w:contextualSpacing/>
              <w:jc w:val="both"/>
              <w:rPr>
                <w:color w:val="000000"/>
                <w:sz w:val="18"/>
                <w:szCs w:val="18"/>
              </w:rPr>
            </w:pPr>
            <w:r w:rsidRPr="00CE4E1F">
              <w:rPr>
                <w:bCs/>
                <w:color w:val="000000"/>
                <w:sz w:val="18"/>
                <w:szCs w:val="18"/>
              </w:rPr>
              <w:t xml:space="preserve">High </w:t>
            </w:r>
          </w:p>
        </w:tc>
        <w:tc>
          <w:tcPr>
            <w:tcW w:w="3780" w:type="dxa"/>
            <w:tcBorders>
              <w:top w:val="nil"/>
              <w:left w:val="nil"/>
              <w:bottom w:val="single" w:sz="4" w:space="0" w:color="auto"/>
              <w:right w:val="single" w:sz="4" w:space="0" w:color="auto"/>
            </w:tcBorders>
            <w:shd w:val="clear" w:color="auto" w:fill="auto"/>
            <w:noWrap/>
            <w:vAlign w:val="center"/>
          </w:tcPr>
          <w:p w14:paraId="7788972B" w14:textId="0FEC41B7" w:rsidR="00D30BEF" w:rsidRPr="00CE4E1F" w:rsidRDefault="00D30BEF" w:rsidP="00742F09">
            <w:pPr>
              <w:spacing w:line="360" w:lineRule="auto"/>
              <w:contextualSpacing/>
              <w:jc w:val="both"/>
              <w:rPr>
                <w:color w:val="000000"/>
                <w:sz w:val="18"/>
                <w:szCs w:val="18"/>
              </w:rPr>
            </w:pPr>
            <w:r w:rsidRPr="00CE4E1F">
              <w:rPr>
                <w:color w:val="000000"/>
                <w:sz w:val="18"/>
                <w:szCs w:val="18"/>
              </w:rPr>
              <w:t>6</w:t>
            </w:r>
            <w:r w:rsidR="00B7429F" w:rsidRPr="00CE4E1F">
              <w:rPr>
                <w:color w:val="000000"/>
                <w:sz w:val="18"/>
                <w:szCs w:val="18"/>
              </w:rPr>
              <w:t>4</w:t>
            </w:r>
            <w:r w:rsidRPr="00CE4E1F">
              <w:rPr>
                <w:color w:val="000000"/>
                <w:sz w:val="18"/>
                <w:szCs w:val="18"/>
              </w:rPr>
              <w:t xml:space="preserve"> (</w:t>
            </w:r>
            <w:r w:rsidR="00B7429F" w:rsidRPr="00CE4E1F">
              <w:rPr>
                <w:color w:val="000000"/>
                <w:sz w:val="18"/>
                <w:szCs w:val="18"/>
              </w:rPr>
              <w:t>40</w:t>
            </w:r>
            <w:r w:rsidRPr="00CE4E1F">
              <w:rPr>
                <w:color w:val="000000"/>
                <w:sz w:val="18"/>
                <w:szCs w:val="18"/>
              </w:rPr>
              <w:t>.</w:t>
            </w:r>
            <w:r w:rsidR="00B7429F" w:rsidRPr="00CE4E1F">
              <w:rPr>
                <w:color w:val="000000"/>
                <w:sz w:val="18"/>
                <w:szCs w:val="18"/>
              </w:rPr>
              <w:t>5</w:t>
            </w:r>
            <w:r w:rsidRPr="00CE4E1F">
              <w:rPr>
                <w:color w:val="000000"/>
                <w:sz w:val="18"/>
                <w:szCs w:val="18"/>
              </w:rPr>
              <w:t>)</w:t>
            </w:r>
          </w:p>
        </w:tc>
      </w:tr>
      <w:tr w:rsidR="00D30BEF" w:rsidRPr="00CE4E1F" w14:paraId="112DD001"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tcPr>
          <w:p w14:paraId="2E51B143" w14:textId="77777777" w:rsidR="00D30BEF" w:rsidRPr="00CE4E1F" w:rsidRDefault="00D30BEF" w:rsidP="00742F09">
            <w:pPr>
              <w:spacing w:line="360" w:lineRule="auto"/>
              <w:contextualSpacing/>
              <w:jc w:val="both"/>
              <w:rPr>
                <w:color w:val="000000"/>
                <w:sz w:val="18"/>
                <w:szCs w:val="18"/>
              </w:rPr>
            </w:pPr>
            <w:r w:rsidRPr="00CE4E1F">
              <w:rPr>
                <w:b/>
                <w:bCs/>
                <w:color w:val="000000"/>
                <w:sz w:val="18"/>
                <w:szCs w:val="18"/>
              </w:rPr>
              <w:t>Postoperative radiotherapy - no. (%)</w:t>
            </w:r>
          </w:p>
        </w:tc>
        <w:tc>
          <w:tcPr>
            <w:tcW w:w="3780" w:type="dxa"/>
            <w:tcBorders>
              <w:top w:val="nil"/>
              <w:left w:val="nil"/>
              <w:bottom w:val="single" w:sz="4" w:space="0" w:color="auto"/>
              <w:right w:val="single" w:sz="4" w:space="0" w:color="auto"/>
            </w:tcBorders>
            <w:shd w:val="clear" w:color="auto" w:fill="auto"/>
            <w:noWrap/>
            <w:vAlign w:val="center"/>
          </w:tcPr>
          <w:p w14:paraId="0F0A1755" w14:textId="2F22289B" w:rsidR="00D30BEF" w:rsidRPr="00CE4E1F" w:rsidRDefault="00D30BEF" w:rsidP="00742F09">
            <w:pPr>
              <w:spacing w:line="360" w:lineRule="auto"/>
              <w:contextualSpacing/>
              <w:jc w:val="both"/>
              <w:rPr>
                <w:color w:val="000000"/>
                <w:sz w:val="18"/>
                <w:szCs w:val="18"/>
              </w:rPr>
            </w:pPr>
            <w:r w:rsidRPr="00CE4E1F">
              <w:rPr>
                <w:color w:val="000000"/>
                <w:sz w:val="18"/>
                <w:szCs w:val="18"/>
              </w:rPr>
              <w:t>5</w:t>
            </w:r>
            <w:r w:rsidR="00B7429F" w:rsidRPr="00CE4E1F">
              <w:rPr>
                <w:color w:val="000000"/>
                <w:sz w:val="18"/>
                <w:szCs w:val="18"/>
              </w:rPr>
              <w:t>3</w:t>
            </w:r>
            <w:r w:rsidRPr="00CE4E1F">
              <w:rPr>
                <w:color w:val="000000"/>
                <w:sz w:val="18"/>
                <w:szCs w:val="18"/>
              </w:rPr>
              <w:t xml:space="preserve"> (3</w:t>
            </w:r>
            <w:r w:rsidR="00B7429F" w:rsidRPr="00CE4E1F">
              <w:rPr>
                <w:color w:val="000000"/>
                <w:sz w:val="18"/>
                <w:szCs w:val="18"/>
              </w:rPr>
              <w:t>3</w:t>
            </w:r>
            <w:r w:rsidRPr="00CE4E1F">
              <w:rPr>
                <w:color w:val="000000"/>
                <w:sz w:val="18"/>
                <w:szCs w:val="18"/>
              </w:rPr>
              <w:t>.</w:t>
            </w:r>
            <w:r w:rsidR="00B7429F" w:rsidRPr="00CE4E1F">
              <w:rPr>
                <w:color w:val="000000"/>
                <w:sz w:val="18"/>
                <w:szCs w:val="18"/>
              </w:rPr>
              <w:t>5</w:t>
            </w:r>
            <w:r w:rsidRPr="00CE4E1F">
              <w:rPr>
                <w:color w:val="000000"/>
                <w:sz w:val="18"/>
                <w:szCs w:val="18"/>
              </w:rPr>
              <w:t>)</w:t>
            </w:r>
          </w:p>
        </w:tc>
      </w:tr>
      <w:tr w:rsidR="00D30BEF" w:rsidRPr="00CE4E1F" w14:paraId="1F6DB8F4"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center"/>
            <w:hideMark/>
          </w:tcPr>
          <w:p w14:paraId="25916BB7"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Median follow up (IQR) - yr.*</w:t>
            </w:r>
          </w:p>
        </w:tc>
        <w:tc>
          <w:tcPr>
            <w:tcW w:w="3780" w:type="dxa"/>
            <w:tcBorders>
              <w:top w:val="nil"/>
              <w:left w:val="nil"/>
              <w:bottom w:val="single" w:sz="4" w:space="0" w:color="auto"/>
              <w:right w:val="single" w:sz="4" w:space="0" w:color="auto"/>
            </w:tcBorders>
            <w:shd w:val="clear" w:color="auto" w:fill="auto"/>
            <w:noWrap/>
            <w:vAlign w:val="center"/>
            <w:hideMark/>
          </w:tcPr>
          <w:p w14:paraId="56DE0B8B" w14:textId="77777777" w:rsidR="00D30BEF" w:rsidRPr="00CE4E1F" w:rsidRDefault="00D30BEF" w:rsidP="00742F09">
            <w:pPr>
              <w:spacing w:line="360" w:lineRule="auto"/>
              <w:contextualSpacing/>
              <w:jc w:val="both"/>
              <w:rPr>
                <w:color w:val="000000"/>
                <w:sz w:val="18"/>
                <w:szCs w:val="18"/>
              </w:rPr>
            </w:pPr>
            <w:r w:rsidRPr="00CE4E1F">
              <w:rPr>
                <w:color w:val="000000"/>
                <w:sz w:val="18"/>
                <w:szCs w:val="18"/>
              </w:rPr>
              <w:t>7.1 (3.1-10.0)</w:t>
            </w:r>
          </w:p>
        </w:tc>
      </w:tr>
      <w:tr w:rsidR="00D30BEF" w:rsidRPr="00CE4E1F" w14:paraId="07D35DB6"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4F5D19DE"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Local recurrence - no. (%)</w:t>
            </w:r>
          </w:p>
        </w:tc>
        <w:tc>
          <w:tcPr>
            <w:tcW w:w="3780" w:type="dxa"/>
            <w:tcBorders>
              <w:top w:val="nil"/>
              <w:left w:val="nil"/>
              <w:bottom w:val="single" w:sz="4" w:space="0" w:color="auto"/>
              <w:right w:val="single" w:sz="4" w:space="0" w:color="auto"/>
            </w:tcBorders>
            <w:shd w:val="clear" w:color="auto" w:fill="auto"/>
            <w:noWrap/>
            <w:vAlign w:val="bottom"/>
            <w:hideMark/>
          </w:tcPr>
          <w:p w14:paraId="41B64073" w14:textId="4C7C860B" w:rsidR="00D30BEF" w:rsidRPr="00CE4E1F" w:rsidRDefault="00D30BEF" w:rsidP="00742F09">
            <w:pPr>
              <w:spacing w:line="360" w:lineRule="auto"/>
              <w:contextualSpacing/>
              <w:jc w:val="both"/>
              <w:rPr>
                <w:color w:val="000000"/>
                <w:sz w:val="18"/>
                <w:szCs w:val="18"/>
              </w:rPr>
            </w:pPr>
            <w:r w:rsidRPr="00CE4E1F">
              <w:rPr>
                <w:color w:val="000000"/>
                <w:sz w:val="18"/>
                <w:szCs w:val="18"/>
              </w:rPr>
              <w:t>6</w:t>
            </w:r>
            <w:r w:rsidR="00B7429F" w:rsidRPr="00CE4E1F">
              <w:rPr>
                <w:color w:val="000000"/>
                <w:sz w:val="18"/>
                <w:szCs w:val="18"/>
              </w:rPr>
              <w:t>4</w:t>
            </w:r>
            <w:r w:rsidRPr="00CE4E1F">
              <w:rPr>
                <w:color w:val="000000"/>
                <w:sz w:val="18"/>
                <w:szCs w:val="18"/>
              </w:rPr>
              <w:t xml:space="preserve"> (40.5)</w:t>
            </w:r>
          </w:p>
        </w:tc>
      </w:tr>
      <w:tr w:rsidR="00D30BEF" w:rsidRPr="00CE4E1F" w14:paraId="759D2D95"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52BED21A" w14:textId="77777777" w:rsidR="00D30BEF" w:rsidRPr="00CE4E1F" w:rsidRDefault="00D30BEF" w:rsidP="00742F09">
            <w:pPr>
              <w:spacing w:line="360" w:lineRule="auto"/>
              <w:contextualSpacing/>
              <w:jc w:val="both"/>
              <w:rPr>
                <w:b/>
                <w:bCs/>
                <w:color w:val="000000"/>
                <w:sz w:val="18"/>
                <w:szCs w:val="18"/>
              </w:rPr>
            </w:pPr>
            <w:r w:rsidRPr="00CE4E1F">
              <w:rPr>
                <w:b/>
                <w:bCs/>
                <w:color w:val="000000"/>
                <w:sz w:val="18"/>
                <w:szCs w:val="18"/>
              </w:rPr>
              <w:t>Death - no. (%)</w:t>
            </w:r>
          </w:p>
        </w:tc>
        <w:tc>
          <w:tcPr>
            <w:tcW w:w="3780" w:type="dxa"/>
            <w:tcBorders>
              <w:top w:val="nil"/>
              <w:left w:val="nil"/>
              <w:bottom w:val="single" w:sz="4" w:space="0" w:color="auto"/>
              <w:right w:val="single" w:sz="4" w:space="0" w:color="auto"/>
            </w:tcBorders>
            <w:shd w:val="clear" w:color="auto" w:fill="auto"/>
            <w:noWrap/>
            <w:vAlign w:val="bottom"/>
            <w:hideMark/>
          </w:tcPr>
          <w:p w14:paraId="7D8F181E" w14:textId="77777777" w:rsidR="00D30BEF" w:rsidRPr="00CE4E1F" w:rsidRDefault="00D30BEF" w:rsidP="00742F09">
            <w:pPr>
              <w:spacing w:line="360" w:lineRule="auto"/>
              <w:contextualSpacing/>
              <w:jc w:val="both"/>
              <w:rPr>
                <w:color w:val="000000"/>
                <w:sz w:val="18"/>
                <w:szCs w:val="18"/>
              </w:rPr>
            </w:pPr>
            <w:r w:rsidRPr="00CE4E1F">
              <w:rPr>
                <w:color w:val="000000"/>
                <w:sz w:val="18"/>
                <w:szCs w:val="18"/>
              </w:rPr>
              <w:t> </w:t>
            </w:r>
          </w:p>
        </w:tc>
      </w:tr>
      <w:tr w:rsidR="00D30BEF" w:rsidRPr="00CE4E1F" w14:paraId="74E0B539"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29EAA28B" w14:textId="77777777" w:rsidR="00D30BEF" w:rsidRPr="00CE4E1F" w:rsidRDefault="00D30BEF" w:rsidP="00742F09">
            <w:pPr>
              <w:spacing w:line="360" w:lineRule="auto"/>
              <w:contextualSpacing/>
              <w:jc w:val="both"/>
              <w:rPr>
                <w:b/>
                <w:bCs/>
                <w:color w:val="000000"/>
                <w:sz w:val="18"/>
                <w:szCs w:val="18"/>
              </w:rPr>
            </w:pPr>
            <w:r w:rsidRPr="00CE4E1F">
              <w:rPr>
                <w:color w:val="000000"/>
                <w:sz w:val="18"/>
                <w:szCs w:val="18"/>
              </w:rPr>
              <w:t xml:space="preserve">        Meningioma</w:t>
            </w:r>
          </w:p>
        </w:tc>
        <w:tc>
          <w:tcPr>
            <w:tcW w:w="3780" w:type="dxa"/>
            <w:tcBorders>
              <w:top w:val="nil"/>
              <w:left w:val="nil"/>
              <w:bottom w:val="single" w:sz="4" w:space="0" w:color="auto"/>
              <w:right w:val="single" w:sz="4" w:space="0" w:color="auto"/>
            </w:tcBorders>
            <w:shd w:val="clear" w:color="auto" w:fill="auto"/>
            <w:noWrap/>
            <w:vAlign w:val="bottom"/>
            <w:hideMark/>
          </w:tcPr>
          <w:p w14:paraId="296A7A40" w14:textId="0E292EF8" w:rsidR="00D30BEF" w:rsidRPr="00CE4E1F" w:rsidRDefault="00D30BEF" w:rsidP="00742F09">
            <w:pPr>
              <w:spacing w:line="360" w:lineRule="auto"/>
              <w:contextualSpacing/>
              <w:jc w:val="both"/>
              <w:rPr>
                <w:color w:val="000000"/>
                <w:sz w:val="18"/>
                <w:szCs w:val="18"/>
              </w:rPr>
            </w:pPr>
            <w:r w:rsidRPr="00CE4E1F">
              <w:rPr>
                <w:color w:val="000000"/>
                <w:sz w:val="18"/>
                <w:szCs w:val="18"/>
              </w:rPr>
              <w:t>40 (2</w:t>
            </w:r>
            <w:r w:rsidR="00B7429F" w:rsidRPr="00CE4E1F">
              <w:rPr>
                <w:color w:val="000000"/>
                <w:sz w:val="18"/>
                <w:szCs w:val="18"/>
              </w:rPr>
              <w:t>5</w:t>
            </w:r>
            <w:r w:rsidRPr="00CE4E1F">
              <w:rPr>
                <w:color w:val="000000"/>
                <w:sz w:val="18"/>
                <w:szCs w:val="18"/>
              </w:rPr>
              <w:t>.</w:t>
            </w:r>
            <w:r w:rsidR="00B7429F" w:rsidRPr="00CE4E1F">
              <w:rPr>
                <w:color w:val="000000"/>
                <w:sz w:val="18"/>
                <w:szCs w:val="18"/>
              </w:rPr>
              <w:t>3</w:t>
            </w:r>
            <w:r w:rsidRPr="00CE4E1F">
              <w:rPr>
                <w:color w:val="000000"/>
                <w:sz w:val="18"/>
                <w:szCs w:val="18"/>
              </w:rPr>
              <w:t>)</w:t>
            </w:r>
          </w:p>
        </w:tc>
      </w:tr>
      <w:tr w:rsidR="00D30BEF" w:rsidRPr="00CE4E1F" w14:paraId="34CCED7C"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6B9552F3" w14:textId="77777777" w:rsidR="00D30BEF" w:rsidRPr="00CE4E1F" w:rsidRDefault="00D30BEF" w:rsidP="00742F09">
            <w:pPr>
              <w:spacing w:line="360" w:lineRule="auto"/>
              <w:ind w:firstLineChars="200" w:firstLine="360"/>
              <w:contextualSpacing/>
              <w:jc w:val="both"/>
              <w:rPr>
                <w:color w:val="000000"/>
                <w:sz w:val="18"/>
                <w:szCs w:val="18"/>
              </w:rPr>
            </w:pPr>
            <w:r w:rsidRPr="00CE4E1F">
              <w:rPr>
                <w:color w:val="000000"/>
                <w:sz w:val="18"/>
                <w:szCs w:val="18"/>
              </w:rPr>
              <w:t>Other</w:t>
            </w:r>
          </w:p>
        </w:tc>
        <w:tc>
          <w:tcPr>
            <w:tcW w:w="3780" w:type="dxa"/>
            <w:tcBorders>
              <w:top w:val="nil"/>
              <w:left w:val="nil"/>
              <w:bottom w:val="single" w:sz="4" w:space="0" w:color="auto"/>
              <w:right w:val="single" w:sz="4" w:space="0" w:color="auto"/>
            </w:tcBorders>
            <w:shd w:val="clear" w:color="auto" w:fill="auto"/>
            <w:noWrap/>
            <w:vAlign w:val="bottom"/>
            <w:hideMark/>
          </w:tcPr>
          <w:p w14:paraId="5A9C2F3C" w14:textId="5CFB8C86" w:rsidR="00D30BEF" w:rsidRPr="00CE4E1F" w:rsidRDefault="00D30BEF" w:rsidP="00742F09">
            <w:pPr>
              <w:spacing w:line="360" w:lineRule="auto"/>
              <w:contextualSpacing/>
              <w:jc w:val="both"/>
              <w:rPr>
                <w:color w:val="000000"/>
                <w:sz w:val="18"/>
                <w:szCs w:val="18"/>
              </w:rPr>
            </w:pPr>
            <w:r w:rsidRPr="00CE4E1F">
              <w:rPr>
                <w:color w:val="000000"/>
                <w:sz w:val="18"/>
                <w:szCs w:val="18"/>
              </w:rPr>
              <w:t>11 (7.</w:t>
            </w:r>
            <w:r w:rsidR="00B7429F" w:rsidRPr="00CE4E1F">
              <w:rPr>
                <w:color w:val="000000"/>
                <w:sz w:val="18"/>
                <w:szCs w:val="18"/>
              </w:rPr>
              <w:t>0</w:t>
            </w:r>
            <w:r w:rsidRPr="00CE4E1F">
              <w:rPr>
                <w:color w:val="000000"/>
                <w:sz w:val="18"/>
                <w:szCs w:val="18"/>
              </w:rPr>
              <w:t>)</w:t>
            </w:r>
          </w:p>
        </w:tc>
      </w:tr>
      <w:tr w:rsidR="00D30BEF" w:rsidRPr="00CE4E1F" w14:paraId="7B2A107C" w14:textId="77777777" w:rsidTr="000C1374">
        <w:trPr>
          <w:trHeight w:val="320"/>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34BF7BF9" w14:textId="77777777" w:rsidR="00D30BEF" w:rsidRPr="00CE4E1F" w:rsidRDefault="00D30BEF" w:rsidP="00742F09">
            <w:pPr>
              <w:spacing w:line="360" w:lineRule="auto"/>
              <w:ind w:firstLineChars="200" w:firstLine="360"/>
              <w:contextualSpacing/>
              <w:jc w:val="both"/>
              <w:rPr>
                <w:color w:val="000000"/>
                <w:sz w:val="18"/>
                <w:szCs w:val="18"/>
              </w:rPr>
            </w:pPr>
            <w:r w:rsidRPr="00CE4E1F">
              <w:rPr>
                <w:color w:val="000000"/>
                <w:sz w:val="18"/>
                <w:szCs w:val="18"/>
              </w:rPr>
              <w:t>Unknown</w:t>
            </w:r>
          </w:p>
        </w:tc>
        <w:tc>
          <w:tcPr>
            <w:tcW w:w="3780" w:type="dxa"/>
            <w:tcBorders>
              <w:top w:val="nil"/>
              <w:left w:val="nil"/>
              <w:bottom w:val="single" w:sz="4" w:space="0" w:color="auto"/>
              <w:right w:val="single" w:sz="4" w:space="0" w:color="auto"/>
            </w:tcBorders>
            <w:shd w:val="clear" w:color="auto" w:fill="auto"/>
            <w:noWrap/>
            <w:vAlign w:val="bottom"/>
            <w:hideMark/>
          </w:tcPr>
          <w:p w14:paraId="3103D5B3" w14:textId="096152CA" w:rsidR="00D30BEF" w:rsidRPr="00CE4E1F" w:rsidRDefault="00D30BEF" w:rsidP="00742F09">
            <w:pPr>
              <w:spacing w:line="360" w:lineRule="auto"/>
              <w:contextualSpacing/>
              <w:jc w:val="both"/>
              <w:rPr>
                <w:color w:val="000000"/>
                <w:sz w:val="18"/>
                <w:szCs w:val="18"/>
              </w:rPr>
            </w:pPr>
            <w:r w:rsidRPr="00CE4E1F">
              <w:rPr>
                <w:color w:val="000000"/>
                <w:sz w:val="18"/>
                <w:szCs w:val="18"/>
              </w:rPr>
              <w:t>20 (1</w:t>
            </w:r>
            <w:r w:rsidR="00B7429F" w:rsidRPr="00CE4E1F">
              <w:rPr>
                <w:color w:val="000000"/>
                <w:sz w:val="18"/>
                <w:szCs w:val="18"/>
              </w:rPr>
              <w:t>2</w:t>
            </w:r>
            <w:r w:rsidRPr="00CE4E1F">
              <w:rPr>
                <w:color w:val="000000"/>
                <w:sz w:val="18"/>
                <w:szCs w:val="18"/>
              </w:rPr>
              <w:t>.</w:t>
            </w:r>
            <w:r w:rsidR="00B7429F" w:rsidRPr="00CE4E1F">
              <w:rPr>
                <w:color w:val="000000"/>
                <w:sz w:val="18"/>
                <w:szCs w:val="18"/>
              </w:rPr>
              <w:t>7</w:t>
            </w:r>
            <w:r w:rsidRPr="00CE4E1F">
              <w:rPr>
                <w:color w:val="000000"/>
                <w:sz w:val="18"/>
                <w:szCs w:val="18"/>
              </w:rPr>
              <w:t>)</w:t>
            </w:r>
          </w:p>
        </w:tc>
      </w:tr>
    </w:tbl>
    <w:p w14:paraId="5858D06D" w14:textId="152A0E66" w:rsidR="00F824C0" w:rsidRPr="00CE4E1F" w:rsidRDefault="00F824C0" w:rsidP="00742F09">
      <w:pPr>
        <w:widowControl w:val="0"/>
        <w:autoSpaceDE w:val="0"/>
        <w:autoSpaceDN w:val="0"/>
        <w:adjustRightInd w:val="0"/>
        <w:spacing w:line="360" w:lineRule="auto"/>
        <w:contextualSpacing/>
        <w:jc w:val="both"/>
        <w:rPr>
          <w:b/>
          <w:bCs/>
        </w:rPr>
      </w:pPr>
      <w:r w:rsidRPr="00CE4E1F">
        <w:rPr>
          <w:b/>
          <w:bCs/>
        </w:rPr>
        <w:t>*</w:t>
      </w:r>
      <w:r w:rsidRPr="00CE4E1F">
        <w:rPr>
          <w:bCs/>
        </w:rPr>
        <w:t>Estimated using the reverse Kaplan Meier method. Median clinical follow up time to survival events or censorship was 7.0 years. Median time to censorship among surviving patients without meningioma recurrence was 8.7 years. Median imaging follow up among patients without recurrence was 6.2 years. Median time to local recurrence was 1.1 years. Dates of surgery ranged between December 1992 and January 20</w:t>
      </w:r>
      <w:r w:rsidR="00B7429F" w:rsidRPr="00CE4E1F">
        <w:rPr>
          <w:bCs/>
        </w:rPr>
        <w:t>21</w:t>
      </w:r>
      <w:r w:rsidRPr="00CE4E1F">
        <w:rPr>
          <w:bCs/>
        </w:rPr>
        <w:t xml:space="preserve">. </w:t>
      </w:r>
      <w:r w:rsidR="009372AD" w:rsidRPr="00CE4E1F">
        <w:rPr>
          <w:bCs/>
        </w:rPr>
        <w:t xml:space="preserve">Nucleic acids were extracted from </w:t>
      </w:r>
      <w:r w:rsidR="009372AD">
        <w:rPr>
          <w:bCs/>
        </w:rPr>
        <w:t>FFPE</w:t>
      </w:r>
      <w:r w:rsidR="009372AD" w:rsidRPr="00CE4E1F">
        <w:rPr>
          <w:bCs/>
        </w:rPr>
        <w:t xml:space="preserve"> meningiomas</w:t>
      </w:r>
      <w:r w:rsidR="009372AD">
        <w:rPr>
          <w:bCs/>
        </w:rPr>
        <w:t>.</w:t>
      </w:r>
      <w:r w:rsidR="009372AD" w:rsidRPr="00CE4E1F" w:rsidDel="009372AD">
        <w:rPr>
          <w:bCs/>
        </w:rPr>
        <w:t xml:space="preserve"> </w:t>
      </w:r>
    </w:p>
    <w:p w14:paraId="05174562" w14:textId="5C8ACF17" w:rsidR="00BE71B5" w:rsidRPr="00CE4E1F" w:rsidRDefault="00F824C0" w:rsidP="00742F09">
      <w:pPr>
        <w:spacing w:line="360" w:lineRule="auto"/>
        <w:contextualSpacing/>
        <w:jc w:val="both"/>
        <w:rPr>
          <w:b/>
        </w:rPr>
      </w:pPr>
      <w:r w:rsidRPr="00CE4E1F">
        <w:rPr>
          <w:b/>
        </w:rPr>
        <w:br w:type="column"/>
      </w:r>
      <w:r w:rsidR="00BE71B5" w:rsidRPr="00CE4E1F">
        <w:rPr>
          <w:b/>
        </w:rPr>
        <w:lastRenderedPageBreak/>
        <w:t>Table S</w:t>
      </w:r>
      <w:r w:rsidRPr="00CE4E1F">
        <w:rPr>
          <w:b/>
        </w:rPr>
        <w:t>8</w:t>
      </w:r>
      <w:r w:rsidR="00BE71B5" w:rsidRPr="00CE4E1F">
        <w:rPr>
          <w:b/>
        </w:rPr>
        <w:t xml:space="preserve">. Baylor </w:t>
      </w:r>
      <w:r w:rsidR="004A0554" w:rsidRPr="00CE4E1F">
        <w:rPr>
          <w:b/>
        </w:rPr>
        <w:t>College of Medicine</w:t>
      </w:r>
      <w:r w:rsidR="00BE71B5" w:rsidRPr="00CE4E1F">
        <w:rPr>
          <w:b/>
        </w:rPr>
        <w:t xml:space="preserve"> </w:t>
      </w:r>
      <w:r w:rsidR="004A0554" w:rsidRPr="00CE4E1F">
        <w:rPr>
          <w:b/>
        </w:rPr>
        <w:t>clinical</w:t>
      </w:r>
      <w:r w:rsidR="00FA4FDE" w:rsidRPr="00CE4E1F">
        <w:rPr>
          <w:b/>
        </w:rPr>
        <w:t xml:space="preserve"> </w:t>
      </w:r>
      <w:r w:rsidR="00BE71B5" w:rsidRPr="00CE4E1F">
        <w:rPr>
          <w:b/>
        </w:rPr>
        <w:t>validation cohort characteristics.</w:t>
      </w:r>
    </w:p>
    <w:tbl>
      <w:tblPr>
        <w:tblW w:w="9355" w:type="dxa"/>
        <w:tblLook w:val="04A0" w:firstRow="1" w:lastRow="0" w:firstColumn="1" w:lastColumn="0" w:noHBand="0" w:noVBand="1"/>
      </w:tblPr>
      <w:tblGrid>
        <w:gridCol w:w="5575"/>
        <w:gridCol w:w="3780"/>
      </w:tblGrid>
      <w:tr w:rsidR="00BE71B5" w:rsidRPr="00CE4E1F" w14:paraId="58C85E7E" w14:textId="77777777" w:rsidTr="00635B44">
        <w:trPr>
          <w:trHeight w:val="320"/>
        </w:trPr>
        <w:tc>
          <w:tcPr>
            <w:tcW w:w="5575" w:type="dxa"/>
            <w:tcBorders>
              <w:top w:val="single" w:sz="4" w:space="0" w:color="auto"/>
              <w:left w:val="single" w:sz="4" w:space="0" w:color="auto"/>
              <w:bottom w:val="single" w:sz="4" w:space="0" w:color="auto"/>
              <w:right w:val="single" w:sz="4" w:space="0" w:color="auto"/>
            </w:tcBorders>
            <w:shd w:val="clear" w:color="auto" w:fill="auto"/>
            <w:noWrap/>
            <w:hideMark/>
          </w:tcPr>
          <w:p w14:paraId="68CD6BE8" w14:textId="77777777" w:rsidR="00BE71B5" w:rsidRPr="00CE4E1F" w:rsidRDefault="00BE71B5" w:rsidP="00742F09">
            <w:pPr>
              <w:spacing w:line="360" w:lineRule="auto"/>
              <w:contextualSpacing/>
              <w:jc w:val="both"/>
              <w:rPr>
                <w:color w:val="000000"/>
                <w:sz w:val="18"/>
                <w:szCs w:val="18"/>
              </w:rPr>
            </w:pPr>
            <w:r w:rsidRPr="00CE4E1F">
              <w:rPr>
                <w:b/>
                <w:bCs/>
                <w:color w:val="000000"/>
                <w:sz w:val="18"/>
                <w:szCs w:val="18"/>
              </w:rPr>
              <w:t>Meningiomas - no.</w:t>
            </w:r>
          </w:p>
        </w:tc>
        <w:tc>
          <w:tcPr>
            <w:tcW w:w="3780" w:type="dxa"/>
            <w:tcBorders>
              <w:top w:val="single" w:sz="4" w:space="0" w:color="auto"/>
              <w:left w:val="nil"/>
              <w:bottom w:val="single" w:sz="4" w:space="0" w:color="auto"/>
              <w:right w:val="single" w:sz="4" w:space="0" w:color="auto"/>
            </w:tcBorders>
            <w:shd w:val="clear" w:color="auto" w:fill="auto"/>
            <w:noWrap/>
            <w:hideMark/>
          </w:tcPr>
          <w:p w14:paraId="2BB1A309" w14:textId="5748B584" w:rsidR="00BE71B5" w:rsidRPr="00CE4E1F" w:rsidRDefault="00683C62" w:rsidP="00742F09">
            <w:pPr>
              <w:spacing w:line="360" w:lineRule="auto"/>
              <w:contextualSpacing/>
              <w:jc w:val="both"/>
              <w:rPr>
                <w:bCs/>
                <w:color w:val="000000"/>
                <w:sz w:val="18"/>
                <w:szCs w:val="18"/>
              </w:rPr>
            </w:pPr>
            <w:r w:rsidRPr="00CE4E1F">
              <w:rPr>
                <w:bCs/>
                <w:color w:val="000000"/>
                <w:sz w:val="18"/>
                <w:szCs w:val="18"/>
              </w:rPr>
              <w:t>11</w:t>
            </w:r>
            <w:r w:rsidR="00E65ACD" w:rsidRPr="00CE4E1F">
              <w:rPr>
                <w:bCs/>
                <w:color w:val="000000"/>
                <w:sz w:val="18"/>
                <w:szCs w:val="18"/>
              </w:rPr>
              <w:t>6</w:t>
            </w:r>
          </w:p>
        </w:tc>
      </w:tr>
      <w:tr w:rsidR="00BE71B5" w:rsidRPr="00CE4E1F" w14:paraId="6ADC9EB7"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9DDF9E4" w14:textId="77777777" w:rsidR="00BE71B5" w:rsidRPr="00CE4E1F" w:rsidRDefault="00BE71B5" w:rsidP="00742F09">
            <w:pPr>
              <w:spacing w:line="360" w:lineRule="auto"/>
              <w:contextualSpacing/>
              <w:jc w:val="both"/>
              <w:rPr>
                <w:b/>
                <w:bCs/>
                <w:color w:val="000000"/>
                <w:sz w:val="18"/>
                <w:szCs w:val="18"/>
              </w:rPr>
            </w:pPr>
            <w:r w:rsidRPr="00CE4E1F">
              <w:rPr>
                <w:b/>
                <w:bCs/>
                <w:color w:val="000000"/>
                <w:sz w:val="18"/>
                <w:szCs w:val="18"/>
              </w:rPr>
              <w:t>Patients - no.</w:t>
            </w:r>
          </w:p>
        </w:tc>
        <w:tc>
          <w:tcPr>
            <w:tcW w:w="3780" w:type="dxa"/>
            <w:tcBorders>
              <w:top w:val="nil"/>
              <w:left w:val="nil"/>
              <w:bottom w:val="single" w:sz="4" w:space="0" w:color="auto"/>
              <w:right w:val="single" w:sz="4" w:space="0" w:color="auto"/>
            </w:tcBorders>
            <w:shd w:val="clear" w:color="auto" w:fill="auto"/>
            <w:noWrap/>
            <w:hideMark/>
          </w:tcPr>
          <w:p w14:paraId="73C86BCD" w14:textId="1B6865F1" w:rsidR="00BE71B5" w:rsidRPr="00CE4E1F" w:rsidRDefault="00683C62" w:rsidP="00742F09">
            <w:pPr>
              <w:spacing w:line="360" w:lineRule="auto"/>
              <w:contextualSpacing/>
              <w:jc w:val="both"/>
              <w:rPr>
                <w:color w:val="000000"/>
                <w:sz w:val="18"/>
                <w:szCs w:val="18"/>
              </w:rPr>
            </w:pPr>
            <w:r w:rsidRPr="00CE4E1F">
              <w:rPr>
                <w:color w:val="000000"/>
                <w:sz w:val="18"/>
                <w:szCs w:val="18"/>
              </w:rPr>
              <w:t>11</w:t>
            </w:r>
            <w:r w:rsidR="00E65ACD" w:rsidRPr="00CE4E1F">
              <w:rPr>
                <w:color w:val="000000"/>
                <w:sz w:val="18"/>
                <w:szCs w:val="18"/>
              </w:rPr>
              <w:t>3</w:t>
            </w:r>
          </w:p>
        </w:tc>
      </w:tr>
      <w:tr w:rsidR="00BE71B5" w:rsidRPr="00CE4E1F" w14:paraId="06E116CE"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CC1CD70" w14:textId="77777777" w:rsidR="00BE71B5" w:rsidRPr="00CE4E1F" w:rsidRDefault="00BE71B5" w:rsidP="00742F09">
            <w:pPr>
              <w:spacing w:line="360" w:lineRule="auto"/>
              <w:contextualSpacing/>
              <w:jc w:val="both"/>
              <w:rPr>
                <w:b/>
                <w:bCs/>
                <w:color w:val="000000"/>
                <w:sz w:val="18"/>
                <w:szCs w:val="18"/>
              </w:rPr>
            </w:pPr>
            <w:r w:rsidRPr="00CE4E1F">
              <w:rPr>
                <w:b/>
                <w:bCs/>
                <w:color w:val="000000"/>
                <w:sz w:val="18"/>
                <w:szCs w:val="18"/>
              </w:rPr>
              <w:t>Females - no. (%)</w:t>
            </w:r>
          </w:p>
        </w:tc>
        <w:tc>
          <w:tcPr>
            <w:tcW w:w="3780" w:type="dxa"/>
            <w:tcBorders>
              <w:top w:val="nil"/>
              <w:left w:val="nil"/>
              <w:bottom w:val="single" w:sz="4" w:space="0" w:color="auto"/>
              <w:right w:val="single" w:sz="4" w:space="0" w:color="auto"/>
            </w:tcBorders>
            <w:shd w:val="clear" w:color="auto" w:fill="auto"/>
            <w:noWrap/>
            <w:hideMark/>
          </w:tcPr>
          <w:p w14:paraId="21F31E60" w14:textId="2FBC5CAB" w:rsidR="00BE71B5" w:rsidRPr="00CE4E1F" w:rsidRDefault="00683C62" w:rsidP="00742F09">
            <w:pPr>
              <w:spacing w:line="360" w:lineRule="auto"/>
              <w:contextualSpacing/>
              <w:jc w:val="both"/>
              <w:rPr>
                <w:color w:val="000000"/>
                <w:sz w:val="18"/>
                <w:szCs w:val="18"/>
              </w:rPr>
            </w:pPr>
            <w:r w:rsidRPr="00CE4E1F">
              <w:rPr>
                <w:color w:val="000000"/>
                <w:sz w:val="18"/>
                <w:szCs w:val="18"/>
              </w:rPr>
              <w:t>7</w:t>
            </w:r>
            <w:r w:rsidR="00301F96" w:rsidRPr="00CE4E1F">
              <w:rPr>
                <w:color w:val="000000"/>
                <w:sz w:val="18"/>
                <w:szCs w:val="18"/>
              </w:rPr>
              <w:t>6</w:t>
            </w:r>
            <w:r w:rsidR="00BE71B5" w:rsidRPr="00CE4E1F">
              <w:rPr>
                <w:color w:val="000000"/>
                <w:sz w:val="18"/>
                <w:szCs w:val="18"/>
              </w:rPr>
              <w:t xml:space="preserve"> (6</w:t>
            </w:r>
            <w:r w:rsidRPr="00CE4E1F">
              <w:rPr>
                <w:color w:val="000000"/>
                <w:sz w:val="18"/>
                <w:szCs w:val="18"/>
              </w:rPr>
              <w:t>6</w:t>
            </w:r>
            <w:r w:rsidR="00BE71B5" w:rsidRPr="00CE4E1F">
              <w:rPr>
                <w:color w:val="000000"/>
                <w:sz w:val="18"/>
                <w:szCs w:val="18"/>
              </w:rPr>
              <w:t>.</w:t>
            </w:r>
            <w:r w:rsidR="00C61150" w:rsidRPr="00CE4E1F">
              <w:rPr>
                <w:color w:val="000000"/>
                <w:sz w:val="18"/>
                <w:szCs w:val="18"/>
              </w:rPr>
              <w:t>6</w:t>
            </w:r>
            <w:r w:rsidR="00BE71B5" w:rsidRPr="00CE4E1F">
              <w:rPr>
                <w:color w:val="000000"/>
                <w:sz w:val="18"/>
                <w:szCs w:val="18"/>
              </w:rPr>
              <w:t>)</w:t>
            </w:r>
          </w:p>
        </w:tc>
      </w:tr>
      <w:tr w:rsidR="00BE71B5" w:rsidRPr="00CE4E1F" w14:paraId="002110F0"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4348CB8" w14:textId="77777777" w:rsidR="00BE71B5" w:rsidRPr="00CE4E1F" w:rsidRDefault="00BE71B5" w:rsidP="00742F09">
            <w:pPr>
              <w:spacing w:line="360" w:lineRule="auto"/>
              <w:contextualSpacing/>
              <w:jc w:val="both"/>
              <w:rPr>
                <w:b/>
                <w:bCs/>
                <w:color w:val="000000"/>
                <w:sz w:val="18"/>
                <w:szCs w:val="18"/>
              </w:rPr>
            </w:pPr>
            <w:r w:rsidRPr="00CE4E1F">
              <w:rPr>
                <w:b/>
                <w:bCs/>
                <w:color w:val="000000"/>
                <w:sz w:val="18"/>
                <w:szCs w:val="18"/>
              </w:rPr>
              <w:t>Median age (IQR) - yr.</w:t>
            </w:r>
          </w:p>
        </w:tc>
        <w:tc>
          <w:tcPr>
            <w:tcW w:w="3780" w:type="dxa"/>
            <w:tcBorders>
              <w:top w:val="nil"/>
              <w:left w:val="nil"/>
              <w:bottom w:val="single" w:sz="4" w:space="0" w:color="auto"/>
              <w:right w:val="single" w:sz="4" w:space="0" w:color="auto"/>
            </w:tcBorders>
            <w:shd w:val="clear" w:color="auto" w:fill="auto"/>
            <w:noWrap/>
            <w:hideMark/>
          </w:tcPr>
          <w:p w14:paraId="6F0724F0" w14:textId="005CAD35" w:rsidR="00BE71B5" w:rsidRPr="00CE4E1F" w:rsidRDefault="00683C62" w:rsidP="00742F09">
            <w:pPr>
              <w:spacing w:line="360" w:lineRule="auto"/>
              <w:contextualSpacing/>
              <w:jc w:val="both"/>
              <w:rPr>
                <w:color w:val="000000"/>
                <w:sz w:val="18"/>
                <w:szCs w:val="18"/>
              </w:rPr>
            </w:pPr>
            <w:r w:rsidRPr="00CE4E1F">
              <w:rPr>
                <w:color w:val="000000"/>
                <w:sz w:val="18"/>
                <w:szCs w:val="18"/>
              </w:rPr>
              <w:t>60</w:t>
            </w:r>
            <w:r w:rsidR="00BE71B5" w:rsidRPr="00CE4E1F">
              <w:rPr>
                <w:color w:val="000000"/>
                <w:sz w:val="18"/>
                <w:szCs w:val="18"/>
              </w:rPr>
              <w:t xml:space="preserve"> (</w:t>
            </w:r>
            <w:r w:rsidRPr="00CE4E1F">
              <w:rPr>
                <w:color w:val="000000"/>
                <w:sz w:val="18"/>
                <w:szCs w:val="18"/>
              </w:rPr>
              <w:t>50</w:t>
            </w:r>
            <w:r w:rsidR="00BE71B5" w:rsidRPr="00CE4E1F">
              <w:rPr>
                <w:color w:val="000000"/>
                <w:sz w:val="18"/>
                <w:szCs w:val="18"/>
              </w:rPr>
              <w:t>-68)</w:t>
            </w:r>
          </w:p>
        </w:tc>
      </w:tr>
      <w:tr w:rsidR="00BE71B5" w:rsidRPr="00CE4E1F" w14:paraId="1D7A3BD2"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F938382" w14:textId="77777777" w:rsidR="00BE71B5" w:rsidRPr="00CE4E1F" w:rsidRDefault="00BE71B5" w:rsidP="00742F09">
            <w:pPr>
              <w:spacing w:line="360" w:lineRule="auto"/>
              <w:contextualSpacing/>
              <w:jc w:val="both"/>
              <w:rPr>
                <w:b/>
                <w:bCs/>
                <w:color w:val="000000"/>
                <w:sz w:val="18"/>
                <w:szCs w:val="18"/>
              </w:rPr>
            </w:pPr>
            <w:r w:rsidRPr="00CE4E1F">
              <w:rPr>
                <w:b/>
                <w:bCs/>
                <w:color w:val="000000"/>
                <w:sz w:val="18"/>
                <w:szCs w:val="18"/>
              </w:rPr>
              <w:t>Setting - no. (%)</w:t>
            </w:r>
          </w:p>
        </w:tc>
        <w:tc>
          <w:tcPr>
            <w:tcW w:w="3780" w:type="dxa"/>
            <w:tcBorders>
              <w:top w:val="nil"/>
              <w:left w:val="nil"/>
              <w:bottom w:val="single" w:sz="4" w:space="0" w:color="auto"/>
              <w:right w:val="single" w:sz="4" w:space="0" w:color="auto"/>
            </w:tcBorders>
            <w:shd w:val="clear" w:color="auto" w:fill="auto"/>
            <w:noWrap/>
            <w:hideMark/>
          </w:tcPr>
          <w:p w14:paraId="2928CE2C" w14:textId="77777777" w:rsidR="00BE71B5" w:rsidRPr="00CE4E1F" w:rsidRDefault="00BE71B5" w:rsidP="00742F09">
            <w:pPr>
              <w:spacing w:line="360" w:lineRule="auto"/>
              <w:contextualSpacing/>
              <w:jc w:val="both"/>
              <w:rPr>
                <w:color w:val="000000"/>
                <w:sz w:val="18"/>
                <w:szCs w:val="18"/>
              </w:rPr>
            </w:pPr>
            <w:r w:rsidRPr="00CE4E1F">
              <w:rPr>
                <w:color w:val="000000"/>
                <w:sz w:val="18"/>
                <w:szCs w:val="18"/>
              </w:rPr>
              <w:t> </w:t>
            </w:r>
          </w:p>
        </w:tc>
      </w:tr>
      <w:tr w:rsidR="00BE71B5" w:rsidRPr="00CE4E1F" w14:paraId="73A2E0D9"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5559811" w14:textId="77777777" w:rsidR="00BE71B5" w:rsidRPr="00CE4E1F" w:rsidRDefault="00BE71B5" w:rsidP="00742F09">
            <w:pPr>
              <w:spacing w:line="360" w:lineRule="auto"/>
              <w:contextualSpacing/>
              <w:jc w:val="both"/>
              <w:rPr>
                <w:b/>
                <w:bCs/>
                <w:color w:val="000000"/>
                <w:sz w:val="18"/>
                <w:szCs w:val="18"/>
              </w:rPr>
            </w:pPr>
            <w:r w:rsidRPr="00CE4E1F">
              <w:rPr>
                <w:color w:val="000000"/>
                <w:sz w:val="18"/>
                <w:szCs w:val="18"/>
              </w:rPr>
              <w:t xml:space="preserve">        Primary</w:t>
            </w:r>
          </w:p>
        </w:tc>
        <w:tc>
          <w:tcPr>
            <w:tcW w:w="3780" w:type="dxa"/>
            <w:tcBorders>
              <w:top w:val="nil"/>
              <w:left w:val="nil"/>
              <w:bottom w:val="single" w:sz="4" w:space="0" w:color="auto"/>
              <w:right w:val="single" w:sz="4" w:space="0" w:color="auto"/>
            </w:tcBorders>
            <w:shd w:val="clear" w:color="auto" w:fill="auto"/>
            <w:noWrap/>
            <w:hideMark/>
          </w:tcPr>
          <w:p w14:paraId="6FB7A787" w14:textId="774D7901" w:rsidR="00BE71B5" w:rsidRPr="00CE4E1F" w:rsidRDefault="00E65ACD" w:rsidP="00742F09">
            <w:pPr>
              <w:spacing w:line="360" w:lineRule="auto"/>
              <w:contextualSpacing/>
              <w:jc w:val="both"/>
              <w:rPr>
                <w:color w:val="000000"/>
                <w:sz w:val="18"/>
                <w:szCs w:val="18"/>
              </w:rPr>
            </w:pPr>
            <w:r w:rsidRPr="00CE4E1F">
              <w:rPr>
                <w:color w:val="000000"/>
                <w:sz w:val="18"/>
                <w:szCs w:val="18"/>
              </w:rPr>
              <w:t>94</w:t>
            </w:r>
            <w:r w:rsidR="00BE71B5" w:rsidRPr="00CE4E1F">
              <w:rPr>
                <w:color w:val="000000"/>
                <w:sz w:val="18"/>
                <w:szCs w:val="18"/>
              </w:rPr>
              <w:t xml:space="preserve"> (8</w:t>
            </w:r>
            <w:r w:rsidRPr="00CE4E1F">
              <w:rPr>
                <w:color w:val="000000"/>
                <w:sz w:val="18"/>
                <w:szCs w:val="18"/>
              </w:rPr>
              <w:t>1</w:t>
            </w:r>
            <w:r w:rsidR="00BE71B5" w:rsidRPr="00CE4E1F">
              <w:rPr>
                <w:color w:val="000000"/>
                <w:sz w:val="18"/>
                <w:szCs w:val="18"/>
              </w:rPr>
              <w:t>.</w:t>
            </w:r>
            <w:r w:rsidRPr="00CE4E1F">
              <w:rPr>
                <w:color w:val="000000"/>
                <w:sz w:val="18"/>
                <w:szCs w:val="18"/>
              </w:rPr>
              <w:t>0</w:t>
            </w:r>
            <w:r w:rsidR="00BE71B5" w:rsidRPr="00CE4E1F">
              <w:rPr>
                <w:color w:val="000000"/>
                <w:sz w:val="18"/>
                <w:szCs w:val="18"/>
              </w:rPr>
              <w:t>)</w:t>
            </w:r>
          </w:p>
        </w:tc>
      </w:tr>
      <w:tr w:rsidR="00BE71B5" w:rsidRPr="00CE4E1F" w14:paraId="16FCADFF"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4A98D9F2" w14:textId="77777777" w:rsidR="00BE71B5" w:rsidRPr="00CE4E1F" w:rsidRDefault="00BE71B5" w:rsidP="00742F09">
            <w:pPr>
              <w:spacing w:line="360" w:lineRule="auto"/>
              <w:ind w:firstLineChars="200" w:firstLine="360"/>
              <w:contextualSpacing/>
              <w:jc w:val="both"/>
              <w:rPr>
                <w:color w:val="000000"/>
                <w:sz w:val="18"/>
                <w:szCs w:val="18"/>
              </w:rPr>
            </w:pPr>
            <w:r w:rsidRPr="00CE4E1F">
              <w:rPr>
                <w:color w:val="000000"/>
                <w:sz w:val="18"/>
                <w:szCs w:val="18"/>
              </w:rPr>
              <w:t>Recurrent</w:t>
            </w:r>
          </w:p>
        </w:tc>
        <w:tc>
          <w:tcPr>
            <w:tcW w:w="3780" w:type="dxa"/>
            <w:tcBorders>
              <w:top w:val="nil"/>
              <w:left w:val="nil"/>
              <w:bottom w:val="single" w:sz="4" w:space="0" w:color="auto"/>
              <w:right w:val="single" w:sz="4" w:space="0" w:color="auto"/>
            </w:tcBorders>
            <w:shd w:val="clear" w:color="auto" w:fill="auto"/>
            <w:noWrap/>
            <w:hideMark/>
          </w:tcPr>
          <w:p w14:paraId="64EDEF28" w14:textId="2ADFC18C" w:rsidR="00BE71B5" w:rsidRPr="00CE4E1F" w:rsidRDefault="00683C62" w:rsidP="00742F09">
            <w:pPr>
              <w:spacing w:line="360" w:lineRule="auto"/>
              <w:contextualSpacing/>
              <w:jc w:val="both"/>
              <w:rPr>
                <w:color w:val="000000"/>
                <w:sz w:val="18"/>
                <w:szCs w:val="18"/>
              </w:rPr>
            </w:pPr>
            <w:r w:rsidRPr="00CE4E1F">
              <w:rPr>
                <w:color w:val="000000"/>
                <w:sz w:val="18"/>
                <w:szCs w:val="18"/>
              </w:rPr>
              <w:t>1</w:t>
            </w:r>
            <w:r w:rsidR="00C61150" w:rsidRPr="00CE4E1F">
              <w:rPr>
                <w:color w:val="000000"/>
                <w:sz w:val="18"/>
                <w:szCs w:val="18"/>
              </w:rPr>
              <w:t>7</w:t>
            </w:r>
            <w:r w:rsidR="00BE71B5" w:rsidRPr="00CE4E1F">
              <w:rPr>
                <w:color w:val="000000"/>
                <w:sz w:val="18"/>
                <w:szCs w:val="18"/>
              </w:rPr>
              <w:t xml:space="preserve"> (1</w:t>
            </w:r>
            <w:r w:rsidR="00C61150" w:rsidRPr="00CE4E1F">
              <w:rPr>
                <w:color w:val="000000"/>
                <w:sz w:val="18"/>
                <w:szCs w:val="18"/>
              </w:rPr>
              <w:t>4</w:t>
            </w:r>
            <w:r w:rsidR="00BE71B5" w:rsidRPr="00CE4E1F">
              <w:rPr>
                <w:color w:val="000000"/>
                <w:sz w:val="18"/>
                <w:szCs w:val="18"/>
              </w:rPr>
              <w:t>.</w:t>
            </w:r>
            <w:r w:rsidR="00E65ACD" w:rsidRPr="00CE4E1F">
              <w:rPr>
                <w:color w:val="000000"/>
                <w:sz w:val="18"/>
                <w:szCs w:val="18"/>
              </w:rPr>
              <w:t>7</w:t>
            </w:r>
            <w:r w:rsidR="00BE71B5" w:rsidRPr="00CE4E1F">
              <w:rPr>
                <w:color w:val="000000"/>
                <w:sz w:val="18"/>
                <w:szCs w:val="18"/>
              </w:rPr>
              <w:t>)</w:t>
            </w:r>
          </w:p>
        </w:tc>
      </w:tr>
      <w:tr w:rsidR="00BE71B5" w:rsidRPr="00CE4E1F" w14:paraId="55BAC38D"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6ABC8A7" w14:textId="77777777" w:rsidR="00BE71B5" w:rsidRPr="00CE4E1F" w:rsidRDefault="00BE71B5" w:rsidP="00742F09">
            <w:pPr>
              <w:spacing w:line="360" w:lineRule="auto"/>
              <w:contextualSpacing/>
              <w:jc w:val="both"/>
              <w:rPr>
                <w:color w:val="000000"/>
                <w:sz w:val="18"/>
                <w:szCs w:val="18"/>
              </w:rPr>
            </w:pPr>
            <w:r w:rsidRPr="00CE4E1F">
              <w:rPr>
                <w:b/>
                <w:bCs/>
                <w:color w:val="000000"/>
                <w:sz w:val="18"/>
                <w:szCs w:val="18"/>
              </w:rPr>
              <w:t>Extent of resection - no. (%)</w:t>
            </w:r>
          </w:p>
        </w:tc>
        <w:tc>
          <w:tcPr>
            <w:tcW w:w="3780" w:type="dxa"/>
            <w:tcBorders>
              <w:top w:val="nil"/>
              <w:left w:val="nil"/>
              <w:bottom w:val="single" w:sz="4" w:space="0" w:color="auto"/>
              <w:right w:val="single" w:sz="4" w:space="0" w:color="auto"/>
            </w:tcBorders>
            <w:shd w:val="clear" w:color="auto" w:fill="auto"/>
            <w:noWrap/>
            <w:hideMark/>
          </w:tcPr>
          <w:p w14:paraId="373DB7A3" w14:textId="77777777" w:rsidR="00BE71B5" w:rsidRPr="00CE4E1F" w:rsidRDefault="00BE71B5" w:rsidP="00742F09">
            <w:pPr>
              <w:spacing w:line="360" w:lineRule="auto"/>
              <w:contextualSpacing/>
              <w:jc w:val="both"/>
              <w:rPr>
                <w:color w:val="000000"/>
                <w:sz w:val="18"/>
                <w:szCs w:val="18"/>
              </w:rPr>
            </w:pPr>
            <w:r w:rsidRPr="00CE4E1F">
              <w:rPr>
                <w:color w:val="000000"/>
                <w:sz w:val="18"/>
                <w:szCs w:val="18"/>
              </w:rPr>
              <w:t> </w:t>
            </w:r>
          </w:p>
        </w:tc>
      </w:tr>
      <w:tr w:rsidR="00BE71B5" w:rsidRPr="00CE4E1F" w14:paraId="45EE3A01"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8ECE22B" w14:textId="77777777" w:rsidR="00BE71B5" w:rsidRPr="00CE4E1F" w:rsidRDefault="00BE71B5" w:rsidP="00742F09">
            <w:pPr>
              <w:spacing w:line="360" w:lineRule="auto"/>
              <w:contextualSpacing/>
              <w:jc w:val="both"/>
              <w:rPr>
                <w:b/>
                <w:bCs/>
                <w:color w:val="000000"/>
                <w:sz w:val="18"/>
                <w:szCs w:val="18"/>
              </w:rPr>
            </w:pPr>
            <w:r w:rsidRPr="00CE4E1F">
              <w:rPr>
                <w:color w:val="000000"/>
                <w:sz w:val="18"/>
                <w:szCs w:val="18"/>
              </w:rPr>
              <w:t xml:space="preserve">        Gross total</w:t>
            </w:r>
          </w:p>
        </w:tc>
        <w:tc>
          <w:tcPr>
            <w:tcW w:w="3780" w:type="dxa"/>
            <w:tcBorders>
              <w:top w:val="nil"/>
              <w:left w:val="nil"/>
              <w:bottom w:val="single" w:sz="4" w:space="0" w:color="auto"/>
              <w:right w:val="single" w:sz="4" w:space="0" w:color="auto"/>
            </w:tcBorders>
            <w:shd w:val="clear" w:color="auto" w:fill="auto"/>
            <w:noWrap/>
            <w:hideMark/>
          </w:tcPr>
          <w:p w14:paraId="32AD85AE" w14:textId="55C1D573" w:rsidR="00BE71B5" w:rsidRPr="00CE4E1F" w:rsidRDefault="00683C62" w:rsidP="00742F09">
            <w:pPr>
              <w:spacing w:line="360" w:lineRule="auto"/>
              <w:contextualSpacing/>
              <w:jc w:val="both"/>
              <w:rPr>
                <w:color w:val="000000"/>
                <w:sz w:val="18"/>
                <w:szCs w:val="18"/>
              </w:rPr>
            </w:pPr>
            <w:r w:rsidRPr="00CE4E1F">
              <w:rPr>
                <w:color w:val="000000"/>
                <w:sz w:val="18"/>
                <w:szCs w:val="18"/>
              </w:rPr>
              <w:t>8</w:t>
            </w:r>
            <w:r w:rsidR="00E65ACD" w:rsidRPr="00CE4E1F">
              <w:rPr>
                <w:color w:val="000000"/>
                <w:sz w:val="18"/>
                <w:szCs w:val="18"/>
              </w:rPr>
              <w:t>2</w:t>
            </w:r>
            <w:r w:rsidR="00BE71B5" w:rsidRPr="00CE4E1F">
              <w:rPr>
                <w:color w:val="000000"/>
                <w:sz w:val="18"/>
                <w:szCs w:val="18"/>
              </w:rPr>
              <w:t xml:space="preserve"> (7</w:t>
            </w:r>
            <w:r w:rsidRPr="00CE4E1F">
              <w:rPr>
                <w:color w:val="000000"/>
                <w:sz w:val="18"/>
                <w:szCs w:val="18"/>
              </w:rPr>
              <w:t>0</w:t>
            </w:r>
            <w:r w:rsidR="00BE71B5" w:rsidRPr="00CE4E1F">
              <w:rPr>
                <w:color w:val="000000"/>
                <w:sz w:val="18"/>
                <w:szCs w:val="18"/>
              </w:rPr>
              <w:t>.</w:t>
            </w:r>
            <w:r w:rsidR="00C61150" w:rsidRPr="00CE4E1F">
              <w:rPr>
                <w:color w:val="000000"/>
                <w:sz w:val="18"/>
                <w:szCs w:val="18"/>
              </w:rPr>
              <w:t>9</w:t>
            </w:r>
            <w:r w:rsidR="00BE71B5" w:rsidRPr="00CE4E1F">
              <w:rPr>
                <w:color w:val="000000"/>
                <w:sz w:val="18"/>
                <w:szCs w:val="18"/>
              </w:rPr>
              <w:t>)</w:t>
            </w:r>
          </w:p>
        </w:tc>
      </w:tr>
      <w:tr w:rsidR="00BE71B5" w:rsidRPr="00CE4E1F" w14:paraId="62ECAEE7"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F341160" w14:textId="77777777" w:rsidR="00BE71B5" w:rsidRPr="00CE4E1F" w:rsidRDefault="00BE71B5" w:rsidP="00742F09">
            <w:pPr>
              <w:spacing w:line="360" w:lineRule="auto"/>
              <w:ind w:firstLineChars="200" w:firstLine="360"/>
              <w:contextualSpacing/>
              <w:jc w:val="both"/>
              <w:rPr>
                <w:color w:val="000000"/>
                <w:sz w:val="18"/>
                <w:szCs w:val="18"/>
              </w:rPr>
            </w:pPr>
            <w:r w:rsidRPr="00CE4E1F">
              <w:rPr>
                <w:color w:val="000000"/>
                <w:sz w:val="18"/>
                <w:szCs w:val="18"/>
              </w:rPr>
              <w:t>Subtotal</w:t>
            </w:r>
          </w:p>
        </w:tc>
        <w:tc>
          <w:tcPr>
            <w:tcW w:w="3780" w:type="dxa"/>
            <w:tcBorders>
              <w:top w:val="nil"/>
              <w:left w:val="nil"/>
              <w:bottom w:val="single" w:sz="4" w:space="0" w:color="auto"/>
              <w:right w:val="single" w:sz="4" w:space="0" w:color="auto"/>
            </w:tcBorders>
            <w:shd w:val="clear" w:color="auto" w:fill="auto"/>
            <w:noWrap/>
            <w:hideMark/>
          </w:tcPr>
          <w:p w14:paraId="6B8B87FC" w14:textId="08267A97" w:rsidR="00BE71B5" w:rsidRPr="00CE4E1F" w:rsidRDefault="00683C62" w:rsidP="00742F09">
            <w:pPr>
              <w:spacing w:line="360" w:lineRule="auto"/>
              <w:contextualSpacing/>
              <w:jc w:val="both"/>
              <w:rPr>
                <w:color w:val="000000"/>
                <w:sz w:val="18"/>
                <w:szCs w:val="18"/>
              </w:rPr>
            </w:pPr>
            <w:r w:rsidRPr="00CE4E1F">
              <w:rPr>
                <w:color w:val="000000"/>
                <w:sz w:val="18"/>
                <w:szCs w:val="18"/>
              </w:rPr>
              <w:t>26</w:t>
            </w:r>
            <w:r w:rsidR="00BE71B5" w:rsidRPr="00CE4E1F">
              <w:rPr>
                <w:color w:val="000000"/>
                <w:sz w:val="18"/>
                <w:szCs w:val="18"/>
              </w:rPr>
              <w:t xml:space="preserve"> (2</w:t>
            </w:r>
            <w:r w:rsidRPr="00CE4E1F">
              <w:rPr>
                <w:color w:val="000000"/>
                <w:sz w:val="18"/>
                <w:szCs w:val="18"/>
              </w:rPr>
              <w:t>2</w:t>
            </w:r>
            <w:r w:rsidR="00BE71B5" w:rsidRPr="00CE4E1F">
              <w:rPr>
                <w:color w:val="000000"/>
                <w:sz w:val="18"/>
                <w:szCs w:val="18"/>
              </w:rPr>
              <w:t>.</w:t>
            </w:r>
            <w:r w:rsidR="00C61150" w:rsidRPr="00CE4E1F">
              <w:rPr>
                <w:color w:val="000000"/>
                <w:sz w:val="18"/>
                <w:szCs w:val="18"/>
              </w:rPr>
              <w:t>2</w:t>
            </w:r>
            <w:r w:rsidR="00BE71B5" w:rsidRPr="00CE4E1F">
              <w:rPr>
                <w:color w:val="000000"/>
                <w:sz w:val="18"/>
                <w:szCs w:val="18"/>
              </w:rPr>
              <w:t>)</w:t>
            </w:r>
          </w:p>
        </w:tc>
      </w:tr>
      <w:tr w:rsidR="00BE71B5" w:rsidRPr="00CE4E1F" w14:paraId="116EF2F5"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CFEC489" w14:textId="77777777" w:rsidR="00BE71B5" w:rsidRPr="00CE4E1F" w:rsidRDefault="00BE71B5" w:rsidP="00742F09">
            <w:pPr>
              <w:spacing w:line="360" w:lineRule="auto"/>
              <w:contextualSpacing/>
              <w:jc w:val="both"/>
              <w:rPr>
                <w:color w:val="000000"/>
                <w:sz w:val="18"/>
                <w:szCs w:val="18"/>
              </w:rPr>
            </w:pPr>
            <w:r w:rsidRPr="00CE4E1F">
              <w:rPr>
                <w:b/>
                <w:bCs/>
                <w:color w:val="000000"/>
                <w:sz w:val="18"/>
                <w:szCs w:val="18"/>
              </w:rPr>
              <w:t>WHO 2016 grade - no. (%)</w:t>
            </w:r>
          </w:p>
        </w:tc>
        <w:tc>
          <w:tcPr>
            <w:tcW w:w="3780" w:type="dxa"/>
            <w:tcBorders>
              <w:top w:val="nil"/>
              <w:left w:val="nil"/>
              <w:bottom w:val="single" w:sz="4" w:space="0" w:color="auto"/>
              <w:right w:val="single" w:sz="4" w:space="0" w:color="auto"/>
            </w:tcBorders>
            <w:shd w:val="clear" w:color="auto" w:fill="auto"/>
            <w:noWrap/>
            <w:hideMark/>
          </w:tcPr>
          <w:p w14:paraId="44C695D5" w14:textId="77777777" w:rsidR="00BE71B5" w:rsidRPr="00CE4E1F" w:rsidRDefault="00BE71B5" w:rsidP="00742F09">
            <w:pPr>
              <w:spacing w:line="360" w:lineRule="auto"/>
              <w:contextualSpacing/>
              <w:jc w:val="both"/>
              <w:rPr>
                <w:color w:val="000000"/>
                <w:sz w:val="18"/>
                <w:szCs w:val="18"/>
              </w:rPr>
            </w:pPr>
            <w:r w:rsidRPr="00CE4E1F">
              <w:rPr>
                <w:color w:val="000000"/>
                <w:sz w:val="18"/>
                <w:szCs w:val="18"/>
              </w:rPr>
              <w:t> </w:t>
            </w:r>
          </w:p>
        </w:tc>
      </w:tr>
      <w:tr w:rsidR="00BE71B5" w:rsidRPr="00CE4E1F" w14:paraId="6208BD2A"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86B6E07" w14:textId="77777777" w:rsidR="00BE71B5" w:rsidRPr="00CE4E1F" w:rsidRDefault="00BE71B5" w:rsidP="00742F09">
            <w:pPr>
              <w:spacing w:line="360" w:lineRule="auto"/>
              <w:contextualSpacing/>
              <w:jc w:val="both"/>
              <w:rPr>
                <w:b/>
                <w:bCs/>
                <w:color w:val="000000"/>
                <w:sz w:val="18"/>
                <w:szCs w:val="18"/>
              </w:rPr>
            </w:pPr>
            <w:r w:rsidRPr="00CE4E1F">
              <w:rPr>
                <w:color w:val="000000"/>
                <w:sz w:val="18"/>
                <w:szCs w:val="18"/>
              </w:rPr>
              <w:t xml:space="preserve">        1</w:t>
            </w:r>
          </w:p>
        </w:tc>
        <w:tc>
          <w:tcPr>
            <w:tcW w:w="3780" w:type="dxa"/>
            <w:tcBorders>
              <w:top w:val="nil"/>
              <w:left w:val="nil"/>
              <w:bottom w:val="single" w:sz="4" w:space="0" w:color="auto"/>
              <w:right w:val="single" w:sz="4" w:space="0" w:color="auto"/>
            </w:tcBorders>
            <w:shd w:val="clear" w:color="auto" w:fill="auto"/>
            <w:noWrap/>
            <w:hideMark/>
          </w:tcPr>
          <w:p w14:paraId="7C68F840" w14:textId="669F976E" w:rsidR="00BE71B5" w:rsidRPr="00CE4E1F" w:rsidRDefault="00683C62" w:rsidP="00742F09">
            <w:pPr>
              <w:spacing w:line="360" w:lineRule="auto"/>
              <w:contextualSpacing/>
              <w:jc w:val="both"/>
              <w:rPr>
                <w:color w:val="000000"/>
                <w:sz w:val="18"/>
                <w:szCs w:val="18"/>
              </w:rPr>
            </w:pPr>
            <w:r w:rsidRPr="00CE4E1F">
              <w:rPr>
                <w:color w:val="000000"/>
                <w:sz w:val="18"/>
                <w:szCs w:val="18"/>
              </w:rPr>
              <w:t>9</w:t>
            </w:r>
            <w:r w:rsidR="00E65ACD" w:rsidRPr="00CE4E1F">
              <w:rPr>
                <w:color w:val="000000"/>
                <w:sz w:val="18"/>
                <w:szCs w:val="18"/>
              </w:rPr>
              <w:t>3</w:t>
            </w:r>
            <w:r w:rsidR="00BE71B5" w:rsidRPr="00CE4E1F">
              <w:rPr>
                <w:color w:val="000000"/>
                <w:sz w:val="18"/>
                <w:szCs w:val="18"/>
              </w:rPr>
              <w:t xml:space="preserve"> (8</w:t>
            </w:r>
            <w:r w:rsidR="00C61150" w:rsidRPr="00CE4E1F">
              <w:rPr>
                <w:color w:val="000000"/>
                <w:sz w:val="18"/>
                <w:szCs w:val="18"/>
              </w:rPr>
              <w:t>0</w:t>
            </w:r>
            <w:r w:rsidR="00BE71B5" w:rsidRPr="00CE4E1F">
              <w:rPr>
                <w:color w:val="000000"/>
                <w:sz w:val="18"/>
                <w:szCs w:val="18"/>
              </w:rPr>
              <w:t>.</w:t>
            </w:r>
            <w:r w:rsidR="00E65ACD" w:rsidRPr="00CE4E1F">
              <w:rPr>
                <w:color w:val="000000"/>
                <w:sz w:val="18"/>
                <w:szCs w:val="18"/>
              </w:rPr>
              <w:t>2</w:t>
            </w:r>
            <w:r w:rsidR="00BE71B5" w:rsidRPr="00CE4E1F">
              <w:rPr>
                <w:color w:val="000000"/>
                <w:sz w:val="18"/>
                <w:szCs w:val="18"/>
              </w:rPr>
              <w:t>)</w:t>
            </w:r>
          </w:p>
        </w:tc>
      </w:tr>
      <w:tr w:rsidR="00BE71B5" w:rsidRPr="00CE4E1F" w14:paraId="4E2171C1"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44DCF4D" w14:textId="77777777" w:rsidR="00BE71B5" w:rsidRPr="00CE4E1F" w:rsidRDefault="00BE71B5"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hideMark/>
          </w:tcPr>
          <w:p w14:paraId="381664AF" w14:textId="3B56C5DD" w:rsidR="00BE71B5" w:rsidRPr="00CE4E1F" w:rsidRDefault="00C61150" w:rsidP="00742F09">
            <w:pPr>
              <w:spacing w:line="360" w:lineRule="auto"/>
              <w:contextualSpacing/>
              <w:jc w:val="both"/>
              <w:rPr>
                <w:color w:val="000000"/>
                <w:sz w:val="18"/>
                <w:szCs w:val="18"/>
              </w:rPr>
            </w:pPr>
            <w:r w:rsidRPr="00CE4E1F">
              <w:rPr>
                <w:color w:val="000000"/>
                <w:sz w:val="18"/>
                <w:szCs w:val="18"/>
              </w:rPr>
              <w:t>20</w:t>
            </w:r>
            <w:r w:rsidR="00BE71B5" w:rsidRPr="00CE4E1F">
              <w:rPr>
                <w:color w:val="000000"/>
                <w:sz w:val="18"/>
                <w:szCs w:val="18"/>
              </w:rPr>
              <w:t xml:space="preserve"> (1</w:t>
            </w:r>
            <w:r w:rsidRPr="00CE4E1F">
              <w:rPr>
                <w:color w:val="000000"/>
                <w:sz w:val="18"/>
                <w:szCs w:val="18"/>
              </w:rPr>
              <w:t>7</w:t>
            </w:r>
            <w:r w:rsidR="00BE71B5" w:rsidRPr="00CE4E1F">
              <w:rPr>
                <w:color w:val="000000"/>
                <w:sz w:val="18"/>
                <w:szCs w:val="18"/>
              </w:rPr>
              <w:t>.</w:t>
            </w:r>
            <w:r w:rsidR="00E65ACD" w:rsidRPr="00CE4E1F">
              <w:rPr>
                <w:color w:val="000000"/>
                <w:sz w:val="18"/>
                <w:szCs w:val="18"/>
              </w:rPr>
              <w:t>2</w:t>
            </w:r>
            <w:r w:rsidR="00BE71B5" w:rsidRPr="00CE4E1F">
              <w:rPr>
                <w:color w:val="000000"/>
                <w:sz w:val="18"/>
                <w:szCs w:val="18"/>
              </w:rPr>
              <w:t>)</w:t>
            </w:r>
          </w:p>
        </w:tc>
      </w:tr>
      <w:tr w:rsidR="00BE71B5" w:rsidRPr="00CE4E1F" w14:paraId="71204CB9"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415CD54" w14:textId="77777777" w:rsidR="00BE71B5" w:rsidRPr="00CE4E1F" w:rsidRDefault="00BE71B5"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hideMark/>
          </w:tcPr>
          <w:p w14:paraId="03731604" w14:textId="584B7555" w:rsidR="00BE71B5" w:rsidRPr="00CE4E1F" w:rsidRDefault="00683C62" w:rsidP="00742F09">
            <w:pPr>
              <w:spacing w:line="360" w:lineRule="auto"/>
              <w:contextualSpacing/>
              <w:jc w:val="both"/>
              <w:rPr>
                <w:color w:val="000000"/>
                <w:sz w:val="18"/>
                <w:szCs w:val="18"/>
              </w:rPr>
            </w:pPr>
            <w:r w:rsidRPr="00CE4E1F">
              <w:rPr>
                <w:color w:val="000000"/>
                <w:sz w:val="18"/>
                <w:szCs w:val="18"/>
              </w:rPr>
              <w:t>3</w:t>
            </w:r>
            <w:r w:rsidR="00BE71B5" w:rsidRPr="00CE4E1F">
              <w:rPr>
                <w:color w:val="000000"/>
                <w:sz w:val="18"/>
                <w:szCs w:val="18"/>
              </w:rPr>
              <w:t xml:space="preserve"> (</w:t>
            </w:r>
            <w:r w:rsidRPr="00CE4E1F">
              <w:rPr>
                <w:color w:val="000000"/>
                <w:sz w:val="18"/>
                <w:szCs w:val="18"/>
              </w:rPr>
              <w:t>2</w:t>
            </w:r>
            <w:r w:rsidR="00BE71B5" w:rsidRPr="00CE4E1F">
              <w:rPr>
                <w:color w:val="000000"/>
                <w:sz w:val="18"/>
                <w:szCs w:val="18"/>
              </w:rPr>
              <w:t>.</w:t>
            </w:r>
            <w:r w:rsidRPr="00CE4E1F">
              <w:rPr>
                <w:color w:val="000000"/>
                <w:sz w:val="18"/>
                <w:szCs w:val="18"/>
              </w:rPr>
              <w:t>6</w:t>
            </w:r>
            <w:r w:rsidR="00BE71B5" w:rsidRPr="00CE4E1F">
              <w:rPr>
                <w:color w:val="000000"/>
                <w:sz w:val="18"/>
                <w:szCs w:val="18"/>
              </w:rPr>
              <w:t>)</w:t>
            </w:r>
          </w:p>
        </w:tc>
      </w:tr>
      <w:tr w:rsidR="00234A82" w:rsidRPr="00CE4E1F" w14:paraId="70DE1CD3" w14:textId="77777777" w:rsidTr="00607ADC">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62822A3A" w14:textId="07795AAC" w:rsidR="00234A82" w:rsidRPr="00CE4E1F" w:rsidRDefault="00234A82" w:rsidP="00742F09">
            <w:pPr>
              <w:spacing w:line="360" w:lineRule="auto"/>
              <w:contextualSpacing/>
              <w:jc w:val="both"/>
              <w:rPr>
                <w:b/>
                <w:bCs/>
                <w:color w:val="000000"/>
                <w:sz w:val="18"/>
                <w:szCs w:val="18"/>
              </w:rPr>
            </w:pPr>
            <w:r>
              <w:rPr>
                <w:b/>
                <w:bCs/>
                <w:color w:val="000000"/>
                <w:sz w:val="18"/>
                <w:szCs w:val="18"/>
              </w:rPr>
              <w:t xml:space="preserve">Nanostring targeted gene expression profiling </w:t>
            </w:r>
            <w:r w:rsidRPr="00CE4E1F">
              <w:rPr>
                <w:b/>
                <w:bCs/>
                <w:color w:val="000000"/>
                <w:sz w:val="18"/>
                <w:szCs w:val="18"/>
              </w:rPr>
              <w:t>- no. (%)</w:t>
            </w:r>
          </w:p>
        </w:tc>
        <w:tc>
          <w:tcPr>
            <w:tcW w:w="3780" w:type="dxa"/>
            <w:tcBorders>
              <w:top w:val="nil"/>
              <w:left w:val="nil"/>
              <w:bottom w:val="single" w:sz="4" w:space="0" w:color="auto"/>
              <w:right w:val="single" w:sz="4" w:space="0" w:color="auto"/>
            </w:tcBorders>
            <w:shd w:val="clear" w:color="auto" w:fill="auto"/>
            <w:noWrap/>
          </w:tcPr>
          <w:p w14:paraId="369AEF61" w14:textId="7EAFAC78" w:rsidR="00234A82" w:rsidRPr="00CE4E1F" w:rsidRDefault="00234A82" w:rsidP="00742F09">
            <w:pPr>
              <w:spacing w:line="360" w:lineRule="auto"/>
              <w:contextualSpacing/>
              <w:jc w:val="both"/>
              <w:rPr>
                <w:color w:val="000000"/>
                <w:sz w:val="18"/>
                <w:szCs w:val="18"/>
              </w:rPr>
            </w:pPr>
            <w:r>
              <w:rPr>
                <w:color w:val="000000"/>
                <w:sz w:val="18"/>
                <w:szCs w:val="18"/>
              </w:rPr>
              <w:t>116 (100)</w:t>
            </w:r>
          </w:p>
        </w:tc>
      </w:tr>
      <w:tr w:rsidR="00BE71B5" w:rsidRPr="00CE4E1F" w14:paraId="7B938CD1"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7B16141" w14:textId="77777777" w:rsidR="00BE71B5" w:rsidRPr="00CE4E1F" w:rsidRDefault="00BE71B5" w:rsidP="00742F09">
            <w:pPr>
              <w:spacing w:line="360" w:lineRule="auto"/>
              <w:contextualSpacing/>
              <w:jc w:val="both"/>
              <w:rPr>
                <w:color w:val="000000"/>
                <w:sz w:val="18"/>
                <w:szCs w:val="18"/>
              </w:rPr>
            </w:pPr>
            <w:r w:rsidRPr="00CE4E1F">
              <w:rPr>
                <w:b/>
                <w:bCs/>
                <w:color w:val="000000"/>
                <w:sz w:val="18"/>
                <w:szCs w:val="18"/>
              </w:rPr>
              <w:t>Gene expression risk score - no. (%)</w:t>
            </w:r>
          </w:p>
        </w:tc>
        <w:tc>
          <w:tcPr>
            <w:tcW w:w="3780" w:type="dxa"/>
            <w:tcBorders>
              <w:top w:val="nil"/>
              <w:left w:val="nil"/>
              <w:bottom w:val="single" w:sz="4" w:space="0" w:color="auto"/>
              <w:right w:val="single" w:sz="4" w:space="0" w:color="auto"/>
            </w:tcBorders>
            <w:shd w:val="clear" w:color="auto" w:fill="auto"/>
            <w:noWrap/>
            <w:hideMark/>
          </w:tcPr>
          <w:p w14:paraId="4AECDAD2" w14:textId="77777777" w:rsidR="00BE71B5" w:rsidRPr="00CE4E1F" w:rsidRDefault="00BE71B5" w:rsidP="00742F09">
            <w:pPr>
              <w:spacing w:line="360" w:lineRule="auto"/>
              <w:contextualSpacing/>
              <w:jc w:val="both"/>
              <w:rPr>
                <w:color w:val="000000"/>
                <w:sz w:val="18"/>
                <w:szCs w:val="18"/>
              </w:rPr>
            </w:pPr>
          </w:p>
        </w:tc>
      </w:tr>
      <w:tr w:rsidR="00BE71B5" w:rsidRPr="00CE4E1F" w14:paraId="7115AF81"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668E28A8" w14:textId="77777777" w:rsidR="00BE71B5" w:rsidRPr="00CE4E1F" w:rsidRDefault="00BE71B5" w:rsidP="00742F09">
            <w:pPr>
              <w:spacing w:line="360" w:lineRule="auto"/>
              <w:contextualSpacing/>
              <w:jc w:val="both"/>
              <w:rPr>
                <w:color w:val="000000"/>
                <w:sz w:val="18"/>
                <w:szCs w:val="18"/>
              </w:rPr>
            </w:pPr>
            <w:r w:rsidRPr="00CE4E1F">
              <w:rPr>
                <w:color w:val="000000"/>
                <w:sz w:val="18"/>
                <w:szCs w:val="18"/>
              </w:rPr>
              <w:t xml:space="preserve">        </w:t>
            </w:r>
            <w:r w:rsidRPr="00CE4E1F">
              <w:rPr>
                <w:bCs/>
                <w:color w:val="000000"/>
                <w:sz w:val="18"/>
                <w:szCs w:val="18"/>
              </w:rPr>
              <w:t xml:space="preserve">Low </w:t>
            </w:r>
          </w:p>
        </w:tc>
        <w:tc>
          <w:tcPr>
            <w:tcW w:w="3780" w:type="dxa"/>
            <w:tcBorders>
              <w:top w:val="nil"/>
              <w:left w:val="nil"/>
              <w:bottom w:val="single" w:sz="4" w:space="0" w:color="auto"/>
              <w:right w:val="single" w:sz="4" w:space="0" w:color="auto"/>
            </w:tcBorders>
            <w:shd w:val="clear" w:color="auto" w:fill="auto"/>
            <w:noWrap/>
          </w:tcPr>
          <w:p w14:paraId="76BAA33F" w14:textId="291F6506" w:rsidR="00BE71B5" w:rsidRPr="00CE4E1F" w:rsidRDefault="00683C62" w:rsidP="00742F09">
            <w:pPr>
              <w:spacing w:line="360" w:lineRule="auto"/>
              <w:contextualSpacing/>
              <w:jc w:val="both"/>
              <w:rPr>
                <w:color w:val="000000"/>
                <w:sz w:val="18"/>
                <w:szCs w:val="18"/>
              </w:rPr>
            </w:pPr>
            <w:r w:rsidRPr="00CE4E1F">
              <w:rPr>
                <w:color w:val="000000"/>
                <w:sz w:val="18"/>
                <w:szCs w:val="18"/>
              </w:rPr>
              <w:t>3</w:t>
            </w:r>
            <w:r w:rsidR="00E65ACD" w:rsidRPr="00CE4E1F">
              <w:rPr>
                <w:color w:val="000000"/>
                <w:sz w:val="18"/>
                <w:szCs w:val="18"/>
              </w:rPr>
              <w:t>5</w:t>
            </w:r>
            <w:r w:rsidR="00BE71B5" w:rsidRPr="00CE4E1F">
              <w:rPr>
                <w:color w:val="000000"/>
                <w:sz w:val="18"/>
                <w:szCs w:val="18"/>
              </w:rPr>
              <w:t xml:space="preserve"> (3</w:t>
            </w:r>
            <w:r w:rsidR="00C61150" w:rsidRPr="00CE4E1F">
              <w:rPr>
                <w:color w:val="000000"/>
                <w:sz w:val="18"/>
                <w:szCs w:val="18"/>
              </w:rPr>
              <w:t>0</w:t>
            </w:r>
            <w:r w:rsidR="00BE71B5" w:rsidRPr="00CE4E1F">
              <w:rPr>
                <w:color w:val="000000"/>
                <w:sz w:val="18"/>
                <w:szCs w:val="18"/>
              </w:rPr>
              <w:t>.</w:t>
            </w:r>
            <w:r w:rsidR="00E65ACD" w:rsidRPr="00CE4E1F">
              <w:rPr>
                <w:color w:val="000000"/>
                <w:sz w:val="18"/>
                <w:szCs w:val="18"/>
              </w:rPr>
              <w:t>2</w:t>
            </w:r>
            <w:r w:rsidR="00BE71B5" w:rsidRPr="00CE4E1F">
              <w:rPr>
                <w:color w:val="000000"/>
                <w:sz w:val="18"/>
                <w:szCs w:val="18"/>
              </w:rPr>
              <w:t>)</w:t>
            </w:r>
          </w:p>
        </w:tc>
      </w:tr>
      <w:tr w:rsidR="00BE71B5" w:rsidRPr="00CE4E1F" w14:paraId="38F333C7"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67FADF5F" w14:textId="77777777" w:rsidR="00BE71B5" w:rsidRPr="00CE4E1F" w:rsidRDefault="00BE71B5" w:rsidP="00742F09">
            <w:pPr>
              <w:spacing w:line="360" w:lineRule="auto"/>
              <w:ind w:firstLineChars="200" w:firstLine="360"/>
              <w:contextualSpacing/>
              <w:jc w:val="both"/>
              <w:rPr>
                <w:color w:val="000000"/>
                <w:sz w:val="18"/>
                <w:szCs w:val="18"/>
              </w:rPr>
            </w:pPr>
            <w:r w:rsidRPr="00CE4E1F">
              <w:rPr>
                <w:bCs/>
                <w:color w:val="000000"/>
                <w:sz w:val="18"/>
                <w:szCs w:val="18"/>
              </w:rPr>
              <w:t xml:space="preserve">Intermediate </w:t>
            </w:r>
          </w:p>
        </w:tc>
        <w:tc>
          <w:tcPr>
            <w:tcW w:w="3780" w:type="dxa"/>
            <w:tcBorders>
              <w:top w:val="nil"/>
              <w:left w:val="nil"/>
              <w:bottom w:val="single" w:sz="4" w:space="0" w:color="auto"/>
              <w:right w:val="single" w:sz="4" w:space="0" w:color="auto"/>
            </w:tcBorders>
            <w:shd w:val="clear" w:color="auto" w:fill="auto"/>
            <w:noWrap/>
          </w:tcPr>
          <w:p w14:paraId="1E5834ED" w14:textId="3473590B" w:rsidR="00BE71B5" w:rsidRPr="00CE4E1F" w:rsidRDefault="00683C62" w:rsidP="00742F09">
            <w:pPr>
              <w:spacing w:line="360" w:lineRule="auto"/>
              <w:contextualSpacing/>
              <w:jc w:val="both"/>
              <w:rPr>
                <w:color w:val="000000"/>
                <w:sz w:val="18"/>
                <w:szCs w:val="18"/>
              </w:rPr>
            </w:pPr>
            <w:r w:rsidRPr="00CE4E1F">
              <w:rPr>
                <w:color w:val="000000"/>
                <w:sz w:val="18"/>
                <w:szCs w:val="18"/>
              </w:rPr>
              <w:t>61</w:t>
            </w:r>
            <w:r w:rsidR="00BE71B5" w:rsidRPr="00CE4E1F">
              <w:rPr>
                <w:color w:val="000000"/>
                <w:sz w:val="18"/>
                <w:szCs w:val="18"/>
              </w:rPr>
              <w:t xml:space="preserve"> (</w:t>
            </w:r>
            <w:r w:rsidRPr="00CE4E1F">
              <w:rPr>
                <w:color w:val="000000"/>
                <w:sz w:val="18"/>
                <w:szCs w:val="18"/>
              </w:rPr>
              <w:t>52</w:t>
            </w:r>
            <w:r w:rsidR="00BE71B5" w:rsidRPr="00CE4E1F">
              <w:rPr>
                <w:color w:val="000000"/>
                <w:sz w:val="18"/>
                <w:szCs w:val="18"/>
              </w:rPr>
              <w:t>.</w:t>
            </w:r>
            <w:r w:rsidR="00E65ACD" w:rsidRPr="00CE4E1F">
              <w:rPr>
                <w:color w:val="000000"/>
                <w:sz w:val="18"/>
                <w:szCs w:val="18"/>
              </w:rPr>
              <w:t>6</w:t>
            </w:r>
            <w:r w:rsidR="00BE71B5" w:rsidRPr="00CE4E1F">
              <w:rPr>
                <w:color w:val="000000"/>
                <w:sz w:val="18"/>
                <w:szCs w:val="18"/>
              </w:rPr>
              <w:t>)</w:t>
            </w:r>
          </w:p>
        </w:tc>
      </w:tr>
      <w:tr w:rsidR="00BE71B5" w:rsidRPr="00CE4E1F" w14:paraId="27E9CEF7"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65161E4D" w14:textId="77777777" w:rsidR="00BE71B5" w:rsidRPr="00CE4E1F" w:rsidRDefault="00BE71B5" w:rsidP="00742F09">
            <w:pPr>
              <w:spacing w:line="360" w:lineRule="auto"/>
              <w:ind w:firstLineChars="200" w:firstLine="360"/>
              <w:contextualSpacing/>
              <w:jc w:val="both"/>
              <w:rPr>
                <w:color w:val="000000"/>
                <w:sz w:val="18"/>
                <w:szCs w:val="18"/>
              </w:rPr>
            </w:pPr>
            <w:r w:rsidRPr="00CE4E1F">
              <w:rPr>
                <w:bCs/>
                <w:color w:val="000000"/>
                <w:sz w:val="18"/>
                <w:szCs w:val="18"/>
              </w:rPr>
              <w:t xml:space="preserve">High </w:t>
            </w:r>
          </w:p>
        </w:tc>
        <w:tc>
          <w:tcPr>
            <w:tcW w:w="3780" w:type="dxa"/>
            <w:tcBorders>
              <w:top w:val="nil"/>
              <w:left w:val="nil"/>
              <w:bottom w:val="single" w:sz="4" w:space="0" w:color="auto"/>
              <w:right w:val="single" w:sz="4" w:space="0" w:color="auto"/>
            </w:tcBorders>
            <w:shd w:val="clear" w:color="auto" w:fill="auto"/>
            <w:noWrap/>
          </w:tcPr>
          <w:p w14:paraId="1C9554FA" w14:textId="507517D0" w:rsidR="00BE71B5" w:rsidRPr="00CE4E1F" w:rsidRDefault="00C61150" w:rsidP="00742F09">
            <w:pPr>
              <w:spacing w:line="360" w:lineRule="auto"/>
              <w:contextualSpacing/>
              <w:jc w:val="both"/>
              <w:rPr>
                <w:color w:val="000000"/>
                <w:sz w:val="18"/>
                <w:szCs w:val="18"/>
              </w:rPr>
            </w:pPr>
            <w:r w:rsidRPr="00CE4E1F">
              <w:rPr>
                <w:color w:val="000000"/>
                <w:sz w:val="18"/>
                <w:szCs w:val="18"/>
              </w:rPr>
              <w:t>20</w:t>
            </w:r>
            <w:r w:rsidR="00BE71B5" w:rsidRPr="00CE4E1F">
              <w:rPr>
                <w:color w:val="000000"/>
                <w:sz w:val="18"/>
                <w:szCs w:val="18"/>
              </w:rPr>
              <w:t xml:space="preserve"> (1</w:t>
            </w:r>
            <w:r w:rsidRPr="00CE4E1F">
              <w:rPr>
                <w:color w:val="000000"/>
                <w:sz w:val="18"/>
                <w:szCs w:val="18"/>
              </w:rPr>
              <w:t>7</w:t>
            </w:r>
            <w:r w:rsidR="00BE71B5" w:rsidRPr="00CE4E1F">
              <w:rPr>
                <w:color w:val="000000"/>
                <w:sz w:val="18"/>
                <w:szCs w:val="18"/>
              </w:rPr>
              <w:t>.</w:t>
            </w:r>
            <w:r w:rsidR="00E65ACD" w:rsidRPr="00CE4E1F">
              <w:rPr>
                <w:color w:val="000000"/>
                <w:sz w:val="18"/>
                <w:szCs w:val="18"/>
              </w:rPr>
              <w:t>2</w:t>
            </w:r>
            <w:r w:rsidR="00BE71B5" w:rsidRPr="00CE4E1F">
              <w:rPr>
                <w:color w:val="000000"/>
                <w:sz w:val="18"/>
                <w:szCs w:val="18"/>
              </w:rPr>
              <w:t>)</w:t>
            </w:r>
          </w:p>
        </w:tc>
      </w:tr>
      <w:tr w:rsidR="00BE71B5" w:rsidRPr="00CE4E1F" w14:paraId="04859B7F"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FB5B2E5" w14:textId="77777777" w:rsidR="00BE71B5" w:rsidRPr="00CE4E1F" w:rsidRDefault="00BE71B5" w:rsidP="00742F09">
            <w:pPr>
              <w:spacing w:line="360" w:lineRule="auto"/>
              <w:contextualSpacing/>
              <w:jc w:val="both"/>
              <w:rPr>
                <w:color w:val="000000"/>
                <w:sz w:val="18"/>
                <w:szCs w:val="18"/>
              </w:rPr>
            </w:pPr>
            <w:r w:rsidRPr="00CE4E1F">
              <w:rPr>
                <w:b/>
                <w:bCs/>
                <w:color w:val="000000"/>
                <w:sz w:val="18"/>
                <w:szCs w:val="18"/>
              </w:rPr>
              <w:t>Postoperative radiotherapy - no. (%)</w:t>
            </w:r>
          </w:p>
        </w:tc>
        <w:tc>
          <w:tcPr>
            <w:tcW w:w="3780" w:type="dxa"/>
            <w:tcBorders>
              <w:top w:val="nil"/>
              <w:left w:val="nil"/>
              <w:bottom w:val="single" w:sz="4" w:space="0" w:color="auto"/>
              <w:right w:val="single" w:sz="4" w:space="0" w:color="auto"/>
            </w:tcBorders>
            <w:shd w:val="clear" w:color="auto" w:fill="auto"/>
            <w:noWrap/>
          </w:tcPr>
          <w:p w14:paraId="089CDAE1" w14:textId="7095F04E" w:rsidR="00BE71B5" w:rsidRPr="00CE4E1F" w:rsidRDefault="00D30BEF" w:rsidP="00742F09">
            <w:pPr>
              <w:spacing w:line="360" w:lineRule="auto"/>
              <w:contextualSpacing/>
              <w:jc w:val="both"/>
              <w:rPr>
                <w:color w:val="000000"/>
                <w:sz w:val="18"/>
                <w:szCs w:val="18"/>
              </w:rPr>
            </w:pPr>
            <w:r w:rsidRPr="00CE4E1F">
              <w:rPr>
                <w:color w:val="000000"/>
                <w:sz w:val="18"/>
                <w:szCs w:val="18"/>
              </w:rPr>
              <w:t xml:space="preserve">3 </w:t>
            </w:r>
            <w:r w:rsidR="00BE71B5" w:rsidRPr="00CE4E1F">
              <w:rPr>
                <w:color w:val="000000"/>
                <w:sz w:val="18"/>
                <w:szCs w:val="18"/>
              </w:rPr>
              <w:t>(</w:t>
            </w:r>
            <w:r w:rsidRPr="00CE4E1F">
              <w:rPr>
                <w:color w:val="000000"/>
                <w:sz w:val="18"/>
                <w:szCs w:val="18"/>
              </w:rPr>
              <w:t>2.6</w:t>
            </w:r>
            <w:r w:rsidR="00BE71B5" w:rsidRPr="00CE4E1F">
              <w:rPr>
                <w:color w:val="000000"/>
                <w:sz w:val="18"/>
                <w:szCs w:val="18"/>
              </w:rPr>
              <w:t>)</w:t>
            </w:r>
          </w:p>
        </w:tc>
      </w:tr>
      <w:tr w:rsidR="00BE71B5" w:rsidRPr="00CE4E1F" w14:paraId="2C161103"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4AAFBA1" w14:textId="1859FCAE" w:rsidR="00BE71B5" w:rsidRPr="00CE4E1F" w:rsidRDefault="00BE71B5" w:rsidP="00742F09">
            <w:pPr>
              <w:spacing w:line="360" w:lineRule="auto"/>
              <w:contextualSpacing/>
              <w:jc w:val="both"/>
              <w:rPr>
                <w:b/>
                <w:bCs/>
                <w:color w:val="000000"/>
                <w:sz w:val="18"/>
                <w:szCs w:val="18"/>
              </w:rPr>
            </w:pPr>
            <w:r w:rsidRPr="00CE4E1F">
              <w:rPr>
                <w:b/>
                <w:bCs/>
                <w:color w:val="000000"/>
                <w:sz w:val="18"/>
                <w:szCs w:val="18"/>
              </w:rPr>
              <w:t>Median follow up (IQR) - yr.*</w:t>
            </w:r>
          </w:p>
        </w:tc>
        <w:tc>
          <w:tcPr>
            <w:tcW w:w="3780" w:type="dxa"/>
            <w:tcBorders>
              <w:top w:val="nil"/>
              <w:left w:val="nil"/>
              <w:bottom w:val="single" w:sz="4" w:space="0" w:color="auto"/>
              <w:right w:val="single" w:sz="4" w:space="0" w:color="auto"/>
            </w:tcBorders>
            <w:shd w:val="clear" w:color="auto" w:fill="auto"/>
            <w:noWrap/>
            <w:hideMark/>
          </w:tcPr>
          <w:p w14:paraId="7E841492" w14:textId="3DC3A478" w:rsidR="00BE71B5" w:rsidRPr="00CE4E1F" w:rsidRDefault="00683C62" w:rsidP="00742F09">
            <w:pPr>
              <w:spacing w:line="360" w:lineRule="auto"/>
              <w:contextualSpacing/>
              <w:jc w:val="both"/>
              <w:rPr>
                <w:color w:val="000000"/>
                <w:sz w:val="18"/>
                <w:szCs w:val="18"/>
              </w:rPr>
            </w:pPr>
            <w:r w:rsidRPr="00CE4E1F">
              <w:rPr>
                <w:color w:val="000000"/>
                <w:sz w:val="18"/>
                <w:szCs w:val="18"/>
              </w:rPr>
              <w:t>3.4</w:t>
            </w:r>
            <w:r w:rsidR="00BE71B5" w:rsidRPr="00CE4E1F">
              <w:rPr>
                <w:color w:val="000000"/>
                <w:sz w:val="18"/>
                <w:szCs w:val="18"/>
              </w:rPr>
              <w:t xml:space="preserve"> (</w:t>
            </w:r>
            <w:r w:rsidRPr="00CE4E1F">
              <w:rPr>
                <w:color w:val="000000"/>
                <w:sz w:val="18"/>
                <w:szCs w:val="18"/>
              </w:rPr>
              <w:t>1.7</w:t>
            </w:r>
            <w:r w:rsidR="00BE71B5" w:rsidRPr="00CE4E1F">
              <w:rPr>
                <w:color w:val="000000"/>
                <w:sz w:val="18"/>
                <w:szCs w:val="18"/>
              </w:rPr>
              <w:t>-</w:t>
            </w:r>
            <w:r w:rsidRPr="00CE4E1F">
              <w:rPr>
                <w:color w:val="000000"/>
                <w:sz w:val="18"/>
                <w:szCs w:val="18"/>
              </w:rPr>
              <w:t>5</w:t>
            </w:r>
            <w:r w:rsidR="00BE71B5" w:rsidRPr="00CE4E1F">
              <w:rPr>
                <w:color w:val="000000"/>
                <w:sz w:val="18"/>
                <w:szCs w:val="18"/>
              </w:rPr>
              <w:t>.</w:t>
            </w:r>
            <w:r w:rsidRPr="00CE4E1F">
              <w:rPr>
                <w:color w:val="000000"/>
                <w:sz w:val="18"/>
                <w:szCs w:val="18"/>
              </w:rPr>
              <w:t>0</w:t>
            </w:r>
            <w:r w:rsidR="00BE71B5" w:rsidRPr="00CE4E1F">
              <w:rPr>
                <w:color w:val="000000"/>
                <w:sz w:val="18"/>
                <w:szCs w:val="18"/>
              </w:rPr>
              <w:t>)</w:t>
            </w:r>
          </w:p>
        </w:tc>
      </w:tr>
      <w:tr w:rsidR="00BE71B5" w:rsidRPr="00CE4E1F" w14:paraId="0D9838F5"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5977030" w14:textId="77777777" w:rsidR="00BE71B5" w:rsidRPr="00CE4E1F" w:rsidRDefault="00BE71B5" w:rsidP="00742F09">
            <w:pPr>
              <w:spacing w:line="360" w:lineRule="auto"/>
              <w:contextualSpacing/>
              <w:jc w:val="both"/>
              <w:rPr>
                <w:b/>
                <w:bCs/>
                <w:color w:val="000000"/>
                <w:sz w:val="18"/>
                <w:szCs w:val="18"/>
              </w:rPr>
            </w:pPr>
            <w:r w:rsidRPr="00CE4E1F">
              <w:rPr>
                <w:b/>
                <w:bCs/>
                <w:color w:val="000000"/>
                <w:sz w:val="18"/>
                <w:szCs w:val="18"/>
              </w:rPr>
              <w:t>Local recurrence - no. (%)</w:t>
            </w:r>
          </w:p>
        </w:tc>
        <w:tc>
          <w:tcPr>
            <w:tcW w:w="3780" w:type="dxa"/>
            <w:tcBorders>
              <w:top w:val="nil"/>
              <w:left w:val="nil"/>
              <w:bottom w:val="single" w:sz="4" w:space="0" w:color="auto"/>
              <w:right w:val="single" w:sz="4" w:space="0" w:color="auto"/>
            </w:tcBorders>
            <w:shd w:val="clear" w:color="auto" w:fill="auto"/>
            <w:noWrap/>
            <w:hideMark/>
          </w:tcPr>
          <w:p w14:paraId="7DB7C1F1" w14:textId="439ED144" w:rsidR="00BE71B5" w:rsidRPr="00CE4E1F" w:rsidRDefault="00C61150" w:rsidP="00742F09">
            <w:pPr>
              <w:spacing w:line="360" w:lineRule="auto"/>
              <w:contextualSpacing/>
              <w:jc w:val="both"/>
              <w:rPr>
                <w:color w:val="000000"/>
                <w:sz w:val="18"/>
                <w:szCs w:val="18"/>
              </w:rPr>
            </w:pPr>
            <w:r w:rsidRPr="00CE4E1F">
              <w:rPr>
                <w:color w:val="000000"/>
                <w:sz w:val="18"/>
                <w:szCs w:val="18"/>
              </w:rPr>
              <w:t>30</w:t>
            </w:r>
            <w:r w:rsidR="00BE71B5" w:rsidRPr="00CE4E1F">
              <w:rPr>
                <w:color w:val="000000"/>
                <w:sz w:val="18"/>
                <w:szCs w:val="18"/>
              </w:rPr>
              <w:t xml:space="preserve"> (2</w:t>
            </w:r>
            <w:r w:rsidR="00460C79" w:rsidRPr="00CE4E1F">
              <w:rPr>
                <w:color w:val="000000"/>
                <w:sz w:val="18"/>
                <w:szCs w:val="18"/>
              </w:rPr>
              <w:t>5.</w:t>
            </w:r>
            <w:r w:rsidRPr="00CE4E1F">
              <w:rPr>
                <w:color w:val="000000"/>
                <w:sz w:val="18"/>
                <w:szCs w:val="18"/>
              </w:rPr>
              <w:t>6</w:t>
            </w:r>
            <w:r w:rsidR="00BE71B5" w:rsidRPr="00CE4E1F">
              <w:rPr>
                <w:color w:val="000000"/>
                <w:sz w:val="18"/>
                <w:szCs w:val="18"/>
              </w:rPr>
              <w:t>)</w:t>
            </w:r>
          </w:p>
        </w:tc>
      </w:tr>
      <w:tr w:rsidR="00BE71B5" w:rsidRPr="00CE4E1F" w14:paraId="203F0E65"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3CDD2F7" w14:textId="77777777" w:rsidR="00BE71B5" w:rsidRPr="00CE4E1F" w:rsidRDefault="00BE71B5" w:rsidP="00742F09">
            <w:pPr>
              <w:spacing w:line="360" w:lineRule="auto"/>
              <w:contextualSpacing/>
              <w:jc w:val="both"/>
              <w:rPr>
                <w:b/>
                <w:bCs/>
                <w:color w:val="000000"/>
                <w:sz w:val="18"/>
                <w:szCs w:val="18"/>
              </w:rPr>
            </w:pPr>
            <w:r w:rsidRPr="00CE4E1F">
              <w:rPr>
                <w:b/>
                <w:bCs/>
                <w:color w:val="000000"/>
                <w:sz w:val="18"/>
                <w:szCs w:val="18"/>
              </w:rPr>
              <w:t>Death - no. (%)</w:t>
            </w:r>
          </w:p>
        </w:tc>
        <w:tc>
          <w:tcPr>
            <w:tcW w:w="3780" w:type="dxa"/>
            <w:tcBorders>
              <w:top w:val="nil"/>
              <w:left w:val="nil"/>
              <w:bottom w:val="single" w:sz="4" w:space="0" w:color="auto"/>
              <w:right w:val="single" w:sz="4" w:space="0" w:color="auto"/>
            </w:tcBorders>
            <w:shd w:val="clear" w:color="auto" w:fill="auto"/>
            <w:noWrap/>
            <w:hideMark/>
          </w:tcPr>
          <w:p w14:paraId="2A231DE8" w14:textId="6D01928C" w:rsidR="00BE71B5" w:rsidRPr="00CE4E1F" w:rsidRDefault="00C61150" w:rsidP="00742F09">
            <w:pPr>
              <w:spacing w:line="360" w:lineRule="auto"/>
              <w:contextualSpacing/>
              <w:jc w:val="both"/>
              <w:rPr>
                <w:color w:val="000000"/>
                <w:sz w:val="18"/>
                <w:szCs w:val="18"/>
              </w:rPr>
            </w:pPr>
            <w:r w:rsidRPr="00CE4E1F">
              <w:rPr>
                <w:color w:val="000000"/>
                <w:sz w:val="18"/>
                <w:szCs w:val="18"/>
              </w:rPr>
              <w:t>7</w:t>
            </w:r>
            <w:r w:rsidR="00BE71B5" w:rsidRPr="00CE4E1F">
              <w:rPr>
                <w:color w:val="000000"/>
                <w:sz w:val="18"/>
                <w:szCs w:val="18"/>
              </w:rPr>
              <w:t> </w:t>
            </w:r>
            <w:r w:rsidR="00460C79" w:rsidRPr="00CE4E1F">
              <w:rPr>
                <w:color w:val="000000"/>
                <w:sz w:val="18"/>
                <w:szCs w:val="18"/>
              </w:rPr>
              <w:t>(</w:t>
            </w:r>
            <w:r w:rsidRPr="00CE4E1F">
              <w:rPr>
                <w:color w:val="000000"/>
                <w:sz w:val="18"/>
                <w:szCs w:val="18"/>
              </w:rPr>
              <w:t>6</w:t>
            </w:r>
            <w:r w:rsidR="00460C79" w:rsidRPr="00CE4E1F">
              <w:rPr>
                <w:color w:val="000000"/>
                <w:sz w:val="18"/>
                <w:szCs w:val="18"/>
              </w:rPr>
              <w:t>.</w:t>
            </w:r>
            <w:r w:rsidRPr="00CE4E1F">
              <w:rPr>
                <w:color w:val="000000"/>
                <w:sz w:val="18"/>
                <w:szCs w:val="18"/>
              </w:rPr>
              <w:t>0</w:t>
            </w:r>
            <w:r w:rsidR="00460C79" w:rsidRPr="00CE4E1F">
              <w:rPr>
                <w:color w:val="000000"/>
                <w:sz w:val="18"/>
                <w:szCs w:val="18"/>
              </w:rPr>
              <w:t>)</w:t>
            </w:r>
          </w:p>
        </w:tc>
      </w:tr>
    </w:tbl>
    <w:p w14:paraId="05F21A27" w14:textId="2C7C79F2" w:rsidR="00BD76B8" w:rsidRPr="00CE4E1F" w:rsidRDefault="00460C79" w:rsidP="00742F09">
      <w:pPr>
        <w:widowControl w:val="0"/>
        <w:autoSpaceDE w:val="0"/>
        <w:autoSpaceDN w:val="0"/>
        <w:adjustRightInd w:val="0"/>
        <w:spacing w:line="360" w:lineRule="auto"/>
        <w:contextualSpacing/>
        <w:jc w:val="both"/>
        <w:rPr>
          <w:b/>
          <w:bCs/>
        </w:rPr>
      </w:pPr>
      <w:r w:rsidRPr="00CE4E1F">
        <w:rPr>
          <w:b/>
          <w:bCs/>
        </w:rPr>
        <w:t>*</w:t>
      </w:r>
      <w:r w:rsidRPr="00CE4E1F">
        <w:rPr>
          <w:bCs/>
        </w:rPr>
        <w:t>Estimated using the reverse Kaplan Meier method. Median clinical follow up time to survival events or censorship was 3.3 years. Median imaging follow up among patients without recurrence was 2.7 years. Median time to local recurrence was 2.</w:t>
      </w:r>
      <w:r w:rsidR="0098343D" w:rsidRPr="00CE4E1F">
        <w:rPr>
          <w:bCs/>
        </w:rPr>
        <w:t>4</w:t>
      </w:r>
      <w:r w:rsidRPr="00CE4E1F">
        <w:rPr>
          <w:bCs/>
        </w:rPr>
        <w:t xml:space="preserve"> years. Dates of surgery ranged between </w:t>
      </w:r>
      <w:r w:rsidR="0098343D" w:rsidRPr="00CE4E1F">
        <w:rPr>
          <w:bCs/>
        </w:rPr>
        <w:t>July</w:t>
      </w:r>
      <w:r w:rsidRPr="00CE4E1F">
        <w:rPr>
          <w:bCs/>
        </w:rPr>
        <w:t xml:space="preserve"> </w:t>
      </w:r>
      <w:r w:rsidR="0098343D" w:rsidRPr="00CE4E1F">
        <w:rPr>
          <w:bCs/>
        </w:rPr>
        <w:t>2012</w:t>
      </w:r>
      <w:r w:rsidRPr="00CE4E1F">
        <w:rPr>
          <w:bCs/>
        </w:rPr>
        <w:t xml:space="preserve"> and </w:t>
      </w:r>
      <w:r w:rsidR="0098343D" w:rsidRPr="00CE4E1F">
        <w:rPr>
          <w:bCs/>
        </w:rPr>
        <w:t>April</w:t>
      </w:r>
      <w:r w:rsidRPr="00CE4E1F">
        <w:rPr>
          <w:bCs/>
        </w:rPr>
        <w:t xml:space="preserve"> 201</w:t>
      </w:r>
      <w:r w:rsidR="0098343D" w:rsidRPr="00CE4E1F">
        <w:rPr>
          <w:bCs/>
        </w:rPr>
        <w:t>7</w:t>
      </w:r>
      <w:r w:rsidRPr="00CE4E1F">
        <w:rPr>
          <w:bCs/>
        </w:rPr>
        <w:t>.</w:t>
      </w:r>
      <w:r w:rsidR="00553069" w:rsidRPr="00CE4E1F">
        <w:rPr>
          <w:bCs/>
        </w:rPr>
        <w:t xml:space="preserve"> </w:t>
      </w:r>
      <w:r w:rsidR="00012E8C" w:rsidRPr="00CE4E1F">
        <w:rPr>
          <w:bCs/>
        </w:rPr>
        <w:t>Nucleic acids were extracted</w:t>
      </w:r>
      <w:r w:rsidR="00553069" w:rsidRPr="00CE4E1F">
        <w:rPr>
          <w:bCs/>
        </w:rPr>
        <w:t xml:space="preserve"> from frozen </w:t>
      </w:r>
      <w:r w:rsidR="00012E8C" w:rsidRPr="00CE4E1F">
        <w:rPr>
          <w:bCs/>
        </w:rPr>
        <w:t>meningiomas</w:t>
      </w:r>
      <w:r w:rsidR="00553069" w:rsidRPr="00CE4E1F">
        <w:rPr>
          <w:bCs/>
        </w:rPr>
        <w:t>.</w:t>
      </w:r>
      <w:r w:rsidR="00A03244" w:rsidRPr="00CE4E1F">
        <w:rPr>
          <w:bCs/>
        </w:rPr>
        <w:t xml:space="preserve"> </w:t>
      </w:r>
    </w:p>
    <w:p w14:paraId="26FD2CCD" w14:textId="123A5DC4" w:rsidR="005055A1" w:rsidRPr="00CE4E1F" w:rsidRDefault="009372AD" w:rsidP="00742F09">
      <w:pPr>
        <w:spacing w:line="360" w:lineRule="auto"/>
        <w:contextualSpacing/>
        <w:jc w:val="both"/>
        <w:rPr>
          <w:b/>
        </w:rPr>
      </w:pPr>
      <w:r>
        <w:rPr>
          <w:b/>
        </w:rPr>
        <w:br w:type="column"/>
      </w:r>
      <w:r w:rsidR="005055A1" w:rsidRPr="00CE4E1F">
        <w:rPr>
          <w:b/>
        </w:rPr>
        <w:lastRenderedPageBreak/>
        <w:t>Table S</w:t>
      </w:r>
      <w:r w:rsidR="00BD7064" w:rsidRPr="00CE4E1F">
        <w:rPr>
          <w:b/>
        </w:rPr>
        <w:t>9</w:t>
      </w:r>
      <w:r w:rsidR="005055A1" w:rsidRPr="00CE4E1F">
        <w:rPr>
          <w:b/>
        </w:rPr>
        <w:t xml:space="preserve">. University of Heidelberg </w:t>
      </w:r>
      <w:r w:rsidR="00D1020B">
        <w:rPr>
          <w:b/>
        </w:rPr>
        <w:t xml:space="preserve">and Medical University of Vienna </w:t>
      </w:r>
      <w:r w:rsidR="004A0554" w:rsidRPr="00CE4E1F">
        <w:rPr>
          <w:b/>
        </w:rPr>
        <w:t>clinical</w:t>
      </w:r>
      <w:r w:rsidR="00FA4FDE" w:rsidRPr="00CE4E1F">
        <w:rPr>
          <w:b/>
        </w:rPr>
        <w:t xml:space="preserve"> </w:t>
      </w:r>
      <w:r w:rsidR="005055A1" w:rsidRPr="00CE4E1F">
        <w:rPr>
          <w:b/>
        </w:rPr>
        <w:t>validation cohort characteristics.</w:t>
      </w:r>
    </w:p>
    <w:tbl>
      <w:tblPr>
        <w:tblW w:w="9355" w:type="dxa"/>
        <w:tblLook w:val="04A0" w:firstRow="1" w:lastRow="0" w:firstColumn="1" w:lastColumn="0" w:noHBand="0" w:noVBand="1"/>
      </w:tblPr>
      <w:tblGrid>
        <w:gridCol w:w="5575"/>
        <w:gridCol w:w="3780"/>
      </w:tblGrid>
      <w:tr w:rsidR="005055A1" w:rsidRPr="00CE4E1F" w14:paraId="4BA9188E" w14:textId="77777777" w:rsidTr="00234A82">
        <w:trPr>
          <w:trHeight w:val="320"/>
        </w:trPr>
        <w:tc>
          <w:tcPr>
            <w:tcW w:w="5575" w:type="dxa"/>
            <w:tcBorders>
              <w:top w:val="single" w:sz="4" w:space="0" w:color="auto"/>
              <w:left w:val="single" w:sz="4" w:space="0" w:color="auto"/>
              <w:bottom w:val="single" w:sz="4" w:space="0" w:color="auto"/>
              <w:right w:val="single" w:sz="4" w:space="0" w:color="auto"/>
            </w:tcBorders>
            <w:shd w:val="clear" w:color="auto" w:fill="auto"/>
            <w:noWrap/>
            <w:hideMark/>
          </w:tcPr>
          <w:p w14:paraId="59AC841F" w14:textId="77777777" w:rsidR="005055A1" w:rsidRPr="00CE4E1F" w:rsidRDefault="005055A1" w:rsidP="00742F09">
            <w:pPr>
              <w:spacing w:line="360" w:lineRule="auto"/>
              <w:contextualSpacing/>
              <w:jc w:val="both"/>
              <w:rPr>
                <w:color w:val="000000"/>
                <w:sz w:val="18"/>
                <w:szCs w:val="18"/>
              </w:rPr>
            </w:pPr>
            <w:r w:rsidRPr="00CE4E1F">
              <w:rPr>
                <w:b/>
                <w:bCs/>
                <w:color w:val="000000"/>
                <w:sz w:val="18"/>
                <w:szCs w:val="18"/>
              </w:rPr>
              <w:t>Meningiomas - no.</w:t>
            </w:r>
          </w:p>
        </w:tc>
        <w:tc>
          <w:tcPr>
            <w:tcW w:w="3780" w:type="dxa"/>
            <w:tcBorders>
              <w:top w:val="single" w:sz="4" w:space="0" w:color="auto"/>
              <w:left w:val="nil"/>
              <w:bottom w:val="single" w:sz="4" w:space="0" w:color="auto"/>
              <w:right w:val="single" w:sz="4" w:space="0" w:color="auto"/>
            </w:tcBorders>
            <w:shd w:val="clear" w:color="auto" w:fill="auto"/>
            <w:noWrap/>
            <w:hideMark/>
          </w:tcPr>
          <w:p w14:paraId="4A557653" w14:textId="5265CDF9" w:rsidR="005055A1" w:rsidRPr="00CE4E1F" w:rsidRDefault="00EC2775" w:rsidP="00742F09">
            <w:pPr>
              <w:spacing w:line="360" w:lineRule="auto"/>
              <w:contextualSpacing/>
              <w:jc w:val="both"/>
              <w:rPr>
                <w:bCs/>
                <w:color w:val="000000"/>
                <w:sz w:val="18"/>
                <w:szCs w:val="18"/>
              </w:rPr>
            </w:pPr>
            <w:r w:rsidRPr="00CE4E1F">
              <w:rPr>
                <w:bCs/>
                <w:color w:val="000000"/>
                <w:sz w:val="18"/>
                <w:szCs w:val="18"/>
              </w:rPr>
              <w:t>7</w:t>
            </w:r>
            <w:r w:rsidR="00686782" w:rsidRPr="00CE4E1F">
              <w:rPr>
                <w:bCs/>
                <w:color w:val="000000"/>
                <w:sz w:val="18"/>
                <w:szCs w:val="18"/>
              </w:rPr>
              <w:t>3</w:t>
            </w:r>
          </w:p>
        </w:tc>
      </w:tr>
      <w:tr w:rsidR="005055A1" w:rsidRPr="00CE4E1F" w14:paraId="2419B03C" w14:textId="77777777" w:rsidTr="00234A82">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DD7D90D" w14:textId="77777777" w:rsidR="005055A1" w:rsidRPr="00CE4E1F" w:rsidRDefault="005055A1" w:rsidP="00742F09">
            <w:pPr>
              <w:spacing w:line="360" w:lineRule="auto"/>
              <w:contextualSpacing/>
              <w:jc w:val="both"/>
              <w:rPr>
                <w:b/>
                <w:bCs/>
                <w:color w:val="000000"/>
                <w:sz w:val="18"/>
                <w:szCs w:val="18"/>
              </w:rPr>
            </w:pPr>
            <w:r w:rsidRPr="00CE4E1F">
              <w:rPr>
                <w:b/>
                <w:bCs/>
                <w:color w:val="000000"/>
                <w:sz w:val="18"/>
                <w:szCs w:val="18"/>
              </w:rPr>
              <w:t>Females - no. (%)</w:t>
            </w:r>
          </w:p>
        </w:tc>
        <w:tc>
          <w:tcPr>
            <w:tcW w:w="3780" w:type="dxa"/>
            <w:tcBorders>
              <w:top w:val="nil"/>
              <w:left w:val="nil"/>
              <w:bottom w:val="single" w:sz="4" w:space="0" w:color="auto"/>
              <w:right w:val="single" w:sz="4" w:space="0" w:color="auto"/>
            </w:tcBorders>
            <w:shd w:val="clear" w:color="auto" w:fill="auto"/>
            <w:noWrap/>
            <w:hideMark/>
          </w:tcPr>
          <w:p w14:paraId="0CAEAC6E" w14:textId="3829084F" w:rsidR="005055A1" w:rsidRPr="00CE4E1F" w:rsidRDefault="00EC2775" w:rsidP="00742F09">
            <w:pPr>
              <w:spacing w:line="360" w:lineRule="auto"/>
              <w:contextualSpacing/>
              <w:jc w:val="both"/>
              <w:rPr>
                <w:color w:val="000000"/>
                <w:sz w:val="18"/>
                <w:szCs w:val="18"/>
              </w:rPr>
            </w:pPr>
            <w:r w:rsidRPr="00CE4E1F">
              <w:rPr>
                <w:color w:val="000000"/>
                <w:sz w:val="18"/>
                <w:szCs w:val="18"/>
              </w:rPr>
              <w:t>5</w:t>
            </w:r>
            <w:r w:rsidR="00686782" w:rsidRPr="00CE4E1F">
              <w:rPr>
                <w:color w:val="000000"/>
                <w:sz w:val="18"/>
                <w:szCs w:val="18"/>
              </w:rPr>
              <w:t>6</w:t>
            </w:r>
            <w:r w:rsidR="005055A1" w:rsidRPr="00CE4E1F">
              <w:rPr>
                <w:color w:val="000000"/>
                <w:sz w:val="18"/>
                <w:szCs w:val="18"/>
              </w:rPr>
              <w:t xml:space="preserve"> (</w:t>
            </w:r>
            <w:r w:rsidRPr="00CE4E1F">
              <w:rPr>
                <w:color w:val="000000"/>
                <w:sz w:val="18"/>
                <w:szCs w:val="18"/>
              </w:rPr>
              <w:t>7</w:t>
            </w:r>
            <w:r w:rsidR="00686782" w:rsidRPr="00CE4E1F">
              <w:rPr>
                <w:color w:val="000000"/>
                <w:sz w:val="18"/>
                <w:szCs w:val="18"/>
              </w:rPr>
              <w:t>6</w:t>
            </w:r>
            <w:r w:rsidR="005055A1" w:rsidRPr="00CE4E1F">
              <w:rPr>
                <w:color w:val="000000"/>
                <w:sz w:val="18"/>
                <w:szCs w:val="18"/>
              </w:rPr>
              <w:t>.</w:t>
            </w:r>
            <w:r w:rsidR="00686782" w:rsidRPr="00CE4E1F">
              <w:rPr>
                <w:color w:val="000000"/>
                <w:sz w:val="18"/>
                <w:szCs w:val="18"/>
              </w:rPr>
              <w:t>7</w:t>
            </w:r>
            <w:r w:rsidR="005055A1" w:rsidRPr="00CE4E1F">
              <w:rPr>
                <w:color w:val="000000"/>
                <w:sz w:val="18"/>
                <w:szCs w:val="18"/>
              </w:rPr>
              <w:t>)</w:t>
            </w:r>
          </w:p>
        </w:tc>
      </w:tr>
      <w:tr w:rsidR="005055A1" w:rsidRPr="00CE4E1F" w14:paraId="25A81C48" w14:textId="77777777" w:rsidTr="00234A82">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6EE46E7" w14:textId="77777777" w:rsidR="005055A1" w:rsidRPr="00CE4E1F" w:rsidRDefault="005055A1" w:rsidP="00742F09">
            <w:pPr>
              <w:spacing w:line="360" w:lineRule="auto"/>
              <w:contextualSpacing/>
              <w:jc w:val="both"/>
              <w:rPr>
                <w:color w:val="000000"/>
                <w:sz w:val="18"/>
                <w:szCs w:val="18"/>
              </w:rPr>
            </w:pPr>
            <w:r w:rsidRPr="00CE4E1F">
              <w:rPr>
                <w:b/>
                <w:bCs/>
                <w:color w:val="000000"/>
                <w:sz w:val="18"/>
                <w:szCs w:val="18"/>
              </w:rPr>
              <w:t>WHO 2016 grade - no. (%)</w:t>
            </w:r>
          </w:p>
        </w:tc>
        <w:tc>
          <w:tcPr>
            <w:tcW w:w="3780" w:type="dxa"/>
            <w:tcBorders>
              <w:top w:val="nil"/>
              <w:left w:val="nil"/>
              <w:bottom w:val="single" w:sz="4" w:space="0" w:color="auto"/>
              <w:right w:val="single" w:sz="4" w:space="0" w:color="auto"/>
            </w:tcBorders>
            <w:shd w:val="clear" w:color="auto" w:fill="auto"/>
            <w:noWrap/>
            <w:hideMark/>
          </w:tcPr>
          <w:p w14:paraId="4E22BC8C" w14:textId="77777777" w:rsidR="005055A1" w:rsidRPr="00CE4E1F" w:rsidRDefault="005055A1" w:rsidP="00742F09">
            <w:pPr>
              <w:spacing w:line="360" w:lineRule="auto"/>
              <w:contextualSpacing/>
              <w:jc w:val="both"/>
              <w:rPr>
                <w:color w:val="000000"/>
                <w:sz w:val="18"/>
                <w:szCs w:val="18"/>
              </w:rPr>
            </w:pPr>
            <w:r w:rsidRPr="00CE4E1F">
              <w:rPr>
                <w:color w:val="000000"/>
                <w:sz w:val="18"/>
                <w:szCs w:val="18"/>
              </w:rPr>
              <w:t> </w:t>
            </w:r>
          </w:p>
        </w:tc>
      </w:tr>
      <w:tr w:rsidR="005055A1" w:rsidRPr="00CE4E1F" w14:paraId="00F43B23" w14:textId="77777777" w:rsidTr="00234A82">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D51AC54" w14:textId="77777777" w:rsidR="005055A1" w:rsidRPr="00CE4E1F" w:rsidRDefault="005055A1" w:rsidP="00742F09">
            <w:pPr>
              <w:spacing w:line="360" w:lineRule="auto"/>
              <w:contextualSpacing/>
              <w:jc w:val="both"/>
              <w:rPr>
                <w:b/>
                <w:bCs/>
                <w:color w:val="000000"/>
                <w:sz w:val="18"/>
                <w:szCs w:val="18"/>
              </w:rPr>
            </w:pPr>
            <w:r w:rsidRPr="00CE4E1F">
              <w:rPr>
                <w:color w:val="000000"/>
                <w:sz w:val="18"/>
                <w:szCs w:val="18"/>
              </w:rPr>
              <w:t xml:space="preserve">        1</w:t>
            </w:r>
          </w:p>
        </w:tc>
        <w:tc>
          <w:tcPr>
            <w:tcW w:w="3780" w:type="dxa"/>
            <w:tcBorders>
              <w:top w:val="nil"/>
              <w:left w:val="nil"/>
              <w:bottom w:val="single" w:sz="4" w:space="0" w:color="auto"/>
              <w:right w:val="single" w:sz="4" w:space="0" w:color="auto"/>
            </w:tcBorders>
            <w:shd w:val="clear" w:color="auto" w:fill="auto"/>
            <w:noWrap/>
            <w:hideMark/>
          </w:tcPr>
          <w:p w14:paraId="014CF8DF" w14:textId="74C6A0ED" w:rsidR="005055A1" w:rsidRPr="00CE4E1F" w:rsidRDefault="00EC2775" w:rsidP="00742F09">
            <w:pPr>
              <w:spacing w:line="360" w:lineRule="auto"/>
              <w:contextualSpacing/>
              <w:jc w:val="both"/>
              <w:rPr>
                <w:color w:val="000000"/>
                <w:sz w:val="18"/>
                <w:szCs w:val="18"/>
              </w:rPr>
            </w:pPr>
            <w:r w:rsidRPr="00CE4E1F">
              <w:rPr>
                <w:color w:val="000000"/>
                <w:sz w:val="18"/>
                <w:szCs w:val="18"/>
              </w:rPr>
              <w:t>2</w:t>
            </w:r>
            <w:r w:rsidR="00686782" w:rsidRPr="00CE4E1F">
              <w:rPr>
                <w:color w:val="000000"/>
                <w:sz w:val="18"/>
                <w:szCs w:val="18"/>
              </w:rPr>
              <w:t>7</w:t>
            </w:r>
            <w:r w:rsidR="005055A1" w:rsidRPr="00CE4E1F">
              <w:rPr>
                <w:color w:val="000000"/>
                <w:sz w:val="18"/>
                <w:szCs w:val="18"/>
              </w:rPr>
              <w:t xml:space="preserve"> (</w:t>
            </w:r>
            <w:r w:rsidR="001F1DA5" w:rsidRPr="00CE4E1F">
              <w:rPr>
                <w:color w:val="000000"/>
                <w:sz w:val="18"/>
                <w:szCs w:val="18"/>
              </w:rPr>
              <w:t>37.</w:t>
            </w:r>
            <w:r w:rsidR="00686782" w:rsidRPr="00CE4E1F">
              <w:rPr>
                <w:color w:val="000000"/>
                <w:sz w:val="18"/>
                <w:szCs w:val="18"/>
              </w:rPr>
              <w:t>0</w:t>
            </w:r>
            <w:r w:rsidR="005055A1" w:rsidRPr="00CE4E1F">
              <w:rPr>
                <w:color w:val="000000"/>
                <w:sz w:val="18"/>
                <w:szCs w:val="18"/>
              </w:rPr>
              <w:t>)</w:t>
            </w:r>
          </w:p>
        </w:tc>
      </w:tr>
      <w:tr w:rsidR="005055A1" w:rsidRPr="00CE4E1F" w14:paraId="38BF85C2" w14:textId="77777777" w:rsidTr="00234A82">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48D6311" w14:textId="77777777" w:rsidR="005055A1" w:rsidRPr="00CE4E1F" w:rsidRDefault="005055A1"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hideMark/>
          </w:tcPr>
          <w:p w14:paraId="2F1E4EBD" w14:textId="0318AA00" w:rsidR="005055A1" w:rsidRPr="00CE4E1F" w:rsidRDefault="00EC2775" w:rsidP="00742F09">
            <w:pPr>
              <w:spacing w:line="360" w:lineRule="auto"/>
              <w:contextualSpacing/>
              <w:jc w:val="both"/>
              <w:rPr>
                <w:color w:val="000000"/>
                <w:sz w:val="18"/>
                <w:szCs w:val="18"/>
              </w:rPr>
            </w:pPr>
            <w:r w:rsidRPr="00CE4E1F">
              <w:rPr>
                <w:color w:val="000000"/>
                <w:sz w:val="18"/>
                <w:szCs w:val="18"/>
              </w:rPr>
              <w:t>2</w:t>
            </w:r>
            <w:r w:rsidR="001F1DA5" w:rsidRPr="00CE4E1F">
              <w:rPr>
                <w:color w:val="000000"/>
                <w:sz w:val="18"/>
                <w:szCs w:val="18"/>
              </w:rPr>
              <w:t>9</w:t>
            </w:r>
            <w:r w:rsidR="005055A1" w:rsidRPr="00CE4E1F">
              <w:rPr>
                <w:color w:val="000000"/>
                <w:sz w:val="18"/>
                <w:szCs w:val="18"/>
              </w:rPr>
              <w:t xml:space="preserve"> (</w:t>
            </w:r>
            <w:r w:rsidR="001F1DA5" w:rsidRPr="00CE4E1F">
              <w:rPr>
                <w:color w:val="000000"/>
                <w:sz w:val="18"/>
                <w:szCs w:val="18"/>
              </w:rPr>
              <w:t>39</w:t>
            </w:r>
            <w:r w:rsidR="005055A1" w:rsidRPr="00CE4E1F">
              <w:rPr>
                <w:color w:val="000000"/>
                <w:sz w:val="18"/>
                <w:szCs w:val="18"/>
              </w:rPr>
              <w:t>.</w:t>
            </w:r>
            <w:r w:rsidR="00686782" w:rsidRPr="00CE4E1F">
              <w:rPr>
                <w:color w:val="000000"/>
                <w:sz w:val="18"/>
                <w:szCs w:val="18"/>
              </w:rPr>
              <w:t>7</w:t>
            </w:r>
            <w:r w:rsidR="005055A1" w:rsidRPr="00CE4E1F">
              <w:rPr>
                <w:color w:val="000000"/>
                <w:sz w:val="18"/>
                <w:szCs w:val="18"/>
              </w:rPr>
              <w:t>)</w:t>
            </w:r>
          </w:p>
        </w:tc>
      </w:tr>
      <w:tr w:rsidR="005055A1" w:rsidRPr="00CE4E1F" w14:paraId="6ED4F8FC" w14:textId="77777777" w:rsidTr="00234A82">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67B448C" w14:textId="77777777" w:rsidR="005055A1" w:rsidRPr="00CE4E1F" w:rsidRDefault="005055A1"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hideMark/>
          </w:tcPr>
          <w:p w14:paraId="62018194" w14:textId="643E65E4" w:rsidR="005055A1" w:rsidRPr="00CE4E1F" w:rsidRDefault="00EC2775" w:rsidP="00742F09">
            <w:pPr>
              <w:spacing w:line="360" w:lineRule="auto"/>
              <w:contextualSpacing/>
              <w:jc w:val="both"/>
              <w:rPr>
                <w:color w:val="000000"/>
                <w:sz w:val="18"/>
                <w:szCs w:val="18"/>
              </w:rPr>
            </w:pPr>
            <w:r w:rsidRPr="00CE4E1F">
              <w:rPr>
                <w:color w:val="000000"/>
                <w:sz w:val="18"/>
                <w:szCs w:val="18"/>
              </w:rPr>
              <w:t>1</w:t>
            </w:r>
            <w:r w:rsidR="001F1DA5" w:rsidRPr="00CE4E1F">
              <w:rPr>
                <w:color w:val="000000"/>
                <w:sz w:val="18"/>
                <w:szCs w:val="18"/>
              </w:rPr>
              <w:t>7</w:t>
            </w:r>
            <w:r w:rsidR="005055A1" w:rsidRPr="00CE4E1F">
              <w:rPr>
                <w:color w:val="000000"/>
                <w:sz w:val="18"/>
                <w:szCs w:val="18"/>
              </w:rPr>
              <w:t xml:space="preserve"> (</w:t>
            </w:r>
            <w:r w:rsidR="001F1DA5" w:rsidRPr="00CE4E1F">
              <w:rPr>
                <w:color w:val="000000"/>
                <w:sz w:val="18"/>
                <w:szCs w:val="18"/>
              </w:rPr>
              <w:t>2</w:t>
            </w:r>
            <w:r w:rsidR="005055A1" w:rsidRPr="00CE4E1F">
              <w:rPr>
                <w:color w:val="000000"/>
                <w:sz w:val="18"/>
                <w:szCs w:val="18"/>
              </w:rPr>
              <w:t>3.</w:t>
            </w:r>
            <w:r w:rsidR="00686782" w:rsidRPr="00CE4E1F">
              <w:rPr>
                <w:color w:val="000000"/>
                <w:sz w:val="18"/>
                <w:szCs w:val="18"/>
              </w:rPr>
              <w:t>3</w:t>
            </w:r>
            <w:r w:rsidR="005055A1" w:rsidRPr="00CE4E1F">
              <w:rPr>
                <w:color w:val="000000"/>
                <w:sz w:val="18"/>
                <w:szCs w:val="18"/>
              </w:rPr>
              <w:t>)</w:t>
            </w:r>
          </w:p>
        </w:tc>
      </w:tr>
      <w:tr w:rsidR="00234A82" w:rsidRPr="00CE4E1F" w14:paraId="2F098BFD" w14:textId="77777777" w:rsidTr="00607ADC">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051F2F64" w14:textId="53BC3C56" w:rsidR="00234A82" w:rsidRPr="00CE4E1F" w:rsidRDefault="00234A82" w:rsidP="00742F09">
            <w:pPr>
              <w:spacing w:line="360" w:lineRule="auto"/>
              <w:contextualSpacing/>
              <w:jc w:val="both"/>
              <w:rPr>
                <w:b/>
                <w:bCs/>
                <w:color w:val="000000"/>
                <w:sz w:val="18"/>
                <w:szCs w:val="18"/>
              </w:rPr>
            </w:pPr>
            <w:r>
              <w:rPr>
                <w:b/>
                <w:bCs/>
                <w:color w:val="000000"/>
                <w:sz w:val="18"/>
                <w:szCs w:val="18"/>
              </w:rPr>
              <w:t xml:space="preserve">Nanostring targeted gene expression profiling </w:t>
            </w:r>
            <w:r w:rsidRPr="00CE4E1F">
              <w:rPr>
                <w:b/>
                <w:bCs/>
                <w:color w:val="000000"/>
                <w:sz w:val="18"/>
                <w:szCs w:val="18"/>
              </w:rPr>
              <w:t>- no. (%)</w:t>
            </w:r>
          </w:p>
        </w:tc>
        <w:tc>
          <w:tcPr>
            <w:tcW w:w="3780" w:type="dxa"/>
            <w:tcBorders>
              <w:top w:val="nil"/>
              <w:left w:val="nil"/>
              <w:bottom w:val="single" w:sz="4" w:space="0" w:color="auto"/>
              <w:right w:val="single" w:sz="4" w:space="0" w:color="auto"/>
            </w:tcBorders>
            <w:shd w:val="clear" w:color="auto" w:fill="auto"/>
            <w:noWrap/>
          </w:tcPr>
          <w:p w14:paraId="1869D47D" w14:textId="6B932BAC" w:rsidR="00234A82" w:rsidRPr="00CE4E1F" w:rsidRDefault="00234A82" w:rsidP="00742F09">
            <w:pPr>
              <w:spacing w:line="360" w:lineRule="auto"/>
              <w:contextualSpacing/>
              <w:jc w:val="both"/>
              <w:rPr>
                <w:color w:val="000000"/>
                <w:sz w:val="18"/>
                <w:szCs w:val="18"/>
              </w:rPr>
            </w:pPr>
            <w:r>
              <w:rPr>
                <w:color w:val="000000"/>
                <w:sz w:val="18"/>
                <w:szCs w:val="18"/>
              </w:rPr>
              <w:t>73 (100)</w:t>
            </w:r>
          </w:p>
        </w:tc>
      </w:tr>
      <w:tr w:rsidR="005055A1" w:rsidRPr="00CE4E1F" w14:paraId="56C5EE46"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F11A936" w14:textId="77777777" w:rsidR="005055A1" w:rsidRPr="00CE4E1F" w:rsidRDefault="005055A1" w:rsidP="00742F09">
            <w:pPr>
              <w:spacing w:line="360" w:lineRule="auto"/>
              <w:contextualSpacing/>
              <w:jc w:val="both"/>
              <w:rPr>
                <w:color w:val="000000"/>
                <w:sz w:val="18"/>
                <w:szCs w:val="18"/>
              </w:rPr>
            </w:pPr>
            <w:r w:rsidRPr="00CE4E1F">
              <w:rPr>
                <w:b/>
                <w:bCs/>
                <w:color w:val="000000"/>
                <w:sz w:val="18"/>
                <w:szCs w:val="18"/>
              </w:rPr>
              <w:t>Gene expression risk score - no. (%)</w:t>
            </w:r>
          </w:p>
        </w:tc>
        <w:tc>
          <w:tcPr>
            <w:tcW w:w="3780" w:type="dxa"/>
            <w:tcBorders>
              <w:top w:val="nil"/>
              <w:left w:val="nil"/>
              <w:bottom w:val="single" w:sz="4" w:space="0" w:color="auto"/>
              <w:right w:val="single" w:sz="4" w:space="0" w:color="auto"/>
            </w:tcBorders>
            <w:shd w:val="clear" w:color="auto" w:fill="auto"/>
            <w:noWrap/>
            <w:hideMark/>
          </w:tcPr>
          <w:p w14:paraId="43956EBC" w14:textId="77777777" w:rsidR="005055A1" w:rsidRPr="00CE4E1F" w:rsidRDefault="005055A1" w:rsidP="00742F09">
            <w:pPr>
              <w:spacing w:line="360" w:lineRule="auto"/>
              <w:contextualSpacing/>
              <w:jc w:val="both"/>
              <w:rPr>
                <w:color w:val="000000"/>
                <w:sz w:val="18"/>
                <w:szCs w:val="18"/>
              </w:rPr>
            </w:pPr>
          </w:p>
        </w:tc>
      </w:tr>
      <w:tr w:rsidR="005055A1" w:rsidRPr="00CE4E1F" w14:paraId="47B98AC6"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0252D451" w14:textId="77777777" w:rsidR="005055A1" w:rsidRPr="00CE4E1F" w:rsidRDefault="005055A1" w:rsidP="00742F09">
            <w:pPr>
              <w:spacing w:line="360" w:lineRule="auto"/>
              <w:contextualSpacing/>
              <w:jc w:val="both"/>
              <w:rPr>
                <w:color w:val="000000"/>
                <w:sz w:val="18"/>
                <w:szCs w:val="18"/>
              </w:rPr>
            </w:pPr>
            <w:r w:rsidRPr="00CE4E1F">
              <w:rPr>
                <w:color w:val="000000"/>
                <w:sz w:val="18"/>
                <w:szCs w:val="18"/>
              </w:rPr>
              <w:t xml:space="preserve">        </w:t>
            </w:r>
            <w:r w:rsidRPr="00CE4E1F">
              <w:rPr>
                <w:bCs/>
                <w:color w:val="000000"/>
                <w:sz w:val="18"/>
                <w:szCs w:val="18"/>
              </w:rPr>
              <w:t xml:space="preserve">Low </w:t>
            </w:r>
          </w:p>
        </w:tc>
        <w:tc>
          <w:tcPr>
            <w:tcW w:w="3780" w:type="dxa"/>
            <w:tcBorders>
              <w:top w:val="nil"/>
              <w:left w:val="nil"/>
              <w:bottom w:val="single" w:sz="4" w:space="0" w:color="auto"/>
              <w:right w:val="single" w:sz="4" w:space="0" w:color="auto"/>
            </w:tcBorders>
            <w:shd w:val="clear" w:color="auto" w:fill="auto"/>
            <w:noWrap/>
          </w:tcPr>
          <w:p w14:paraId="3EA7D595" w14:textId="782C251A" w:rsidR="005055A1" w:rsidRPr="00CE4E1F" w:rsidRDefault="001F1DA5" w:rsidP="00742F09">
            <w:pPr>
              <w:spacing w:line="360" w:lineRule="auto"/>
              <w:contextualSpacing/>
              <w:jc w:val="both"/>
              <w:rPr>
                <w:color w:val="000000"/>
                <w:sz w:val="18"/>
                <w:szCs w:val="18"/>
              </w:rPr>
            </w:pPr>
            <w:r w:rsidRPr="00CE4E1F">
              <w:rPr>
                <w:color w:val="000000"/>
                <w:sz w:val="18"/>
                <w:szCs w:val="18"/>
              </w:rPr>
              <w:t>3</w:t>
            </w:r>
            <w:r w:rsidR="00686782" w:rsidRPr="00CE4E1F">
              <w:rPr>
                <w:color w:val="000000"/>
                <w:sz w:val="18"/>
                <w:szCs w:val="18"/>
              </w:rPr>
              <w:t>1</w:t>
            </w:r>
            <w:r w:rsidR="005055A1" w:rsidRPr="00CE4E1F">
              <w:rPr>
                <w:color w:val="000000"/>
                <w:sz w:val="18"/>
                <w:szCs w:val="18"/>
              </w:rPr>
              <w:t xml:space="preserve"> (</w:t>
            </w:r>
            <w:r w:rsidRPr="00CE4E1F">
              <w:rPr>
                <w:color w:val="000000"/>
                <w:sz w:val="18"/>
                <w:szCs w:val="18"/>
              </w:rPr>
              <w:t>4</w:t>
            </w:r>
            <w:r w:rsidR="00686782" w:rsidRPr="00CE4E1F">
              <w:rPr>
                <w:color w:val="000000"/>
                <w:sz w:val="18"/>
                <w:szCs w:val="18"/>
              </w:rPr>
              <w:t>2</w:t>
            </w:r>
            <w:r w:rsidRPr="00CE4E1F">
              <w:rPr>
                <w:color w:val="000000"/>
                <w:sz w:val="18"/>
                <w:szCs w:val="18"/>
              </w:rPr>
              <w:t>.</w:t>
            </w:r>
            <w:r w:rsidR="00686782" w:rsidRPr="00CE4E1F">
              <w:rPr>
                <w:color w:val="000000"/>
                <w:sz w:val="18"/>
                <w:szCs w:val="18"/>
              </w:rPr>
              <w:t>5</w:t>
            </w:r>
            <w:r w:rsidR="005055A1" w:rsidRPr="00CE4E1F">
              <w:rPr>
                <w:color w:val="000000"/>
                <w:sz w:val="18"/>
                <w:szCs w:val="18"/>
              </w:rPr>
              <w:t>)</w:t>
            </w:r>
          </w:p>
        </w:tc>
      </w:tr>
      <w:tr w:rsidR="005055A1" w:rsidRPr="00CE4E1F" w14:paraId="30A63786"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340DB003" w14:textId="77777777" w:rsidR="005055A1" w:rsidRPr="00CE4E1F" w:rsidRDefault="005055A1" w:rsidP="00742F09">
            <w:pPr>
              <w:spacing w:line="360" w:lineRule="auto"/>
              <w:ind w:firstLineChars="200" w:firstLine="360"/>
              <w:contextualSpacing/>
              <w:jc w:val="both"/>
              <w:rPr>
                <w:color w:val="000000"/>
                <w:sz w:val="18"/>
                <w:szCs w:val="18"/>
              </w:rPr>
            </w:pPr>
            <w:r w:rsidRPr="00CE4E1F">
              <w:rPr>
                <w:bCs/>
                <w:color w:val="000000"/>
                <w:sz w:val="18"/>
                <w:szCs w:val="18"/>
              </w:rPr>
              <w:t xml:space="preserve">Intermediate </w:t>
            </w:r>
          </w:p>
        </w:tc>
        <w:tc>
          <w:tcPr>
            <w:tcW w:w="3780" w:type="dxa"/>
            <w:tcBorders>
              <w:top w:val="nil"/>
              <w:left w:val="nil"/>
              <w:bottom w:val="single" w:sz="4" w:space="0" w:color="auto"/>
              <w:right w:val="single" w:sz="4" w:space="0" w:color="auto"/>
            </w:tcBorders>
            <w:shd w:val="clear" w:color="auto" w:fill="auto"/>
            <w:noWrap/>
          </w:tcPr>
          <w:p w14:paraId="0C263404" w14:textId="7DCE20CE" w:rsidR="005055A1" w:rsidRPr="00CE4E1F" w:rsidRDefault="001F1DA5" w:rsidP="00742F09">
            <w:pPr>
              <w:spacing w:line="360" w:lineRule="auto"/>
              <w:contextualSpacing/>
              <w:jc w:val="both"/>
              <w:rPr>
                <w:color w:val="000000"/>
                <w:sz w:val="18"/>
                <w:szCs w:val="18"/>
              </w:rPr>
            </w:pPr>
            <w:r w:rsidRPr="00CE4E1F">
              <w:rPr>
                <w:color w:val="000000"/>
                <w:sz w:val="18"/>
                <w:szCs w:val="18"/>
              </w:rPr>
              <w:t>27</w:t>
            </w:r>
            <w:r w:rsidR="005055A1" w:rsidRPr="00CE4E1F">
              <w:rPr>
                <w:color w:val="000000"/>
                <w:sz w:val="18"/>
                <w:szCs w:val="18"/>
              </w:rPr>
              <w:t xml:space="preserve"> (</w:t>
            </w:r>
            <w:r w:rsidRPr="00CE4E1F">
              <w:rPr>
                <w:color w:val="000000"/>
                <w:sz w:val="18"/>
                <w:szCs w:val="18"/>
              </w:rPr>
              <w:t>3</w:t>
            </w:r>
            <w:r w:rsidR="00686782" w:rsidRPr="00CE4E1F">
              <w:rPr>
                <w:color w:val="000000"/>
                <w:sz w:val="18"/>
                <w:szCs w:val="18"/>
              </w:rPr>
              <w:t>7</w:t>
            </w:r>
            <w:r w:rsidRPr="00CE4E1F">
              <w:rPr>
                <w:color w:val="000000"/>
                <w:sz w:val="18"/>
                <w:szCs w:val="18"/>
              </w:rPr>
              <w:t>.</w:t>
            </w:r>
            <w:r w:rsidR="00686782" w:rsidRPr="00CE4E1F">
              <w:rPr>
                <w:color w:val="000000"/>
                <w:sz w:val="18"/>
                <w:szCs w:val="18"/>
              </w:rPr>
              <w:t>0</w:t>
            </w:r>
            <w:r w:rsidR="005055A1" w:rsidRPr="00CE4E1F">
              <w:rPr>
                <w:color w:val="000000"/>
                <w:sz w:val="18"/>
                <w:szCs w:val="18"/>
              </w:rPr>
              <w:t>)</w:t>
            </w:r>
          </w:p>
        </w:tc>
      </w:tr>
      <w:tr w:rsidR="005055A1" w:rsidRPr="00CE4E1F" w14:paraId="3E0BB22B"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73ACE0C0" w14:textId="77777777" w:rsidR="005055A1" w:rsidRPr="00CE4E1F" w:rsidRDefault="005055A1" w:rsidP="00742F09">
            <w:pPr>
              <w:spacing w:line="360" w:lineRule="auto"/>
              <w:ind w:firstLineChars="200" w:firstLine="360"/>
              <w:contextualSpacing/>
              <w:jc w:val="both"/>
              <w:rPr>
                <w:color w:val="000000"/>
                <w:sz w:val="18"/>
                <w:szCs w:val="18"/>
              </w:rPr>
            </w:pPr>
            <w:r w:rsidRPr="00CE4E1F">
              <w:rPr>
                <w:bCs/>
                <w:color w:val="000000"/>
                <w:sz w:val="18"/>
                <w:szCs w:val="18"/>
              </w:rPr>
              <w:t xml:space="preserve">High </w:t>
            </w:r>
          </w:p>
        </w:tc>
        <w:tc>
          <w:tcPr>
            <w:tcW w:w="3780" w:type="dxa"/>
            <w:tcBorders>
              <w:top w:val="nil"/>
              <w:left w:val="nil"/>
              <w:bottom w:val="single" w:sz="4" w:space="0" w:color="auto"/>
              <w:right w:val="single" w:sz="4" w:space="0" w:color="auto"/>
            </w:tcBorders>
            <w:shd w:val="clear" w:color="auto" w:fill="auto"/>
            <w:noWrap/>
          </w:tcPr>
          <w:p w14:paraId="4A37141E" w14:textId="67CD870E" w:rsidR="005055A1" w:rsidRPr="00CE4E1F" w:rsidRDefault="001F1DA5" w:rsidP="00742F09">
            <w:pPr>
              <w:spacing w:line="360" w:lineRule="auto"/>
              <w:contextualSpacing/>
              <w:jc w:val="both"/>
              <w:rPr>
                <w:color w:val="000000"/>
                <w:sz w:val="18"/>
                <w:szCs w:val="18"/>
              </w:rPr>
            </w:pPr>
            <w:r w:rsidRPr="00CE4E1F">
              <w:rPr>
                <w:color w:val="000000"/>
                <w:sz w:val="18"/>
                <w:szCs w:val="18"/>
              </w:rPr>
              <w:t>15</w:t>
            </w:r>
            <w:r w:rsidR="005055A1" w:rsidRPr="00CE4E1F">
              <w:rPr>
                <w:color w:val="000000"/>
                <w:sz w:val="18"/>
                <w:szCs w:val="18"/>
              </w:rPr>
              <w:t xml:space="preserve"> (</w:t>
            </w:r>
            <w:r w:rsidRPr="00CE4E1F">
              <w:rPr>
                <w:color w:val="000000"/>
                <w:sz w:val="18"/>
                <w:szCs w:val="18"/>
              </w:rPr>
              <w:t>20</w:t>
            </w:r>
            <w:r w:rsidR="005055A1" w:rsidRPr="00CE4E1F">
              <w:rPr>
                <w:color w:val="000000"/>
                <w:sz w:val="18"/>
                <w:szCs w:val="18"/>
              </w:rPr>
              <w:t>.</w:t>
            </w:r>
            <w:r w:rsidR="00686782" w:rsidRPr="00CE4E1F">
              <w:rPr>
                <w:color w:val="000000"/>
                <w:sz w:val="18"/>
                <w:szCs w:val="18"/>
              </w:rPr>
              <w:t>5</w:t>
            </w:r>
            <w:r w:rsidR="005055A1" w:rsidRPr="00CE4E1F">
              <w:rPr>
                <w:color w:val="000000"/>
                <w:sz w:val="18"/>
                <w:szCs w:val="18"/>
              </w:rPr>
              <w:t>)</w:t>
            </w:r>
          </w:p>
        </w:tc>
      </w:tr>
      <w:tr w:rsidR="005055A1" w:rsidRPr="00CE4E1F" w14:paraId="59E38D48"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61BEEB58" w14:textId="77777777" w:rsidR="005055A1" w:rsidRPr="00CE4E1F" w:rsidRDefault="005055A1" w:rsidP="00742F09">
            <w:pPr>
              <w:spacing w:line="360" w:lineRule="auto"/>
              <w:contextualSpacing/>
              <w:jc w:val="both"/>
              <w:rPr>
                <w:color w:val="000000"/>
                <w:sz w:val="18"/>
                <w:szCs w:val="18"/>
              </w:rPr>
            </w:pPr>
            <w:r w:rsidRPr="00CE4E1F">
              <w:rPr>
                <w:b/>
                <w:bCs/>
                <w:color w:val="000000"/>
                <w:sz w:val="18"/>
                <w:szCs w:val="18"/>
              </w:rPr>
              <w:t>Postoperative radiotherapy - no. (%)</w:t>
            </w:r>
          </w:p>
        </w:tc>
        <w:tc>
          <w:tcPr>
            <w:tcW w:w="3780" w:type="dxa"/>
            <w:tcBorders>
              <w:top w:val="nil"/>
              <w:left w:val="nil"/>
              <w:bottom w:val="single" w:sz="4" w:space="0" w:color="auto"/>
              <w:right w:val="single" w:sz="4" w:space="0" w:color="auto"/>
            </w:tcBorders>
            <w:shd w:val="clear" w:color="auto" w:fill="auto"/>
            <w:noWrap/>
          </w:tcPr>
          <w:p w14:paraId="745772FF" w14:textId="1EE1AFC5" w:rsidR="005055A1" w:rsidRPr="00CE4E1F" w:rsidRDefault="001F1DA5" w:rsidP="00742F09">
            <w:pPr>
              <w:spacing w:line="360" w:lineRule="auto"/>
              <w:contextualSpacing/>
              <w:jc w:val="both"/>
              <w:rPr>
                <w:color w:val="000000"/>
                <w:sz w:val="18"/>
                <w:szCs w:val="18"/>
              </w:rPr>
            </w:pPr>
            <w:r w:rsidRPr="00CE4E1F">
              <w:rPr>
                <w:color w:val="000000"/>
                <w:sz w:val="18"/>
                <w:szCs w:val="18"/>
              </w:rPr>
              <w:t>25</w:t>
            </w:r>
            <w:r w:rsidR="005055A1" w:rsidRPr="00CE4E1F">
              <w:rPr>
                <w:color w:val="000000"/>
                <w:sz w:val="18"/>
                <w:szCs w:val="18"/>
              </w:rPr>
              <w:t xml:space="preserve"> (3</w:t>
            </w:r>
            <w:r w:rsidR="00686782" w:rsidRPr="00CE4E1F">
              <w:rPr>
                <w:color w:val="000000"/>
                <w:sz w:val="18"/>
                <w:szCs w:val="18"/>
              </w:rPr>
              <w:t>4</w:t>
            </w:r>
            <w:r w:rsidR="005055A1" w:rsidRPr="00CE4E1F">
              <w:rPr>
                <w:color w:val="000000"/>
                <w:sz w:val="18"/>
                <w:szCs w:val="18"/>
              </w:rPr>
              <w:t>.</w:t>
            </w:r>
            <w:r w:rsidR="00686782" w:rsidRPr="00CE4E1F">
              <w:rPr>
                <w:color w:val="000000"/>
                <w:sz w:val="18"/>
                <w:szCs w:val="18"/>
              </w:rPr>
              <w:t>2</w:t>
            </w:r>
            <w:r w:rsidR="005055A1" w:rsidRPr="00CE4E1F">
              <w:rPr>
                <w:color w:val="000000"/>
                <w:sz w:val="18"/>
                <w:szCs w:val="18"/>
              </w:rPr>
              <w:t>)</w:t>
            </w:r>
          </w:p>
        </w:tc>
      </w:tr>
      <w:tr w:rsidR="005055A1" w:rsidRPr="00CE4E1F" w14:paraId="123B66A9"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9AFEBAF" w14:textId="77777777" w:rsidR="005055A1" w:rsidRPr="00CE4E1F" w:rsidRDefault="005055A1" w:rsidP="00742F09">
            <w:pPr>
              <w:spacing w:line="360" w:lineRule="auto"/>
              <w:contextualSpacing/>
              <w:jc w:val="both"/>
              <w:rPr>
                <w:b/>
                <w:bCs/>
                <w:color w:val="000000"/>
                <w:sz w:val="18"/>
                <w:szCs w:val="18"/>
              </w:rPr>
            </w:pPr>
            <w:r w:rsidRPr="00CE4E1F">
              <w:rPr>
                <w:b/>
                <w:bCs/>
                <w:color w:val="000000"/>
                <w:sz w:val="18"/>
                <w:szCs w:val="18"/>
              </w:rPr>
              <w:t>Median follow up (IQR) - yr.*</w:t>
            </w:r>
          </w:p>
        </w:tc>
        <w:tc>
          <w:tcPr>
            <w:tcW w:w="3780" w:type="dxa"/>
            <w:tcBorders>
              <w:top w:val="nil"/>
              <w:left w:val="nil"/>
              <w:bottom w:val="single" w:sz="4" w:space="0" w:color="auto"/>
              <w:right w:val="single" w:sz="4" w:space="0" w:color="auto"/>
            </w:tcBorders>
            <w:shd w:val="clear" w:color="auto" w:fill="auto"/>
            <w:noWrap/>
            <w:hideMark/>
          </w:tcPr>
          <w:p w14:paraId="3CF15AF6" w14:textId="1476E91F" w:rsidR="005055A1" w:rsidRPr="00CE4E1F" w:rsidRDefault="001F1DA5" w:rsidP="00742F09">
            <w:pPr>
              <w:spacing w:line="360" w:lineRule="auto"/>
              <w:contextualSpacing/>
              <w:jc w:val="both"/>
              <w:rPr>
                <w:color w:val="000000"/>
                <w:sz w:val="18"/>
                <w:szCs w:val="18"/>
              </w:rPr>
            </w:pPr>
            <w:r w:rsidRPr="00CE4E1F">
              <w:rPr>
                <w:color w:val="000000"/>
                <w:sz w:val="18"/>
                <w:szCs w:val="18"/>
              </w:rPr>
              <w:t>2.5</w:t>
            </w:r>
            <w:r w:rsidR="005055A1" w:rsidRPr="00CE4E1F">
              <w:rPr>
                <w:color w:val="000000"/>
                <w:sz w:val="18"/>
                <w:szCs w:val="18"/>
              </w:rPr>
              <w:t xml:space="preserve"> (</w:t>
            </w:r>
            <w:r w:rsidRPr="00CE4E1F">
              <w:rPr>
                <w:color w:val="000000"/>
                <w:sz w:val="18"/>
                <w:szCs w:val="18"/>
              </w:rPr>
              <w:t>0.8</w:t>
            </w:r>
            <w:r w:rsidR="005055A1" w:rsidRPr="00CE4E1F">
              <w:rPr>
                <w:color w:val="000000"/>
                <w:sz w:val="18"/>
                <w:szCs w:val="18"/>
              </w:rPr>
              <w:t>-</w:t>
            </w:r>
            <w:r w:rsidRPr="00CE4E1F">
              <w:rPr>
                <w:color w:val="000000"/>
                <w:sz w:val="18"/>
                <w:szCs w:val="18"/>
              </w:rPr>
              <w:t>4</w:t>
            </w:r>
            <w:r w:rsidR="005055A1" w:rsidRPr="00CE4E1F">
              <w:rPr>
                <w:color w:val="000000"/>
                <w:sz w:val="18"/>
                <w:szCs w:val="18"/>
              </w:rPr>
              <w:t>.</w:t>
            </w:r>
            <w:r w:rsidRPr="00CE4E1F">
              <w:rPr>
                <w:color w:val="000000"/>
                <w:sz w:val="18"/>
                <w:szCs w:val="18"/>
              </w:rPr>
              <w:t>4</w:t>
            </w:r>
            <w:r w:rsidR="005055A1" w:rsidRPr="00CE4E1F">
              <w:rPr>
                <w:color w:val="000000"/>
                <w:sz w:val="18"/>
                <w:szCs w:val="18"/>
              </w:rPr>
              <w:t>)</w:t>
            </w:r>
          </w:p>
        </w:tc>
      </w:tr>
      <w:tr w:rsidR="005055A1" w:rsidRPr="00CE4E1F" w14:paraId="5E140ABD"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BDE2C54" w14:textId="77777777" w:rsidR="005055A1" w:rsidRPr="00CE4E1F" w:rsidRDefault="005055A1" w:rsidP="00742F09">
            <w:pPr>
              <w:spacing w:line="360" w:lineRule="auto"/>
              <w:contextualSpacing/>
              <w:jc w:val="both"/>
              <w:rPr>
                <w:b/>
                <w:bCs/>
                <w:color w:val="000000"/>
                <w:sz w:val="18"/>
                <w:szCs w:val="18"/>
              </w:rPr>
            </w:pPr>
            <w:r w:rsidRPr="00CE4E1F">
              <w:rPr>
                <w:b/>
                <w:bCs/>
                <w:color w:val="000000"/>
                <w:sz w:val="18"/>
                <w:szCs w:val="18"/>
              </w:rPr>
              <w:t>Local recurrence - no. (%)</w:t>
            </w:r>
          </w:p>
        </w:tc>
        <w:tc>
          <w:tcPr>
            <w:tcW w:w="3780" w:type="dxa"/>
            <w:tcBorders>
              <w:top w:val="nil"/>
              <w:left w:val="nil"/>
              <w:bottom w:val="single" w:sz="4" w:space="0" w:color="auto"/>
              <w:right w:val="single" w:sz="4" w:space="0" w:color="auto"/>
            </w:tcBorders>
            <w:shd w:val="clear" w:color="auto" w:fill="auto"/>
            <w:noWrap/>
            <w:hideMark/>
          </w:tcPr>
          <w:p w14:paraId="65573834" w14:textId="5320E046" w:rsidR="005055A1" w:rsidRPr="00CE4E1F" w:rsidRDefault="001F1DA5" w:rsidP="00742F09">
            <w:pPr>
              <w:spacing w:line="360" w:lineRule="auto"/>
              <w:contextualSpacing/>
              <w:jc w:val="both"/>
              <w:rPr>
                <w:color w:val="000000"/>
                <w:sz w:val="18"/>
                <w:szCs w:val="18"/>
              </w:rPr>
            </w:pPr>
            <w:r w:rsidRPr="00CE4E1F">
              <w:rPr>
                <w:color w:val="000000"/>
                <w:sz w:val="18"/>
                <w:szCs w:val="18"/>
              </w:rPr>
              <w:t>21</w:t>
            </w:r>
            <w:r w:rsidR="005055A1" w:rsidRPr="00CE4E1F">
              <w:rPr>
                <w:color w:val="000000"/>
                <w:sz w:val="18"/>
                <w:szCs w:val="18"/>
              </w:rPr>
              <w:t xml:space="preserve"> (</w:t>
            </w:r>
            <w:r w:rsidR="00907E9F" w:rsidRPr="00CE4E1F">
              <w:rPr>
                <w:color w:val="000000"/>
                <w:sz w:val="18"/>
                <w:szCs w:val="18"/>
              </w:rPr>
              <w:t>28.</w:t>
            </w:r>
            <w:r w:rsidR="00686782" w:rsidRPr="00CE4E1F">
              <w:rPr>
                <w:color w:val="000000"/>
                <w:sz w:val="18"/>
                <w:szCs w:val="18"/>
              </w:rPr>
              <w:t>8</w:t>
            </w:r>
            <w:r w:rsidR="005055A1" w:rsidRPr="00CE4E1F">
              <w:rPr>
                <w:color w:val="000000"/>
                <w:sz w:val="18"/>
                <w:szCs w:val="18"/>
              </w:rPr>
              <w:t>)</w:t>
            </w:r>
          </w:p>
        </w:tc>
      </w:tr>
      <w:tr w:rsidR="005055A1" w:rsidRPr="00CE4E1F" w14:paraId="44E2D92B" w14:textId="77777777" w:rsidTr="00635B44">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41ECEB6C" w14:textId="77777777" w:rsidR="005055A1" w:rsidRPr="00CE4E1F" w:rsidRDefault="005055A1" w:rsidP="00742F09">
            <w:pPr>
              <w:spacing w:line="360" w:lineRule="auto"/>
              <w:contextualSpacing/>
              <w:jc w:val="both"/>
              <w:rPr>
                <w:b/>
                <w:bCs/>
                <w:color w:val="000000"/>
                <w:sz w:val="18"/>
                <w:szCs w:val="18"/>
              </w:rPr>
            </w:pPr>
            <w:r w:rsidRPr="00CE4E1F">
              <w:rPr>
                <w:b/>
                <w:bCs/>
                <w:color w:val="000000"/>
                <w:sz w:val="18"/>
                <w:szCs w:val="18"/>
              </w:rPr>
              <w:t>Death - no. (%)</w:t>
            </w:r>
          </w:p>
        </w:tc>
        <w:tc>
          <w:tcPr>
            <w:tcW w:w="3780" w:type="dxa"/>
            <w:tcBorders>
              <w:top w:val="nil"/>
              <w:left w:val="nil"/>
              <w:bottom w:val="single" w:sz="4" w:space="0" w:color="auto"/>
              <w:right w:val="single" w:sz="4" w:space="0" w:color="auto"/>
            </w:tcBorders>
            <w:shd w:val="clear" w:color="auto" w:fill="auto"/>
            <w:noWrap/>
            <w:hideMark/>
          </w:tcPr>
          <w:p w14:paraId="39106441" w14:textId="2F48B0C0" w:rsidR="005055A1" w:rsidRPr="00CE4E1F" w:rsidRDefault="00907E9F" w:rsidP="00742F09">
            <w:pPr>
              <w:spacing w:line="360" w:lineRule="auto"/>
              <w:contextualSpacing/>
              <w:jc w:val="both"/>
              <w:rPr>
                <w:color w:val="000000"/>
                <w:sz w:val="18"/>
                <w:szCs w:val="18"/>
              </w:rPr>
            </w:pPr>
            <w:r w:rsidRPr="00CE4E1F">
              <w:rPr>
                <w:color w:val="000000"/>
                <w:sz w:val="18"/>
                <w:szCs w:val="18"/>
              </w:rPr>
              <w:t>18 (24.</w:t>
            </w:r>
            <w:r w:rsidR="00686782" w:rsidRPr="00CE4E1F">
              <w:rPr>
                <w:color w:val="000000"/>
                <w:sz w:val="18"/>
                <w:szCs w:val="18"/>
              </w:rPr>
              <w:t>7</w:t>
            </w:r>
            <w:r w:rsidRPr="00CE4E1F">
              <w:rPr>
                <w:color w:val="000000"/>
                <w:sz w:val="18"/>
                <w:szCs w:val="18"/>
              </w:rPr>
              <w:t>)</w:t>
            </w:r>
          </w:p>
        </w:tc>
      </w:tr>
    </w:tbl>
    <w:p w14:paraId="536E2B35" w14:textId="04D949A0" w:rsidR="00BD0CD5" w:rsidRPr="00CE4E1F" w:rsidRDefault="005055A1" w:rsidP="00742F09">
      <w:pPr>
        <w:spacing w:line="360" w:lineRule="auto"/>
        <w:contextualSpacing/>
        <w:jc w:val="both"/>
        <w:rPr>
          <w:bCs/>
        </w:rPr>
      </w:pPr>
      <w:r w:rsidRPr="00CE4E1F">
        <w:rPr>
          <w:b/>
          <w:bCs/>
        </w:rPr>
        <w:t>*</w:t>
      </w:r>
      <w:r w:rsidRPr="00CE4E1F">
        <w:rPr>
          <w:bCs/>
        </w:rPr>
        <w:t xml:space="preserve">Estimated using the reverse Kaplan Meier method. Median imaging follow up among patients without recurrence was </w:t>
      </w:r>
      <w:r w:rsidR="00907E9F" w:rsidRPr="00CE4E1F">
        <w:rPr>
          <w:bCs/>
        </w:rPr>
        <w:t>2</w:t>
      </w:r>
      <w:r w:rsidRPr="00CE4E1F">
        <w:rPr>
          <w:bCs/>
        </w:rPr>
        <w:t>.2 years. Median time to local recurrence was 1.</w:t>
      </w:r>
      <w:r w:rsidR="00907E9F" w:rsidRPr="00CE4E1F">
        <w:rPr>
          <w:bCs/>
        </w:rPr>
        <w:t>3</w:t>
      </w:r>
      <w:r w:rsidRPr="00CE4E1F">
        <w:rPr>
          <w:bCs/>
        </w:rPr>
        <w:t xml:space="preserve"> years. </w:t>
      </w:r>
      <w:r w:rsidR="0044275B" w:rsidRPr="00CE4E1F">
        <w:rPr>
          <w:bCs/>
        </w:rPr>
        <w:t>Nucleic acids were extracted from FFPE meningiomas.</w:t>
      </w:r>
      <w:r w:rsidR="00A03244" w:rsidRPr="00CE4E1F">
        <w:rPr>
          <w:bCs/>
        </w:rPr>
        <w:t xml:space="preserve"> </w:t>
      </w:r>
    </w:p>
    <w:p w14:paraId="5A64221C" w14:textId="0C768345" w:rsidR="00A12BB4" w:rsidRPr="00CE4E1F" w:rsidRDefault="004A0554" w:rsidP="00742F09">
      <w:pPr>
        <w:spacing w:line="360" w:lineRule="auto"/>
        <w:contextualSpacing/>
        <w:jc w:val="both"/>
        <w:rPr>
          <w:b/>
          <w:bCs/>
        </w:rPr>
      </w:pPr>
      <w:r w:rsidRPr="00CE4E1F">
        <w:rPr>
          <w:b/>
          <w:bCs/>
        </w:rPr>
        <w:br w:type="column"/>
      </w:r>
      <w:r w:rsidR="00A12BB4" w:rsidRPr="00CE4E1F">
        <w:rPr>
          <w:b/>
          <w:bCs/>
        </w:rPr>
        <w:lastRenderedPageBreak/>
        <w:t>Table S1</w:t>
      </w:r>
      <w:r w:rsidR="00E93081">
        <w:rPr>
          <w:b/>
          <w:bCs/>
        </w:rPr>
        <w:t>0</w:t>
      </w:r>
      <w:r w:rsidR="00A12BB4" w:rsidRPr="00CE4E1F">
        <w:rPr>
          <w:b/>
          <w:bCs/>
        </w:rPr>
        <w:t xml:space="preserve">. </w:t>
      </w:r>
      <w:r w:rsidR="00DD5DB3" w:rsidRPr="00234A82">
        <w:rPr>
          <w:b/>
          <w:bCs/>
        </w:rPr>
        <w:t xml:space="preserve">Multivariable Cox models </w:t>
      </w:r>
      <w:r w:rsidR="00607ADC" w:rsidRPr="00CE4E1F">
        <w:rPr>
          <w:b/>
          <w:bCs/>
        </w:rPr>
        <w:t xml:space="preserve">for </w:t>
      </w:r>
      <w:r w:rsidR="005625AD">
        <w:rPr>
          <w:b/>
          <w:bCs/>
        </w:rPr>
        <w:t>recurrence</w:t>
      </w:r>
      <w:r w:rsidR="00607ADC" w:rsidRPr="00CE4E1F">
        <w:rPr>
          <w:b/>
          <w:bCs/>
        </w:rPr>
        <w:t xml:space="preserve"> in </w:t>
      </w:r>
      <w:r w:rsidR="00DD5DB3" w:rsidRPr="00234A82">
        <w:rPr>
          <w:b/>
          <w:bCs/>
        </w:rPr>
        <w:t>clinical validation cohort meningiomas</w:t>
      </w:r>
      <w:r w:rsidR="00DD5DB3" w:rsidRPr="00CE4E1F">
        <w:rPr>
          <w:b/>
          <w:bCs/>
        </w:rPr>
        <w:t>.</w:t>
      </w:r>
    </w:p>
    <w:tbl>
      <w:tblPr>
        <w:tblW w:w="9350" w:type="dxa"/>
        <w:tblLook w:val="04A0" w:firstRow="1" w:lastRow="0" w:firstColumn="1" w:lastColumn="0" w:noHBand="0" w:noVBand="1"/>
      </w:tblPr>
      <w:tblGrid>
        <w:gridCol w:w="4148"/>
        <w:gridCol w:w="929"/>
        <w:gridCol w:w="1578"/>
        <w:gridCol w:w="1620"/>
        <w:gridCol w:w="1075"/>
      </w:tblGrid>
      <w:tr w:rsidR="0082553F" w:rsidRPr="00CE4E1F" w14:paraId="445140E2" w14:textId="77777777" w:rsidTr="00234A82">
        <w:trPr>
          <w:trHeight w:val="320"/>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0308C" w14:textId="59F6051B"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1, N=775</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66E35315" w14:textId="77777777"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HR - LF</w:t>
            </w:r>
          </w:p>
        </w:tc>
        <w:tc>
          <w:tcPr>
            <w:tcW w:w="1578" w:type="dxa"/>
            <w:tcBorders>
              <w:top w:val="single" w:sz="4" w:space="0" w:color="auto"/>
              <w:left w:val="nil"/>
              <w:bottom w:val="single" w:sz="4" w:space="0" w:color="auto"/>
              <w:right w:val="single" w:sz="4" w:space="0" w:color="auto"/>
            </w:tcBorders>
            <w:shd w:val="clear" w:color="auto" w:fill="auto"/>
            <w:noWrap/>
            <w:vAlign w:val="bottom"/>
            <w:hideMark/>
          </w:tcPr>
          <w:p w14:paraId="39F73FF2" w14:textId="77777777"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95% CI  - Lower</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5D5CEF4B" w14:textId="77777777"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95% CI - Upper</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14:paraId="5154FBEB" w14:textId="77777777"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P-value</w:t>
            </w:r>
          </w:p>
        </w:tc>
      </w:tr>
      <w:tr w:rsidR="0082553F" w:rsidRPr="00CE4E1F" w14:paraId="1A4F8F5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C33081F" w14:textId="4EFD623E"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4CCB8E4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1.57</w:t>
            </w:r>
          </w:p>
        </w:tc>
        <w:tc>
          <w:tcPr>
            <w:tcW w:w="1578" w:type="dxa"/>
            <w:tcBorders>
              <w:top w:val="nil"/>
              <w:left w:val="nil"/>
              <w:bottom w:val="single" w:sz="4" w:space="0" w:color="auto"/>
              <w:right w:val="single" w:sz="4" w:space="0" w:color="auto"/>
            </w:tcBorders>
            <w:shd w:val="clear" w:color="auto" w:fill="auto"/>
            <w:noWrap/>
            <w:vAlign w:val="bottom"/>
            <w:hideMark/>
          </w:tcPr>
          <w:p w14:paraId="381E7EA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1.41</w:t>
            </w:r>
          </w:p>
        </w:tc>
        <w:tc>
          <w:tcPr>
            <w:tcW w:w="1620" w:type="dxa"/>
            <w:tcBorders>
              <w:top w:val="nil"/>
              <w:left w:val="nil"/>
              <w:bottom w:val="single" w:sz="4" w:space="0" w:color="auto"/>
              <w:right w:val="single" w:sz="4" w:space="0" w:color="auto"/>
            </w:tcBorders>
            <w:shd w:val="clear" w:color="auto" w:fill="auto"/>
            <w:noWrap/>
            <w:vAlign w:val="bottom"/>
            <w:hideMark/>
          </w:tcPr>
          <w:p w14:paraId="04ECC6D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1.75</w:t>
            </w:r>
          </w:p>
        </w:tc>
        <w:tc>
          <w:tcPr>
            <w:tcW w:w="1075" w:type="dxa"/>
            <w:tcBorders>
              <w:top w:val="nil"/>
              <w:left w:val="nil"/>
              <w:bottom w:val="single" w:sz="4" w:space="0" w:color="auto"/>
              <w:right w:val="single" w:sz="4" w:space="0" w:color="auto"/>
            </w:tcBorders>
            <w:shd w:val="clear" w:color="auto" w:fill="auto"/>
            <w:noWrap/>
            <w:vAlign w:val="bottom"/>
            <w:hideMark/>
          </w:tcPr>
          <w:p w14:paraId="0A953CF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2.00E-16</w:t>
            </w:r>
          </w:p>
        </w:tc>
      </w:tr>
      <w:tr w:rsidR="0082553F" w:rsidRPr="00CE4E1F" w14:paraId="209B11D0"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939DEE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3C28506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2.32</w:t>
            </w:r>
          </w:p>
        </w:tc>
        <w:tc>
          <w:tcPr>
            <w:tcW w:w="1578" w:type="dxa"/>
            <w:tcBorders>
              <w:top w:val="nil"/>
              <w:left w:val="nil"/>
              <w:bottom w:val="single" w:sz="4" w:space="0" w:color="auto"/>
              <w:right w:val="single" w:sz="4" w:space="0" w:color="auto"/>
            </w:tcBorders>
            <w:shd w:val="clear" w:color="auto" w:fill="auto"/>
            <w:noWrap/>
            <w:vAlign w:val="bottom"/>
            <w:hideMark/>
          </w:tcPr>
          <w:p w14:paraId="71A06FC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1.77</w:t>
            </w:r>
          </w:p>
        </w:tc>
        <w:tc>
          <w:tcPr>
            <w:tcW w:w="1620" w:type="dxa"/>
            <w:tcBorders>
              <w:top w:val="nil"/>
              <w:left w:val="nil"/>
              <w:bottom w:val="single" w:sz="4" w:space="0" w:color="auto"/>
              <w:right w:val="single" w:sz="4" w:space="0" w:color="auto"/>
            </w:tcBorders>
            <w:shd w:val="clear" w:color="auto" w:fill="auto"/>
            <w:noWrap/>
            <w:vAlign w:val="bottom"/>
            <w:hideMark/>
          </w:tcPr>
          <w:p w14:paraId="32ED1DA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3.05</w:t>
            </w:r>
          </w:p>
        </w:tc>
        <w:tc>
          <w:tcPr>
            <w:tcW w:w="1075" w:type="dxa"/>
            <w:tcBorders>
              <w:top w:val="nil"/>
              <w:left w:val="nil"/>
              <w:bottom w:val="single" w:sz="4" w:space="0" w:color="auto"/>
              <w:right w:val="single" w:sz="4" w:space="0" w:color="auto"/>
            </w:tcBorders>
            <w:shd w:val="clear" w:color="auto" w:fill="auto"/>
            <w:noWrap/>
            <w:vAlign w:val="bottom"/>
            <w:hideMark/>
          </w:tcPr>
          <w:p w14:paraId="4D96788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1.43E-09</w:t>
            </w:r>
          </w:p>
        </w:tc>
      </w:tr>
      <w:tr w:rsidR="0082553F" w:rsidRPr="00CE4E1F" w14:paraId="0EFE9A5F"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8071D92" w14:textId="69AEC1A8"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44064F0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2.83</w:t>
            </w:r>
          </w:p>
        </w:tc>
        <w:tc>
          <w:tcPr>
            <w:tcW w:w="1578" w:type="dxa"/>
            <w:tcBorders>
              <w:top w:val="nil"/>
              <w:left w:val="nil"/>
              <w:bottom w:val="single" w:sz="4" w:space="0" w:color="auto"/>
              <w:right w:val="single" w:sz="4" w:space="0" w:color="auto"/>
            </w:tcBorders>
            <w:shd w:val="clear" w:color="auto" w:fill="auto"/>
            <w:noWrap/>
            <w:vAlign w:val="bottom"/>
            <w:hideMark/>
          </w:tcPr>
          <w:p w14:paraId="41132D2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2.05</w:t>
            </w:r>
          </w:p>
        </w:tc>
        <w:tc>
          <w:tcPr>
            <w:tcW w:w="1620" w:type="dxa"/>
            <w:tcBorders>
              <w:top w:val="nil"/>
              <w:left w:val="nil"/>
              <w:bottom w:val="single" w:sz="4" w:space="0" w:color="auto"/>
              <w:right w:val="single" w:sz="4" w:space="0" w:color="auto"/>
            </w:tcBorders>
            <w:shd w:val="clear" w:color="auto" w:fill="auto"/>
            <w:noWrap/>
            <w:vAlign w:val="bottom"/>
            <w:hideMark/>
          </w:tcPr>
          <w:p w14:paraId="17B7973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3.90</w:t>
            </w:r>
          </w:p>
        </w:tc>
        <w:tc>
          <w:tcPr>
            <w:tcW w:w="1075" w:type="dxa"/>
            <w:tcBorders>
              <w:top w:val="nil"/>
              <w:left w:val="nil"/>
              <w:bottom w:val="single" w:sz="4" w:space="0" w:color="auto"/>
              <w:right w:val="single" w:sz="4" w:space="0" w:color="auto"/>
            </w:tcBorders>
            <w:shd w:val="clear" w:color="auto" w:fill="auto"/>
            <w:noWrap/>
            <w:vAlign w:val="bottom"/>
            <w:hideMark/>
          </w:tcPr>
          <w:p w14:paraId="7932053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2.59E-10</w:t>
            </w:r>
          </w:p>
        </w:tc>
      </w:tr>
      <w:tr w:rsidR="0082553F" w:rsidRPr="00CE4E1F" w14:paraId="2B1E830A"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874F95D" w14:textId="704841C4"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1A8F503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1.34</w:t>
            </w:r>
          </w:p>
        </w:tc>
        <w:tc>
          <w:tcPr>
            <w:tcW w:w="1578" w:type="dxa"/>
            <w:tcBorders>
              <w:top w:val="nil"/>
              <w:left w:val="nil"/>
              <w:bottom w:val="single" w:sz="4" w:space="0" w:color="auto"/>
              <w:right w:val="single" w:sz="4" w:space="0" w:color="auto"/>
            </w:tcBorders>
            <w:shd w:val="clear" w:color="auto" w:fill="auto"/>
            <w:noWrap/>
            <w:vAlign w:val="bottom"/>
            <w:hideMark/>
          </w:tcPr>
          <w:p w14:paraId="0705D36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0.97</w:t>
            </w:r>
          </w:p>
        </w:tc>
        <w:tc>
          <w:tcPr>
            <w:tcW w:w="1620" w:type="dxa"/>
            <w:tcBorders>
              <w:top w:val="nil"/>
              <w:left w:val="nil"/>
              <w:bottom w:val="single" w:sz="4" w:space="0" w:color="auto"/>
              <w:right w:val="single" w:sz="4" w:space="0" w:color="auto"/>
            </w:tcBorders>
            <w:shd w:val="clear" w:color="auto" w:fill="auto"/>
            <w:noWrap/>
            <w:vAlign w:val="bottom"/>
            <w:hideMark/>
          </w:tcPr>
          <w:p w14:paraId="058C0CC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1.85</w:t>
            </w:r>
          </w:p>
        </w:tc>
        <w:tc>
          <w:tcPr>
            <w:tcW w:w="1075" w:type="dxa"/>
            <w:tcBorders>
              <w:top w:val="nil"/>
              <w:left w:val="nil"/>
              <w:bottom w:val="single" w:sz="4" w:space="0" w:color="auto"/>
              <w:right w:val="single" w:sz="4" w:space="0" w:color="auto"/>
            </w:tcBorders>
            <w:shd w:val="clear" w:color="auto" w:fill="auto"/>
            <w:noWrap/>
            <w:vAlign w:val="bottom"/>
            <w:hideMark/>
          </w:tcPr>
          <w:p w14:paraId="68D4146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0.0748</w:t>
            </w:r>
          </w:p>
        </w:tc>
      </w:tr>
      <w:tr w:rsidR="0082553F" w:rsidRPr="00CE4E1F" w14:paraId="44F88EE8"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C95DA25" w14:textId="1F0FE016"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2BDE8A2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1.15</w:t>
            </w:r>
          </w:p>
        </w:tc>
        <w:tc>
          <w:tcPr>
            <w:tcW w:w="1578" w:type="dxa"/>
            <w:tcBorders>
              <w:top w:val="nil"/>
              <w:left w:val="nil"/>
              <w:bottom w:val="single" w:sz="4" w:space="0" w:color="auto"/>
              <w:right w:val="single" w:sz="4" w:space="0" w:color="auto"/>
            </w:tcBorders>
            <w:shd w:val="clear" w:color="auto" w:fill="auto"/>
            <w:noWrap/>
            <w:vAlign w:val="bottom"/>
            <w:hideMark/>
          </w:tcPr>
          <w:p w14:paraId="13676D7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0.77</w:t>
            </w:r>
          </w:p>
        </w:tc>
        <w:tc>
          <w:tcPr>
            <w:tcW w:w="1620" w:type="dxa"/>
            <w:tcBorders>
              <w:top w:val="nil"/>
              <w:left w:val="nil"/>
              <w:bottom w:val="single" w:sz="4" w:space="0" w:color="auto"/>
              <w:right w:val="single" w:sz="4" w:space="0" w:color="auto"/>
            </w:tcBorders>
            <w:shd w:val="clear" w:color="auto" w:fill="auto"/>
            <w:noWrap/>
            <w:vAlign w:val="bottom"/>
            <w:hideMark/>
          </w:tcPr>
          <w:p w14:paraId="01DF198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1.73</w:t>
            </w:r>
          </w:p>
        </w:tc>
        <w:tc>
          <w:tcPr>
            <w:tcW w:w="1075" w:type="dxa"/>
            <w:tcBorders>
              <w:top w:val="nil"/>
              <w:left w:val="nil"/>
              <w:bottom w:val="single" w:sz="4" w:space="0" w:color="auto"/>
              <w:right w:val="single" w:sz="4" w:space="0" w:color="auto"/>
            </w:tcBorders>
            <w:shd w:val="clear" w:color="auto" w:fill="auto"/>
            <w:noWrap/>
            <w:vAlign w:val="bottom"/>
            <w:hideMark/>
          </w:tcPr>
          <w:p w14:paraId="66E39C8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0.4924</w:t>
            </w:r>
          </w:p>
        </w:tc>
      </w:tr>
      <w:tr w:rsidR="0082553F" w:rsidRPr="00CE4E1F" w14:paraId="75D113B8"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E8F3D0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28256B8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3E9B953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71B7C05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315A71E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110DC4D7"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0EE6164" w14:textId="12F9C4E9"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2, N=332</w:t>
            </w:r>
          </w:p>
        </w:tc>
        <w:tc>
          <w:tcPr>
            <w:tcW w:w="929" w:type="dxa"/>
            <w:tcBorders>
              <w:top w:val="nil"/>
              <w:left w:val="nil"/>
              <w:bottom w:val="single" w:sz="4" w:space="0" w:color="auto"/>
              <w:right w:val="single" w:sz="4" w:space="0" w:color="auto"/>
            </w:tcBorders>
            <w:shd w:val="clear" w:color="auto" w:fill="auto"/>
            <w:noWrap/>
            <w:vAlign w:val="bottom"/>
            <w:hideMark/>
          </w:tcPr>
          <w:p w14:paraId="041B3AB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23A8E61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218F9EC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1DCB086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4981C21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8451DC8" w14:textId="3F14646A"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6E946BE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1.60</w:t>
            </w:r>
          </w:p>
        </w:tc>
        <w:tc>
          <w:tcPr>
            <w:tcW w:w="1578" w:type="dxa"/>
            <w:tcBorders>
              <w:top w:val="nil"/>
              <w:left w:val="nil"/>
              <w:bottom w:val="single" w:sz="4" w:space="0" w:color="auto"/>
              <w:right w:val="single" w:sz="4" w:space="0" w:color="auto"/>
            </w:tcBorders>
            <w:shd w:val="clear" w:color="auto" w:fill="auto"/>
            <w:noWrap/>
            <w:vAlign w:val="bottom"/>
            <w:hideMark/>
          </w:tcPr>
          <w:p w14:paraId="4EFC6C7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1.30</w:t>
            </w:r>
          </w:p>
        </w:tc>
        <w:tc>
          <w:tcPr>
            <w:tcW w:w="1620" w:type="dxa"/>
            <w:tcBorders>
              <w:top w:val="nil"/>
              <w:left w:val="nil"/>
              <w:bottom w:val="single" w:sz="4" w:space="0" w:color="auto"/>
              <w:right w:val="single" w:sz="4" w:space="0" w:color="auto"/>
            </w:tcBorders>
            <w:shd w:val="clear" w:color="auto" w:fill="auto"/>
            <w:noWrap/>
            <w:vAlign w:val="bottom"/>
            <w:hideMark/>
          </w:tcPr>
          <w:p w14:paraId="44DABCB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1.97</w:t>
            </w:r>
          </w:p>
        </w:tc>
        <w:tc>
          <w:tcPr>
            <w:tcW w:w="1075" w:type="dxa"/>
            <w:tcBorders>
              <w:top w:val="nil"/>
              <w:left w:val="nil"/>
              <w:bottom w:val="single" w:sz="4" w:space="0" w:color="auto"/>
              <w:right w:val="single" w:sz="4" w:space="0" w:color="auto"/>
            </w:tcBorders>
            <w:shd w:val="clear" w:color="auto" w:fill="auto"/>
            <w:noWrap/>
            <w:vAlign w:val="bottom"/>
            <w:hideMark/>
          </w:tcPr>
          <w:p w14:paraId="1686B95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1.05E-05</w:t>
            </w:r>
          </w:p>
        </w:tc>
      </w:tr>
      <w:tr w:rsidR="0082553F" w:rsidRPr="00CE4E1F" w14:paraId="48086912"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1FF7A4C" w14:textId="1413A679" w:rsidR="0082553F" w:rsidRPr="00CE4E1F" w:rsidRDefault="00427B2D" w:rsidP="00742F09">
            <w:pPr>
              <w:spacing w:line="360" w:lineRule="auto"/>
              <w:contextualSpacing/>
              <w:jc w:val="both"/>
              <w:rPr>
                <w:color w:val="000000"/>
                <w:sz w:val="18"/>
                <w:szCs w:val="18"/>
              </w:rPr>
            </w:pPr>
            <w:r>
              <w:rPr>
                <w:color w:val="000000"/>
                <w:sz w:val="18"/>
                <w:szCs w:val="18"/>
              </w:rPr>
              <w:t>Integrated score</w:t>
            </w:r>
            <w:r w:rsidR="003C7905">
              <w:rPr>
                <w:color w:val="000000"/>
                <w:sz w:val="18"/>
                <w:szCs w:val="18"/>
              </w:rPr>
              <w:fldChar w:fldCharType="begin" w:fldLock="1"/>
            </w:r>
            <w:r w:rsidR="000F4EF5">
              <w:rPr>
                <w:color w:val="000000"/>
                <w:sz w:val="18"/>
                <w:szCs w:val="18"/>
              </w:rPr>
              <w:instrText>ADDIN CSL_CITATION {"citationItems":[{"id":"ITEM-1","itemData":{"DOI":"10.1200/JCO.21.00784","ISSN":"15277755","PMID":"34618539","abstract":"PURPOSE Meningiomas are the most frequent primary intracranial tumors. Patient outcome varies widely from benign to highly aggressive, ultimately fatal courses. Reliable identification of risk of progression for individual patients is of pivotal importance. However, only biomarkers for highly aggressive tumors are established (CDKN2A/B and TERT), whereas no molecularly based stratification exists for the broad spectrum of patients with low- and intermediate-risk meningioma. METHODS DNA methylation data and copy-number information were generated for 3,031 meningiomas (2,868 patients), and mutation data for 858 samples. DNA methylation subgroups, copy-number variations (CNVs), mutations, and WHO grading were analyzed. Prediction power for outcome was assessed in a retrospective cohort of 514 patients, validated on a retrospective cohort of 184, and on a prospective cohort of 287 multicenter cases. RESULTS Both CNV- and methylation family–based subgrouping independently resulted in increased prediction accuracy of risk of recurrence compared with the WHO classification (c-indexes WHO 2016, CNV, and methylation family 0.699, 0.706, and 0.721, respectively). Merging all risk stratification approaches into an integrated molecular-morphologic score resulted in further substantial increase in accuracy (c-index 0.744). This integrated score consistently provided superior accuracy in all three cohorts, significantly outperforming WHO grading (c-index difference P 5 .005). Besides the overall stratification advantage, the integrated score separates more precisely for risk of progression at the diagnostically challenging interface of WHO grade 1 and grade 2 tumors (hazard ratio 4.34 [2.48-7.57] and 3.34 [1.28-8.72] retrospective and prospective validation cohorts, respectively). CONCLUSION Merging these layers of histologic and molecular data into an integrated, three-tiered score significantly improves the precision in meningioma stratification. Implementation into diagnostic routine informs clinical decision making for patients with meningioma on the basis of robust outcome prediction.","author":[{"dropping-particle":"","family":"Maas","given":"Sybren L.N.","non-dropping-particle":"","parse-names":false,"suffix":""},{"dropping-particle":"","family":"Stichel","given":"Damian","non-dropping-particle":"","parse-names":false,"suffix":""},{"dropping-particle":"","family":"Hielscher","given":"Thomas","non-dropping-particle":"","parse-names":false,"suffix":""},{"dropping-particle":"","family":"Sievers","given":"Philipp","non-dropping-particle":"","parse-names":false,"suffix":""},{"dropping-particle":"","family":"Berghoff","given":"Anna S.","non-dropping-particle":"","parse-names":false,"suffix":""},{"dropping-particle":"","family":"Schrimpf","given":"Daniel","non-dropping-particle":"","parse-names":false,"suffix":""},{"dropping-particle":"","family":"Sill","given":"Martin","non-dropping-particle":"","parse-names":false,"suffix":""},{"dropping-particle":"","family":"Euskirchen","given":"Philipp","non-dropping-particle":"","parse-names":false,"suffix":""},{"dropping-particle":"","family":"Blume","given":"Christina","non-dropping-particle":"","parse-names":false,"suffix":""},{"dropping-particle":"","family":"Patel","given":"Areeba","non-dropping-particle":"","parse-names":false,"suffix":""},{"dropping-particle":"","family":"Dogan","given":"Helin","non-dropping-particle":"","parse-names":false,"suffix":""},{"dropping-particle":"","family":"Reuss","given":"David","non-dropping-particle":"","parse-names":false,"suffix":""},{"dropping-particle":"","family":"Dohmen","given":"Hildegard","non-dropping-particle":"","parse-names":false,"suffix":""},{"dropping-particle":"","family":"Stein","given":"Marco","non-dropping-particle":"","parse-names":false,"suffix":""},{"dropping-particle":"","family":"Reinhardt","given":"Annekathrin","non-dropping-particle":"","parse-names":false,"suffix":""},{"dropping-particle":"","family":"Suwala","given":"Abigail K.","non-dropping-particle":"","parse-names":false,"suffix":""},{"dropping-particle":"","family":"Wefers","given":"Annika K.","non-dropping-particle":"","parse-names":false,"suffix":""},{"dropping-particle":"","family":"Baumgarten","given":"Peter","non-dropping-particle":"","parse-names":false,"suffix":""},{"dropping-particle":"","family":"Ricklefs","given":"Franz","non-dropping-particle":"","parse-names":false,"suffix":""},{"dropping-particle":"","family":"Rushing","given":"Elisabeth J.","non-dropping-particle":"","parse-names":false,"suffix":""},{"dropping-particle":"","family":"Bewerunge-Hudler","given":"Melanie","non-dropping-particle":"","parse-names":false,"suffix":""},{"dropping-particle":"","family":"Ketter","given":"Ralf","non-dropping-particle":"","parse-names":false,"suffix":""},{"dropping-particle":"","family":"Schittenhelm","given":"Jens","non-dropping-particle":"","parse-names":false,"suffix":""},{"dropping-particle":"","family":"Jaunmuktane","given":"Zane","non-dropping-particle":"","parse-names":false,"suffix":""},{"dropping-particle":"","family":"Leu","given":"Severina","non-dropping-particle":"","parse-names":false,"suffix":""},{"dropping-particle":"","family":"Greenway","given":"Fay E.A.","non-dropping-particle":"","parse-names":false,"suffix":""},{"dropping-particle":"","family":"Bridges","given":"Leslie R.","non-dropping-particle":"","parse-names":false,"suffix":""},{"dropping-particle":"","family":"Jones","given":"Timothy","non-dropping-particle":"","parse-names":false,"suffix":""},{"dropping-particle":"","family":"Grady","given":"Conor","non-dropping-particle":"","parse-names":false,"suffix":""},{"dropping-particle":"","family":"Serrano","given":"Jonathan","non-dropping-particle":"","parse-names":false,"suffix":""},{"dropping-particle":"","family":"Golfinos","given":"John","non-dropping-particle":"","parse-names":false,"suffix":""},{"dropping-particle":"","family":"Sen","given":"Chandra","non-dropping-particle":"","parse-names":false,"suffix":""},{"dropping-particle":"","family":"Mawrin","given":"Christian","non-dropping-particle":"","parse-names":false,"suffix":""},{"dropping-particle":"","family":"Jungk","given":"Christine","non-dropping-particle":"","parse-names":false,"suffix":""},{"dropping-particle":"","family":"Hänggi","given":"Daniel","non-dropping-particle":"","parse-names":false,"suffix":""},{"dropping-particle":"","family":"Westphal","given":"Manfred","non-dropping-particle":"","parse-names":false,"suffix":""},{"dropping-particle":"","family":"Lamszus","given":"Katrin","non-dropping-particle":"","parse-names":false,"suffix":""},{"dropping-particle":"","family":"Etminan","given":"Nima","non-dropping-particle":"","parse-names":false,"suffix":""},{"dropping-particle":"","family":"Jungwirth","given":"Gerhard","non-dropping-particle":"","parse-names":false,"suffix":""},{"dropping-particle":"","family":"Herold-Mende","given":"Christel","non-dropping-particle":"","parse-names":false,"suffix":""},{"dropping-particle":"","family":"Unterberg","given":"Andreas","non-dropping-particle":"","parse-names":false,"suffix":""},{"dropping-particle":"","family":"Harter","given":"Patrick N.","non-dropping-particle":"","parse-names":false,"suffix":""},{"dropping-particle":"","family":"Wirsching","given":"Hans Georg","non-dropping-particle":"","parse-names":false,"suffix":""},{"dropping-particle":"","family":"Neidert","given":"Marian C.","non-dropping-particle":"","parse-names":false,"suffix":""},{"dropping-particle":"","family":"Ratliff","given":"Miriam","non-dropping-particle":"","parse-names":false,"suffix":""},{"dropping-particle":"","family":"Platten","given":"Michael","non-dropping-particle":"","parse-names":false,"suffix":""},{"dropping-particle":"","family":"Snuderl","given":"Matija","non-dropping-particle":"","parse-names":false,"suffix":""},{"dropping-particle":"","family":"Aldape","given":"Kenneth D.","non-dropping-particle":"","parse-names":false,"suffix":""},{"dropping-particle":"","family":"Brandner","given":"Sebastian","non-dropping-particle":"","parse-names":false,"suffix":""},{"dropping-particle":"","family":"Hench","given":"Jürgen","non-dropping-particle":"","parse-names":false,"suffix":""},{"dropping-particle":"","family":"Frank","given":"Stephan","non-dropping-particle":"","parse-names":false,"suffix":""},{"dropping-particle":"","family":"Pfister","given":"Stefan M.","non-dropping-particle":"","parse-names":false,"suffix":""},{"dropping-particle":"","family":"Jones","given":"David T.W.","non-dropping-particle":"","parse-names":false,"suffix":""},{"dropping-particle":"","family":"Reifenberger","given":"Guido","non-dropping-particle":"","parse-names":false,"suffix":""},{"dropping-particle":"","family":"Acker","given":"Till","non-dropping-particle":"","parse-names":false,"suffix":""},{"dropping-particle":"","family":"Wick","given":"Wolfgang","non-dropping-particle":"","parse-names":false,"suffix":""},{"dropping-particle":"","family":"Weller","given":"Michael","non-dropping-particle":"","parse-names":false,"suffix":""},{"dropping-particle":"","family":"Preusser","given":"Matthias","non-dropping-particle":"","parse-names":false,"suffix":""},{"dropping-particle":"","family":"Deimling","given":"Andreas","non-dropping-particle":"von","parse-names":false,"suffix":""},{"dropping-particle":"","family":"Sahm","given":"Felix","non-dropping-particle":"","parse-names":false,"suffix":""}],"container-title":"Journal of Clinical Oncology","id":"ITEM-1","issue":"34","issued":{"date-parts":[["2021"]]},"page":"3839-3852","title":"Integrated Molecular-Morphologic Meningioma Classification: A Multicenter Retrospective Analysis, Retrospectively and Prospectively Validated","type":"article-journal","volume":"39"},"uris":["http://www.mendeley.com/documents/?uuid=e2dece48-a886-43e5-8b02-ba8c8c168310"]}],"mendeley":{"formattedCitation":"&lt;sup&gt;17&lt;/sup&gt;","plainTextFormattedCitation":"17","previouslyFormattedCitation":"&lt;sup&gt;17&lt;/sup&gt;"},"properties":{"noteIndex":0},"schema":"https://github.com/citation-style-language/schema/raw/master/csl-citation.json"}</w:instrText>
            </w:r>
            <w:r w:rsidR="003C7905">
              <w:rPr>
                <w:color w:val="000000"/>
                <w:sz w:val="18"/>
                <w:szCs w:val="18"/>
              </w:rPr>
              <w:fldChar w:fldCharType="separate"/>
            </w:r>
            <w:r w:rsidR="000F4EF5" w:rsidRPr="000F4EF5">
              <w:rPr>
                <w:noProof/>
                <w:color w:val="000000"/>
                <w:sz w:val="18"/>
                <w:szCs w:val="18"/>
                <w:vertAlign w:val="superscript"/>
              </w:rPr>
              <w:t>17</w:t>
            </w:r>
            <w:r w:rsidR="003C7905">
              <w:rPr>
                <w:color w:val="000000"/>
                <w:sz w:val="18"/>
                <w:szCs w:val="18"/>
              </w:rPr>
              <w:fldChar w:fldCharType="end"/>
            </w:r>
            <w:r>
              <w:rPr>
                <w:color w:val="000000"/>
                <w:sz w:val="18"/>
                <w:szCs w:val="18"/>
              </w:rPr>
              <w:t xml:space="preserve"> (intermediate vs low)</w:t>
            </w:r>
          </w:p>
        </w:tc>
        <w:tc>
          <w:tcPr>
            <w:tcW w:w="929" w:type="dxa"/>
            <w:tcBorders>
              <w:top w:val="nil"/>
              <w:left w:val="nil"/>
              <w:bottom w:val="single" w:sz="4" w:space="0" w:color="auto"/>
              <w:right w:val="single" w:sz="4" w:space="0" w:color="auto"/>
            </w:tcBorders>
            <w:shd w:val="clear" w:color="auto" w:fill="auto"/>
            <w:noWrap/>
            <w:vAlign w:val="bottom"/>
            <w:hideMark/>
          </w:tcPr>
          <w:p w14:paraId="110360D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1.52</w:t>
            </w:r>
          </w:p>
        </w:tc>
        <w:tc>
          <w:tcPr>
            <w:tcW w:w="1578" w:type="dxa"/>
            <w:tcBorders>
              <w:top w:val="nil"/>
              <w:left w:val="nil"/>
              <w:bottom w:val="single" w:sz="4" w:space="0" w:color="auto"/>
              <w:right w:val="single" w:sz="4" w:space="0" w:color="auto"/>
            </w:tcBorders>
            <w:shd w:val="clear" w:color="auto" w:fill="auto"/>
            <w:noWrap/>
            <w:vAlign w:val="bottom"/>
            <w:hideMark/>
          </w:tcPr>
          <w:p w14:paraId="49A710E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0.80</w:t>
            </w:r>
          </w:p>
        </w:tc>
        <w:tc>
          <w:tcPr>
            <w:tcW w:w="1620" w:type="dxa"/>
            <w:tcBorders>
              <w:top w:val="nil"/>
              <w:left w:val="nil"/>
              <w:bottom w:val="single" w:sz="4" w:space="0" w:color="auto"/>
              <w:right w:val="single" w:sz="4" w:space="0" w:color="auto"/>
            </w:tcBorders>
            <w:shd w:val="clear" w:color="auto" w:fill="auto"/>
            <w:noWrap/>
            <w:vAlign w:val="bottom"/>
            <w:hideMark/>
          </w:tcPr>
          <w:p w14:paraId="293FCD2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2.87</w:t>
            </w:r>
          </w:p>
        </w:tc>
        <w:tc>
          <w:tcPr>
            <w:tcW w:w="1075" w:type="dxa"/>
            <w:tcBorders>
              <w:top w:val="nil"/>
              <w:left w:val="nil"/>
              <w:bottom w:val="single" w:sz="4" w:space="0" w:color="auto"/>
              <w:right w:val="single" w:sz="4" w:space="0" w:color="auto"/>
            </w:tcBorders>
            <w:shd w:val="clear" w:color="auto" w:fill="auto"/>
            <w:noWrap/>
            <w:vAlign w:val="bottom"/>
            <w:hideMark/>
          </w:tcPr>
          <w:p w14:paraId="0FAF02B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0.197963</w:t>
            </w:r>
          </w:p>
        </w:tc>
      </w:tr>
      <w:tr w:rsidR="0082553F" w:rsidRPr="00CE4E1F" w14:paraId="5AC9082F"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5B3A6AB" w14:textId="67FE66E0" w:rsidR="0082553F" w:rsidRPr="00CE4E1F" w:rsidRDefault="00427B2D" w:rsidP="00742F09">
            <w:pPr>
              <w:spacing w:line="360" w:lineRule="auto"/>
              <w:contextualSpacing/>
              <w:jc w:val="both"/>
              <w:rPr>
                <w:color w:val="000000"/>
                <w:sz w:val="18"/>
                <w:szCs w:val="18"/>
              </w:rPr>
            </w:pPr>
            <w:r>
              <w:rPr>
                <w:color w:val="000000"/>
                <w:sz w:val="18"/>
                <w:szCs w:val="18"/>
              </w:rPr>
              <w:t>Integrated score (high vs low)</w:t>
            </w:r>
          </w:p>
        </w:tc>
        <w:tc>
          <w:tcPr>
            <w:tcW w:w="929" w:type="dxa"/>
            <w:tcBorders>
              <w:top w:val="nil"/>
              <w:left w:val="nil"/>
              <w:bottom w:val="single" w:sz="4" w:space="0" w:color="auto"/>
              <w:right w:val="single" w:sz="4" w:space="0" w:color="auto"/>
            </w:tcBorders>
            <w:shd w:val="clear" w:color="auto" w:fill="auto"/>
            <w:noWrap/>
            <w:vAlign w:val="bottom"/>
            <w:hideMark/>
          </w:tcPr>
          <w:p w14:paraId="580D9A6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2.08</w:t>
            </w:r>
          </w:p>
        </w:tc>
        <w:tc>
          <w:tcPr>
            <w:tcW w:w="1578" w:type="dxa"/>
            <w:tcBorders>
              <w:top w:val="nil"/>
              <w:left w:val="nil"/>
              <w:bottom w:val="single" w:sz="4" w:space="0" w:color="auto"/>
              <w:right w:val="single" w:sz="4" w:space="0" w:color="auto"/>
            </w:tcBorders>
            <w:shd w:val="clear" w:color="auto" w:fill="auto"/>
            <w:noWrap/>
            <w:vAlign w:val="bottom"/>
            <w:hideMark/>
          </w:tcPr>
          <w:p w14:paraId="1CE948A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0.82</w:t>
            </w:r>
          </w:p>
        </w:tc>
        <w:tc>
          <w:tcPr>
            <w:tcW w:w="1620" w:type="dxa"/>
            <w:tcBorders>
              <w:top w:val="nil"/>
              <w:left w:val="nil"/>
              <w:bottom w:val="single" w:sz="4" w:space="0" w:color="auto"/>
              <w:right w:val="single" w:sz="4" w:space="0" w:color="auto"/>
            </w:tcBorders>
            <w:shd w:val="clear" w:color="auto" w:fill="auto"/>
            <w:noWrap/>
            <w:vAlign w:val="bottom"/>
            <w:hideMark/>
          </w:tcPr>
          <w:p w14:paraId="3C95AD8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5.29</w:t>
            </w:r>
          </w:p>
        </w:tc>
        <w:tc>
          <w:tcPr>
            <w:tcW w:w="1075" w:type="dxa"/>
            <w:tcBorders>
              <w:top w:val="nil"/>
              <w:left w:val="nil"/>
              <w:bottom w:val="single" w:sz="4" w:space="0" w:color="auto"/>
              <w:right w:val="single" w:sz="4" w:space="0" w:color="auto"/>
            </w:tcBorders>
            <w:shd w:val="clear" w:color="auto" w:fill="auto"/>
            <w:noWrap/>
            <w:vAlign w:val="bottom"/>
            <w:hideMark/>
          </w:tcPr>
          <w:p w14:paraId="552DD81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0.123746</w:t>
            </w:r>
          </w:p>
        </w:tc>
      </w:tr>
      <w:tr w:rsidR="0082553F" w:rsidRPr="00CE4E1F" w14:paraId="0C81BD3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D4BD4A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1129115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1.51</w:t>
            </w:r>
          </w:p>
        </w:tc>
        <w:tc>
          <w:tcPr>
            <w:tcW w:w="1578" w:type="dxa"/>
            <w:tcBorders>
              <w:top w:val="nil"/>
              <w:left w:val="nil"/>
              <w:bottom w:val="single" w:sz="4" w:space="0" w:color="auto"/>
              <w:right w:val="single" w:sz="4" w:space="0" w:color="auto"/>
            </w:tcBorders>
            <w:shd w:val="clear" w:color="auto" w:fill="auto"/>
            <w:noWrap/>
            <w:vAlign w:val="bottom"/>
            <w:hideMark/>
          </w:tcPr>
          <w:p w14:paraId="6F8BCD6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0.90</w:t>
            </w:r>
          </w:p>
        </w:tc>
        <w:tc>
          <w:tcPr>
            <w:tcW w:w="1620" w:type="dxa"/>
            <w:tcBorders>
              <w:top w:val="nil"/>
              <w:left w:val="nil"/>
              <w:bottom w:val="single" w:sz="4" w:space="0" w:color="auto"/>
              <w:right w:val="single" w:sz="4" w:space="0" w:color="auto"/>
            </w:tcBorders>
            <w:shd w:val="clear" w:color="auto" w:fill="auto"/>
            <w:noWrap/>
            <w:vAlign w:val="bottom"/>
            <w:hideMark/>
          </w:tcPr>
          <w:p w14:paraId="615430E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2.54</w:t>
            </w:r>
          </w:p>
        </w:tc>
        <w:tc>
          <w:tcPr>
            <w:tcW w:w="1075" w:type="dxa"/>
            <w:tcBorders>
              <w:top w:val="nil"/>
              <w:left w:val="nil"/>
              <w:bottom w:val="single" w:sz="4" w:space="0" w:color="auto"/>
              <w:right w:val="single" w:sz="4" w:space="0" w:color="auto"/>
            </w:tcBorders>
            <w:shd w:val="clear" w:color="auto" w:fill="auto"/>
            <w:noWrap/>
            <w:vAlign w:val="bottom"/>
            <w:hideMark/>
          </w:tcPr>
          <w:p w14:paraId="75E5D0A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0.12176</w:t>
            </w:r>
          </w:p>
        </w:tc>
      </w:tr>
      <w:tr w:rsidR="0082553F" w:rsidRPr="00CE4E1F" w14:paraId="7757F923"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8445286" w14:textId="25BD8654"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201EC85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2.72</w:t>
            </w:r>
          </w:p>
        </w:tc>
        <w:tc>
          <w:tcPr>
            <w:tcW w:w="1578" w:type="dxa"/>
            <w:tcBorders>
              <w:top w:val="nil"/>
              <w:left w:val="nil"/>
              <w:bottom w:val="single" w:sz="4" w:space="0" w:color="auto"/>
              <w:right w:val="single" w:sz="4" w:space="0" w:color="auto"/>
            </w:tcBorders>
            <w:shd w:val="clear" w:color="auto" w:fill="auto"/>
            <w:noWrap/>
            <w:vAlign w:val="bottom"/>
            <w:hideMark/>
          </w:tcPr>
          <w:p w14:paraId="57F81CB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1.55</w:t>
            </w:r>
          </w:p>
        </w:tc>
        <w:tc>
          <w:tcPr>
            <w:tcW w:w="1620" w:type="dxa"/>
            <w:tcBorders>
              <w:top w:val="nil"/>
              <w:left w:val="nil"/>
              <w:bottom w:val="single" w:sz="4" w:space="0" w:color="auto"/>
              <w:right w:val="single" w:sz="4" w:space="0" w:color="auto"/>
            </w:tcBorders>
            <w:shd w:val="clear" w:color="auto" w:fill="auto"/>
            <w:noWrap/>
            <w:vAlign w:val="bottom"/>
            <w:hideMark/>
          </w:tcPr>
          <w:p w14:paraId="6471E53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4.77</w:t>
            </w:r>
          </w:p>
        </w:tc>
        <w:tc>
          <w:tcPr>
            <w:tcW w:w="1075" w:type="dxa"/>
            <w:tcBorders>
              <w:top w:val="nil"/>
              <w:left w:val="nil"/>
              <w:bottom w:val="single" w:sz="4" w:space="0" w:color="auto"/>
              <w:right w:val="single" w:sz="4" w:space="0" w:color="auto"/>
            </w:tcBorders>
            <w:shd w:val="clear" w:color="auto" w:fill="auto"/>
            <w:noWrap/>
            <w:vAlign w:val="bottom"/>
            <w:hideMark/>
          </w:tcPr>
          <w:p w14:paraId="0073D8F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0.000466</w:t>
            </w:r>
          </w:p>
        </w:tc>
      </w:tr>
      <w:tr w:rsidR="0082553F" w:rsidRPr="00CE4E1F" w14:paraId="270FFAE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4FD9966" w14:textId="72D70E04"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0FF2897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1.41</w:t>
            </w:r>
          </w:p>
        </w:tc>
        <w:tc>
          <w:tcPr>
            <w:tcW w:w="1578" w:type="dxa"/>
            <w:tcBorders>
              <w:top w:val="nil"/>
              <w:left w:val="nil"/>
              <w:bottom w:val="single" w:sz="4" w:space="0" w:color="auto"/>
              <w:right w:val="single" w:sz="4" w:space="0" w:color="auto"/>
            </w:tcBorders>
            <w:shd w:val="clear" w:color="auto" w:fill="auto"/>
            <w:noWrap/>
            <w:vAlign w:val="bottom"/>
            <w:hideMark/>
          </w:tcPr>
          <w:p w14:paraId="668F6E0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0.77</w:t>
            </w:r>
          </w:p>
        </w:tc>
        <w:tc>
          <w:tcPr>
            <w:tcW w:w="1620" w:type="dxa"/>
            <w:tcBorders>
              <w:top w:val="nil"/>
              <w:left w:val="nil"/>
              <w:bottom w:val="single" w:sz="4" w:space="0" w:color="auto"/>
              <w:right w:val="single" w:sz="4" w:space="0" w:color="auto"/>
            </w:tcBorders>
            <w:shd w:val="clear" w:color="auto" w:fill="auto"/>
            <w:noWrap/>
            <w:vAlign w:val="bottom"/>
            <w:hideMark/>
          </w:tcPr>
          <w:p w14:paraId="277D8C7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2.60</w:t>
            </w:r>
          </w:p>
        </w:tc>
        <w:tc>
          <w:tcPr>
            <w:tcW w:w="1075" w:type="dxa"/>
            <w:tcBorders>
              <w:top w:val="nil"/>
              <w:left w:val="nil"/>
              <w:bottom w:val="single" w:sz="4" w:space="0" w:color="auto"/>
              <w:right w:val="single" w:sz="4" w:space="0" w:color="auto"/>
            </w:tcBorders>
            <w:shd w:val="clear" w:color="auto" w:fill="auto"/>
            <w:noWrap/>
            <w:vAlign w:val="bottom"/>
            <w:hideMark/>
          </w:tcPr>
          <w:p w14:paraId="16827D5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0.267862</w:t>
            </w:r>
          </w:p>
        </w:tc>
      </w:tr>
      <w:tr w:rsidR="0082553F" w:rsidRPr="00CE4E1F" w14:paraId="3E5B86F4"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B185604" w14:textId="3F41B6ED"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5FA8ADD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0.66</w:t>
            </w:r>
          </w:p>
        </w:tc>
        <w:tc>
          <w:tcPr>
            <w:tcW w:w="1578" w:type="dxa"/>
            <w:tcBorders>
              <w:top w:val="nil"/>
              <w:left w:val="nil"/>
              <w:bottom w:val="single" w:sz="4" w:space="0" w:color="auto"/>
              <w:right w:val="single" w:sz="4" w:space="0" w:color="auto"/>
            </w:tcBorders>
            <w:shd w:val="clear" w:color="auto" w:fill="auto"/>
            <w:noWrap/>
            <w:vAlign w:val="bottom"/>
            <w:hideMark/>
          </w:tcPr>
          <w:p w14:paraId="652221D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0.08</w:t>
            </w:r>
          </w:p>
        </w:tc>
        <w:tc>
          <w:tcPr>
            <w:tcW w:w="1620" w:type="dxa"/>
            <w:tcBorders>
              <w:top w:val="nil"/>
              <w:left w:val="nil"/>
              <w:bottom w:val="single" w:sz="4" w:space="0" w:color="auto"/>
              <w:right w:val="single" w:sz="4" w:space="0" w:color="auto"/>
            </w:tcBorders>
            <w:shd w:val="clear" w:color="auto" w:fill="auto"/>
            <w:noWrap/>
            <w:vAlign w:val="bottom"/>
            <w:hideMark/>
          </w:tcPr>
          <w:p w14:paraId="697A18C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5.81</w:t>
            </w:r>
          </w:p>
        </w:tc>
        <w:tc>
          <w:tcPr>
            <w:tcW w:w="1075" w:type="dxa"/>
            <w:tcBorders>
              <w:top w:val="nil"/>
              <w:left w:val="nil"/>
              <w:bottom w:val="single" w:sz="4" w:space="0" w:color="auto"/>
              <w:right w:val="single" w:sz="4" w:space="0" w:color="auto"/>
            </w:tcBorders>
            <w:shd w:val="clear" w:color="auto" w:fill="auto"/>
            <w:noWrap/>
            <w:vAlign w:val="bottom"/>
            <w:hideMark/>
          </w:tcPr>
          <w:p w14:paraId="0C15E0B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0.710323</w:t>
            </w:r>
          </w:p>
        </w:tc>
      </w:tr>
      <w:tr w:rsidR="0082553F" w:rsidRPr="00CE4E1F" w14:paraId="0F6F153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85525B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5595C17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6D2BCB1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441B41E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64BBB08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4AD7F43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338CA17D" w14:textId="3526238B"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 xml:space="preserve">MVR </w:t>
            </w:r>
            <w:r w:rsidR="009D5F2B">
              <w:rPr>
                <w:b/>
                <w:bCs/>
                <w:color w:val="000000"/>
                <w:sz w:val="18"/>
                <w:szCs w:val="18"/>
              </w:rPr>
              <w:t xml:space="preserve">model </w:t>
            </w:r>
            <w:r w:rsidRPr="00CE4E1F">
              <w:rPr>
                <w:b/>
                <w:bCs/>
                <w:color w:val="000000"/>
                <w:sz w:val="18"/>
                <w:szCs w:val="18"/>
              </w:rPr>
              <w:t>3, N=452</w:t>
            </w:r>
          </w:p>
        </w:tc>
        <w:tc>
          <w:tcPr>
            <w:tcW w:w="929" w:type="dxa"/>
            <w:tcBorders>
              <w:top w:val="nil"/>
              <w:left w:val="nil"/>
              <w:bottom w:val="single" w:sz="4" w:space="0" w:color="auto"/>
              <w:right w:val="single" w:sz="4" w:space="0" w:color="auto"/>
            </w:tcBorders>
            <w:shd w:val="clear" w:color="auto" w:fill="auto"/>
            <w:noWrap/>
            <w:vAlign w:val="bottom"/>
            <w:hideMark/>
          </w:tcPr>
          <w:p w14:paraId="351C041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0ED5AB5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361BF3C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6964608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6F90D0EC"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9C074F0" w14:textId="57136528"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4752F34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1.71</w:t>
            </w:r>
          </w:p>
        </w:tc>
        <w:tc>
          <w:tcPr>
            <w:tcW w:w="1578" w:type="dxa"/>
            <w:tcBorders>
              <w:top w:val="nil"/>
              <w:left w:val="nil"/>
              <w:bottom w:val="single" w:sz="4" w:space="0" w:color="auto"/>
              <w:right w:val="single" w:sz="4" w:space="0" w:color="auto"/>
            </w:tcBorders>
            <w:shd w:val="clear" w:color="auto" w:fill="auto"/>
            <w:noWrap/>
            <w:vAlign w:val="bottom"/>
            <w:hideMark/>
          </w:tcPr>
          <w:p w14:paraId="544CC23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1.45</w:t>
            </w:r>
          </w:p>
        </w:tc>
        <w:tc>
          <w:tcPr>
            <w:tcW w:w="1620" w:type="dxa"/>
            <w:tcBorders>
              <w:top w:val="nil"/>
              <w:left w:val="nil"/>
              <w:bottom w:val="single" w:sz="4" w:space="0" w:color="auto"/>
              <w:right w:val="single" w:sz="4" w:space="0" w:color="auto"/>
            </w:tcBorders>
            <w:shd w:val="clear" w:color="auto" w:fill="auto"/>
            <w:noWrap/>
            <w:vAlign w:val="bottom"/>
            <w:hideMark/>
          </w:tcPr>
          <w:p w14:paraId="1FC296E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2.01</w:t>
            </w:r>
          </w:p>
        </w:tc>
        <w:tc>
          <w:tcPr>
            <w:tcW w:w="1075" w:type="dxa"/>
            <w:tcBorders>
              <w:top w:val="nil"/>
              <w:left w:val="nil"/>
              <w:bottom w:val="single" w:sz="4" w:space="0" w:color="auto"/>
              <w:right w:val="single" w:sz="4" w:space="0" w:color="auto"/>
            </w:tcBorders>
            <w:shd w:val="clear" w:color="auto" w:fill="auto"/>
            <w:noWrap/>
            <w:vAlign w:val="bottom"/>
            <w:hideMark/>
          </w:tcPr>
          <w:p w14:paraId="0723481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1.64E-10</w:t>
            </w:r>
          </w:p>
        </w:tc>
      </w:tr>
      <w:tr w:rsidR="0082553F" w:rsidRPr="00CE4E1F" w14:paraId="5A6B47EF"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1ABEDA4" w14:textId="2CFBC3E8" w:rsidR="0082553F" w:rsidRPr="00CE4E1F" w:rsidRDefault="00427B2D" w:rsidP="00742F09">
            <w:pPr>
              <w:spacing w:line="360" w:lineRule="auto"/>
              <w:contextualSpacing/>
              <w:jc w:val="both"/>
              <w:rPr>
                <w:color w:val="000000"/>
                <w:sz w:val="18"/>
                <w:szCs w:val="18"/>
              </w:rPr>
            </w:pPr>
            <w:r w:rsidRPr="00CE4E1F">
              <w:rPr>
                <w:color w:val="000000"/>
                <w:sz w:val="18"/>
                <w:szCs w:val="18"/>
              </w:rPr>
              <w:t xml:space="preserve">Integrated </w:t>
            </w:r>
            <w:r>
              <w:rPr>
                <w:color w:val="000000"/>
                <w:sz w:val="18"/>
                <w:szCs w:val="18"/>
              </w:rPr>
              <w:t>grade</w:t>
            </w:r>
            <w:r w:rsidR="003C7905">
              <w:rPr>
                <w:color w:val="000000"/>
                <w:sz w:val="18"/>
                <w:szCs w:val="18"/>
              </w:rPr>
              <w:fldChar w:fldCharType="begin" w:fldLock="1"/>
            </w:r>
            <w:r w:rsidR="000F4EF5">
              <w:rPr>
                <w:color w:val="000000"/>
                <w:sz w:val="18"/>
                <w:szCs w:val="18"/>
              </w:rPr>
              <w:instrText>ADDIN CSL_CITATION {"citationItems":[{"id":"ITEM-1","itemData":{"DOI":"10.1093/neuonc/noab213","ISSN":"15235866","PMID":"34508644","abstract":"Background: Meningiomas are the most common primary intracranial tumor in adults. Clinical care is currently guided by the World Health Organization (WHO) grade assigned to meningiomas, a 3-tiered grading system based on histopathology features, as well as extent of surgical resection. Clinical behavior, however, often fails to conform to the WHO grade. Additional prognostic information is needed to optimize patient management. Methods: We evaluated whether chromosomal copy-number data improved prediction of time-to-recurrence for patients with meningioma who were treated with surgery, relative to the WHO schema. The models were developed using Cox proportional hazards, random survival forest, and gradient boosting in a discovery cohort of 527 meningioma patients and validated in 2 independent cohorts of 172 meningioma patients characterized by orthogonal genomic platforms. Results: We developed a 3-tiered grading scheme (Integrated Grades 1-3), which incorporated mitotic count and loss of chromosome 1p, 3p, 4, 6, 10, 14q, 18, 19, or CDKN2A. 32% of meningiomas reclassified to either a lower-risk or higher-risk Integrated Grade compared to their assigned WHO grade. The Integrated Grade more accurately identified meningioma patients at risk for recurrence, relative to the WHO grade, as determined by time-dependent area under the curve, average precision, and the Brier score. Conclusion: We propose a molecularly integrated grading scheme for meningiomas that significantly improves upon the current WHO grading system in prediction of progression-free survival. This framework can be broadly adopted by clinicians with relative ease using widely available genomic technologies and presents an advance in the care of meningioma patients.","author":[{"dropping-particle":"","family":"Driver","given":"Joseph","non-dropping-particle":"","parse-names":false,"suffix":""},{"dropping-particle":"","family":"Hoffman","given":"Samantha E.","non-dropping-particle":"","parse-names":false,"suffix":""},{"dropping-particle":"","family":"Tavakol","given":"Sherwin","non-dropping-particle":"","parse-names":false,"suffix":""},{"dropping-particle":"","family":"Woodward","given":"Eleanor","non-dropping-particle":"","parse-names":false,"suffix":""},{"dropping-particle":"","family":"Maury","given":"Eduardo A.","non-dropping-particle":"","parse-names":false,"suffix":""},{"dropping-particle":"","family":"Bhave","given":"Varun","non-dropping-particle":"","parse-names":false,"suffix":""},{"dropping-particle":"","family":"Greenwald","given":"Noah F.","non-dropping-particle":"","parse-names":false,"suffix":""},{"dropping-particle":"","family":"Nassiri","given":"Farshad","non-dropping-particle":"","parse-names":false,"suffix":""},{"dropping-particle":"","family":"Aldape","given":"Kenneth","non-dropping-particle":"","parse-names":false,"suffix":""},{"dropping-particle":"","family":"Zadeh","given":"Gelareh","non-dropping-particle":"","parse-names":false,"suffix":""},{"dropping-particle":"","family":"Choudhury","given":"Abrar","non-dropping-particle":"","parse-names":false,"suffix":""},{"dropping-particle":"","family":"Vasudevan","given":"Harish N.","non-dropping-particle":"","parse-names":false,"suffix":""},{"dropping-particle":"","family":"Magill","given":"Stephen T.","non-dropping-particle":"","parse-names":false,"suffix":""},{"dropping-particle":"","family":"Raleigh","given":"David R.","non-dropping-particle":"","parse-names":false,"suffix":""},{"dropping-particle":"","family":"Abedalthagafi","given":"Malak","non-dropping-particle":"","parse-names":false,"suffix":""},{"dropping-particle":"","family":"Aizer","given":"Ayal A.","non-dropping-particle":"","parse-names":false,"suffix":""},{"dropping-particle":"","family":"Alexander","given":"Brian M.","non-dropping-particle":"","parse-names":false,"suffix":""},{"dropping-particle":"","family":"Ligon","given":"Keith L.","non-dropping-particle":"","parse-names":false,"suffix":""},{"dropping-particle":"","family":"Reardon","given":"David A.","non-dropping-particle":"","parse-names":false,"suffix":""},{"dropping-particle":"","family":"Wen","given":"Patrick Y.","non-dropping-particle":"","parse-names":false,"suffix":""},{"dropping-particle":"","family":"Al-Mefty","given":"Ossama","non-dropping-particle":"","parse-names":false,"suffix":""},{"dropping-particle":"","family":"Ligon","given":"Azra H.","non-dropping-particle":"","parse-names":false,"suffix":""},{"dropping-particle":"","family":"Dubuc","given":"Adrian M.","non-dropping-particle":"","parse-names":false,"suffix":""},{"dropping-particle":"","family":"Beroukhim","given":"Rameen","non-dropping-particle":"","parse-names":false,"suffix":""},{"dropping-particle":"","family":"Claus","given":"Elizabeth B.","non-dropping-particle":"","parse-names":false,"suffix":""},{"dropping-particle":"","family":"Dunn","given":"Ian F.","non-dropping-particle":"","parse-names":false,"suffix":""},{"dropping-particle":"","family":"Santagata","given":"Sandro","non-dropping-particle":"","parse-names":false,"suffix":""},{"dropping-particle":"","family":"Linda Bi","given":"Wenya","non-dropping-particle":"","parse-names":false,"suffix":""}],"container-title":"Neuro-Oncology","id":"ITEM-1","issue":"5","issued":{"date-parts":[["2022"]]},"page":"796-808","title":"A molecularly integrated grade for meningioma","type":"article-journal","volume":"24"},"uris":["http://www.mendeley.com/documents/?uuid=f72755aa-a178-497c-a922-146804374b2e"]}],"mendeley":{"formattedCitation":"&lt;sup&gt;18&lt;/sup&gt;","plainTextFormattedCitation":"18","previouslyFormattedCitation":"&lt;sup&gt;18&lt;/sup&gt;"},"properties":{"noteIndex":0},"schema":"https://github.com/citation-style-language/schema/raw/master/csl-citation.json"}</w:instrText>
            </w:r>
            <w:r w:rsidR="003C7905">
              <w:rPr>
                <w:color w:val="000000"/>
                <w:sz w:val="18"/>
                <w:szCs w:val="18"/>
              </w:rPr>
              <w:fldChar w:fldCharType="separate"/>
            </w:r>
            <w:r w:rsidR="000F4EF5" w:rsidRPr="000F4EF5">
              <w:rPr>
                <w:noProof/>
                <w:color w:val="000000"/>
                <w:sz w:val="18"/>
                <w:szCs w:val="18"/>
                <w:vertAlign w:val="superscript"/>
              </w:rPr>
              <w:t>18</w:t>
            </w:r>
            <w:r w:rsidR="003C7905">
              <w:rPr>
                <w:color w:val="000000"/>
                <w:sz w:val="18"/>
                <w:szCs w:val="18"/>
              </w:rPr>
              <w:fldChar w:fldCharType="end"/>
            </w:r>
          </w:p>
        </w:tc>
        <w:tc>
          <w:tcPr>
            <w:tcW w:w="929" w:type="dxa"/>
            <w:tcBorders>
              <w:top w:val="nil"/>
              <w:left w:val="nil"/>
              <w:bottom w:val="single" w:sz="4" w:space="0" w:color="auto"/>
              <w:right w:val="single" w:sz="4" w:space="0" w:color="auto"/>
            </w:tcBorders>
            <w:shd w:val="clear" w:color="auto" w:fill="auto"/>
            <w:noWrap/>
            <w:vAlign w:val="bottom"/>
            <w:hideMark/>
          </w:tcPr>
          <w:p w14:paraId="5BC8627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0.97</w:t>
            </w:r>
          </w:p>
        </w:tc>
        <w:tc>
          <w:tcPr>
            <w:tcW w:w="1578" w:type="dxa"/>
            <w:tcBorders>
              <w:top w:val="nil"/>
              <w:left w:val="nil"/>
              <w:bottom w:val="single" w:sz="4" w:space="0" w:color="auto"/>
              <w:right w:val="single" w:sz="4" w:space="0" w:color="auto"/>
            </w:tcBorders>
            <w:shd w:val="clear" w:color="auto" w:fill="auto"/>
            <w:noWrap/>
            <w:vAlign w:val="bottom"/>
            <w:hideMark/>
          </w:tcPr>
          <w:p w14:paraId="3175C69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0.88</w:t>
            </w:r>
          </w:p>
        </w:tc>
        <w:tc>
          <w:tcPr>
            <w:tcW w:w="1620" w:type="dxa"/>
            <w:tcBorders>
              <w:top w:val="nil"/>
              <w:left w:val="nil"/>
              <w:bottom w:val="single" w:sz="4" w:space="0" w:color="auto"/>
              <w:right w:val="single" w:sz="4" w:space="0" w:color="auto"/>
            </w:tcBorders>
            <w:shd w:val="clear" w:color="auto" w:fill="auto"/>
            <w:noWrap/>
            <w:vAlign w:val="bottom"/>
            <w:hideMark/>
          </w:tcPr>
          <w:p w14:paraId="0E518A5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1.07</w:t>
            </w:r>
          </w:p>
        </w:tc>
        <w:tc>
          <w:tcPr>
            <w:tcW w:w="1075" w:type="dxa"/>
            <w:tcBorders>
              <w:top w:val="nil"/>
              <w:left w:val="nil"/>
              <w:bottom w:val="single" w:sz="4" w:space="0" w:color="auto"/>
              <w:right w:val="single" w:sz="4" w:space="0" w:color="auto"/>
            </w:tcBorders>
            <w:shd w:val="clear" w:color="auto" w:fill="auto"/>
            <w:noWrap/>
            <w:vAlign w:val="bottom"/>
            <w:hideMark/>
          </w:tcPr>
          <w:p w14:paraId="6936125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0.55904</w:t>
            </w:r>
          </w:p>
        </w:tc>
      </w:tr>
      <w:tr w:rsidR="0082553F" w:rsidRPr="00CE4E1F" w14:paraId="25BB1AC7"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0B386F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624DCE8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1.78</w:t>
            </w:r>
          </w:p>
        </w:tc>
        <w:tc>
          <w:tcPr>
            <w:tcW w:w="1578" w:type="dxa"/>
            <w:tcBorders>
              <w:top w:val="nil"/>
              <w:left w:val="nil"/>
              <w:bottom w:val="single" w:sz="4" w:space="0" w:color="auto"/>
              <w:right w:val="single" w:sz="4" w:space="0" w:color="auto"/>
            </w:tcBorders>
            <w:shd w:val="clear" w:color="auto" w:fill="auto"/>
            <w:noWrap/>
            <w:vAlign w:val="bottom"/>
            <w:hideMark/>
          </w:tcPr>
          <w:p w14:paraId="5DF9FE1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1.23</w:t>
            </w:r>
          </w:p>
        </w:tc>
        <w:tc>
          <w:tcPr>
            <w:tcW w:w="1620" w:type="dxa"/>
            <w:tcBorders>
              <w:top w:val="nil"/>
              <w:left w:val="nil"/>
              <w:bottom w:val="single" w:sz="4" w:space="0" w:color="auto"/>
              <w:right w:val="single" w:sz="4" w:space="0" w:color="auto"/>
            </w:tcBorders>
            <w:shd w:val="clear" w:color="auto" w:fill="auto"/>
            <w:noWrap/>
            <w:vAlign w:val="bottom"/>
            <w:hideMark/>
          </w:tcPr>
          <w:p w14:paraId="5A95B6C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2.58</w:t>
            </w:r>
          </w:p>
        </w:tc>
        <w:tc>
          <w:tcPr>
            <w:tcW w:w="1075" w:type="dxa"/>
            <w:tcBorders>
              <w:top w:val="nil"/>
              <w:left w:val="nil"/>
              <w:bottom w:val="single" w:sz="4" w:space="0" w:color="auto"/>
              <w:right w:val="single" w:sz="4" w:space="0" w:color="auto"/>
            </w:tcBorders>
            <w:shd w:val="clear" w:color="auto" w:fill="auto"/>
            <w:noWrap/>
            <w:vAlign w:val="bottom"/>
            <w:hideMark/>
          </w:tcPr>
          <w:p w14:paraId="3C911AB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0.00224</w:t>
            </w:r>
          </w:p>
        </w:tc>
      </w:tr>
      <w:tr w:rsidR="0082553F" w:rsidRPr="00CE4E1F" w14:paraId="487AC724"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5FF0988" w14:textId="4B134D8D"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741D539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3.64</w:t>
            </w:r>
          </w:p>
        </w:tc>
        <w:tc>
          <w:tcPr>
            <w:tcW w:w="1578" w:type="dxa"/>
            <w:tcBorders>
              <w:top w:val="nil"/>
              <w:left w:val="nil"/>
              <w:bottom w:val="single" w:sz="4" w:space="0" w:color="auto"/>
              <w:right w:val="single" w:sz="4" w:space="0" w:color="auto"/>
            </w:tcBorders>
            <w:shd w:val="clear" w:color="auto" w:fill="auto"/>
            <w:noWrap/>
            <w:vAlign w:val="bottom"/>
            <w:hideMark/>
          </w:tcPr>
          <w:p w14:paraId="241C8FA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2.29</w:t>
            </w:r>
          </w:p>
        </w:tc>
        <w:tc>
          <w:tcPr>
            <w:tcW w:w="1620" w:type="dxa"/>
            <w:tcBorders>
              <w:top w:val="nil"/>
              <w:left w:val="nil"/>
              <w:bottom w:val="single" w:sz="4" w:space="0" w:color="auto"/>
              <w:right w:val="single" w:sz="4" w:space="0" w:color="auto"/>
            </w:tcBorders>
            <w:shd w:val="clear" w:color="auto" w:fill="auto"/>
            <w:noWrap/>
            <w:vAlign w:val="bottom"/>
            <w:hideMark/>
          </w:tcPr>
          <w:p w14:paraId="76BF3AA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5.79</w:t>
            </w:r>
          </w:p>
        </w:tc>
        <w:tc>
          <w:tcPr>
            <w:tcW w:w="1075" w:type="dxa"/>
            <w:tcBorders>
              <w:top w:val="nil"/>
              <w:left w:val="nil"/>
              <w:bottom w:val="single" w:sz="4" w:space="0" w:color="auto"/>
              <w:right w:val="single" w:sz="4" w:space="0" w:color="auto"/>
            </w:tcBorders>
            <w:shd w:val="clear" w:color="auto" w:fill="auto"/>
            <w:noWrap/>
            <w:vAlign w:val="bottom"/>
            <w:hideMark/>
          </w:tcPr>
          <w:p w14:paraId="2139FBB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4.36E-08</w:t>
            </w:r>
          </w:p>
        </w:tc>
      </w:tr>
      <w:tr w:rsidR="0082553F" w:rsidRPr="00CE4E1F" w14:paraId="0F38C5EC"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9368F3D" w14:textId="3E92E9A6"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2D21E4D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1.33</w:t>
            </w:r>
          </w:p>
        </w:tc>
        <w:tc>
          <w:tcPr>
            <w:tcW w:w="1578" w:type="dxa"/>
            <w:tcBorders>
              <w:top w:val="nil"/>
              <w:left w:val="nil"/>
              <w:bottom w:val="single" w:sz="4" w:space="0" w:color="auto"/>
              <w:right w:val="single" w:sz="4" w:space="0" w:color="auto"/>
            </w:tcBorders>
            <w:shd w:val="clear" w:color="auto" w:fill="auto"/>
            <w:noWrap/>
            <w:vAlign w:val="bottom"/>
            <w:hideMark/>
          </w:tcPr>
          <w:p w14:paraId="0855B3A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0.83</w:t>
            </w:r>
          </w:p>
        </w:tc>
        <w:tc>
          <w:tcPr>
            <w:tcW w:w="1620" w:type="dxa"/>
            <w:tcBorders>
              <w:top w:val="nil"/>
              <w:left w:val="nil"/>
              <w:bottom w:val="single" w:sz="4" w:space="0" w:color="auto"/>
              <w:right w:val="single" w:sz="4" w:space="0" w:color="auto"/>
            </w:tcBorders>
            <w:shd w:val="clear" w:color="auto" w:fill="auto"/>
            <w:noWrap/>
            <w:vAlign w:val="bottom"/>
            <w:hideMark/>
          </w:tcPr>
          <w:p w14:paraId="5AD8C39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2.13</w:t>
            </w:r>
          </w:p>
        </w:tc>
        <w:tc>
          <w:tcPr>
            <w:tcW w:w="1075" w:type="dxa"/>
            <w:tcBorders>
              <w:top w:val="nil"/>
              <w:left w:val="nil"/>
              <w:bottom w:val="single" w:sz="4" w:space="0" w:color="auto"/>
              <w:right w:val="single" w:sz="4" w:space="0" w:color="auto"/>
            </w:tcBorders>
            <w:shd w:val="clear" w:color="auto" w:fill="auto"/>
            <w:noWrap/>
            <w:vAlign w:val="bottom"/>
            <w:hideMark/>
          </w:tcPr>
          <w:p w14:paraId="48D42FC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0.2365</w:t>
            </w:r>
          </w:p>
        </w:tc>
      </w:tr>
      <w:tr w:rsidR="0082553F" w:rsidRPr="00CE4E1F" w14:paraId="3D60A4A0"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00DBB2A" w14:textId="251A4D76"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79D1F83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1.79</w:t>
            </w:r>
          </w:p>
        </w:tc>
        <w:tc>
          <w:tcPr>
            <w:tcW w:w="1578" w:type="dxa"/>
            <w:tcBorders>
              <w:top w:val="nil"/>
              <w:left w:val="nil"/>
              <w:bottom w:val="single" w:sz="4" w:space="0" w:color="auto"/>
              <w:right w:val="single" w:sz="4" w:space="0" w:color="auto"/>
            </w:tcBorders>
            <w:shd w:val="clear" w:color="auto" w:fill="auto"/>
            <w:noWrap/>
            <w:vAlign w:val="bottom"/>
            <w:hideMark/>
          </w:tcPr>
          <w:p w14:paraId="072C84D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1.06</w:t>
            </w:r>
          </w:p>
        </w:tc>
        <w:tc>
          <w:tcPr>
            <w:tcW w:w="1620" w:type="dxa"/>
            <w:tcBorders>
              <w:top w:val="nil"/>
              <w:left w:val="nil"/>
              <w:bottom w:val="single" w:sz="4" w:space="0" w:color="auto"/>
              <w:right w:val="single" w:sz="4" w:space="0" w:color="auto"/>
            </w:tcBorders>
            <w:shd w:val="clear" w:color="auto" w:fill="auto"/>
            <w:noWrap/>
            <w:vAlign w:val="bottom"/>
            <w:hideMark/>
          </w:tcPr>
          <w:p w14:paraId="51F1EA5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3.02</w:t>
            </w:r>
          </w:p>
        </w:tc>
        <w:tc>
          <w:tcPr>
            <w:tcW w:w="1075" w:type="dxa"/>
            <w:tcBorders>
              <w:top w:val="nil"/>
              <w:left w:val="nil"/>
              <w:bottom w:val="single" w:sz="4" w:space="0" w:color="auto"/>
              <w:right w:val="single" w:sz="4" w:space="0" w:color="auto"/>
            </w:tcBorders>
            <w:shd w:val="clear" w:color="auto" w:fill="auto"/>
            <w:noWrap/>
            <w:vAlign w:val="bottom"/>
            <w:hideMark/>
          </w:tcPr>
          <w:p w14:paraId="48B75C6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0.02979</w:t>
            </w:r>
          </w:p>
        </w:tc>
      </w:tr>
      <w:tr w:rsidR="0082553F" w:rsidRPr="00CE4E1F" w14:paraId="44D5B967"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3F98535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51C2C3F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37E4C8E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5EFB13A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612E35E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6EE71D18"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63674E4" w14:textId="08CB2D03"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4, N=324</w:t>
            </w:r>
          </w:p>
        </w:tc>
        <w:tc>
          <w:tcPr>
            <w:tcW w:w="929" w:type="dxa"/>
            <w:tcBorders>
              <w:top w:val="nil"/>
              <w:left w:val="nil"/>
              <w:bottom w:val="single" w:sz="4" w:space="0" w:color="auto"/>
              <w:right w:val="single" w:sz="4" w:space="0" w:color="auto"/>
            </w:tcBorders>
            <w:shd w:val="clear" w:color="auto" w:fill="auto"/>
            <w:noWrap/>
            <w:vAlign w:val="bottom"/>
            <w:hideMark/>
          </w:tcPr>
          <w:p w14:paraId="022F2BD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66B0B45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2404198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4C54DE7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60F71AFE"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335425D2" w14:textId="7D1A7EA1"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3E3BA5C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1.64</w:t>
            </w:r>
          </w:p>
        </w:tc>
        <w:tc>
          <w:tcPr>
            <w:tcW w:w="1578" w:type="dxa"/>
            <w:tcBorders>
              <w:top w:val="nil"/>
              <w:left w:val="nil"/>
              <w:bottom w:val="single" w:sz="4" w:space="0" w:color="auto"/>
              <w:right w:val="single" w:sz="4" w:space="0" w:color="auto"/>
            </w:tcBorders>
            <w:shd w:val="clear" w:color="auto" w:fill="auto"/>
            <w:noWrap/>
            <w:vAlign w:val="bottom"/>
            <w:hideMark/>
          </w:tcPr>
          <w:p w14:paraId="1152CD5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1.32</w:t>
            </w:r>
          </w:p>
        </w:tc>
        <w:tc>
          <w:tcPr>
            <w:tcW w:w="1620" w:type="dxa"/>
            <w:tcBorders>
              <w:top w:val="nil"/>
              <w:left w:val="nil"/>
              <w:bottom w:val="single" w:sz="4" w:space="0" w:color="auto"/>
              <w:right w:val="single" w:sz="4" w:space="0" w:color="auto"/>
            </w:tcBorders>
            <w:shd w:val="clear" w:color="auto" w:fill="auto"/>
            <w:noWrap/>
            <w:vAlign w:val="bottom"/>
            <w:hideMark/>
          </w:tcPr>
          <w:p w14:paraId="309CF9A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2.04</w:t>
            </w:r>
          </w:p>
        </w:tc>
        <w:tc>
          <w:tcPr>
            <w:tcW w:w="1075" w:type="dxa"/>
            <w:tcBorders>
              <w:top w:val="nil"/>
              <w:left w:val="nil"/>
              <w:bottom w:val="single" w:sz="4" w:space="0" w:color="auto"/>
              <w:right w:val="single" w:sz="4" w:space="0" w:color="auto"/>
            </w:tcBorders>
            <w:shd w:val="clear" w:color="auto" w:fill="auto"/>
            <w:noWrap/>
            <w:vAlign w:val="bottom"/>
            <w:hideMark/>
          </w:tcPr>
          <w:p w14:paraId="112203C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1.07E-05</w:t>
            </w:r>
          </w:p>
        </w:tc>
      </w:tr>
      <w:tr w:rsidR="00427B2D" w:rsidRPr="00CE4E1F" w14:paraId="40E267CE"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2D3633C" w14:textId="137C740C" w:rsidR="00427B2D" w:rsidRPr="00CE4E1F" w:rsidRDefault="00427B2D" w:rsidP="00742F09">
            <w:pPr>
              <w:spacing w:line="360" w:lineRule="auto"/>
              <w:contextualSpacing/>
              <w:jc w:val="both"/>
              <w:rPr>
                <w:color w:val="000000"/>
                <w:sz w:val="18"/>
                <w:szCs w:val="18"/>
              </w:rPr>
            </w:pPr>
            <w:r>
              <w:rPr>
                <w:color w:val="000000"/>
                <w:sz w:val="18"/>
                <w:szCs w:val="18"/>
              </w:rPr>
              <w:t>DNA methylation families</w:t>
            </w:r>
            <w:r w:rsidR="003C7905">
              <w:rPr>
                <w:color w:val="000000"/>
                <w:sz w:val="18"/>
                <w:szCs w:val="18"/>
              </w:rPr>
              <w:fldChar w:fldCharType="begin" w:fldLock="1"/>
            </w:r>
            <w:r w:rsidR="000F4EF5">
              <w:rPr>
                <w:color w:val="000000"/>
                <w:sz w:val="18"/>
                <w:szCs w:val="18"/>
              </w:rPr>
              <w:instrText>ADDIN CSL_CITATION {"citationItems":[{"id":"ITEM-1","itemData":{"DOI":"10.1016/S1470-2045(17)30155-9","ISBN":"1470-2045","ISSN":"14745488","PMID":"28314689","abstract":"Background The WHO classification of brain tumours describes 15 subtypes of meningioma. Nine of these subtypes are allotted to WHO grade I, and three each to grade II and grade III. Grading is based solely on histology, with an absence of molecular markers. Although the existing classification and grading approach is of prognostic value, it harbours shortcomings such as ill-defined parameters for subtypes and grading criteria prone to arbitrary judgment. In this study, we aimed for a comprehensive characterisation of the entire molecular genetic landscape of meningioma to identify biologically and clinically relevant subgroups. Methods In this multicentre, retrospective analysis, we investigated genome-wide DNA methylation patterns of meningiomas from ten European academic neuro-oncology centres to identify distinct methylation classes of meningiomas. The methylation classes were further characterised by DNA copy number analysis, mutational profiling, and RNA sequencing. Methylation classes were analysed for progression-free survival outcomes by the Kaplan-Meier method. The DNA methylation-based and WHO classification schema were compared using the Brier prediction score, analysed in an independent cohort with WHO grading, progression-free survival, and disease-specific survival data available, collected at the Medical University Vienna (Vienna, Austria), assessing methylation patterns with an alternative methylation chip. Findings We retrospectively collected 497 meningiomas along with 309 samples of other extra-axial skull tumours that might histologically mimic meningioma variants. Unsupervised clustering of DNA methylation data clearly segregated all meningiomas from other skull tumours. We generated genome-wide DNA methylation profiles from all 497 meningioma samples. DNA methylation profiling distinguished six distinct clinically relevant methylation classes associated with typical mutational, cytogenetic, and gene expression patterns. Compared with WHO grading, classification by individual and combined methylation classes more accurately identifies patients at high risk of disease progression in tumours with WHO grade I histology, and patients at lower risk of recurrence among WHO grade II tumours (p=0·0096) from the Brier prediction test). We validated this finding in our independent cohort of 140 patients with meningioma. Interpretation DNA methylation-based meningioma classification captures clinically more homogenous groups and has a higher p…","author":[{"dropping-particle":"","family":"Sahm","given":"Felix","non-dropping-particle":"","parse-names":false,"suffix":""},{"dropping-particle":"","family":"Schrimpf","given":"Daniel","non-dropping-particle":"","parse-names":false,"suffix":""},{"dropping-particle":"","family":"Stichel","given":"Damian","non-dropping-particle":"","parse-names":false,"suffix":""},{"dropping-particle":"","family":"Jones","given":"David T.W.","non-dropping-particle":"","parse-names":false,"suffix":""},{"dropping-particle":"","family":"Hielscher","given":"Thomas","non-dropping-particle":"","parse-names":false,"suffix":""},{"dropping-particle":"","family":"Schefzyk","given":"Sebastian","non-dropping-particle":"","parse-names":false,"suffix":""},{"dropping-particle":"","family":"Okonechnikov","given":"Konstantin","non-dropping-particle":"","parse-names":false,"suffix":""},{"dropping-particle":"","family":"Koelsche","given":"Christian","non-dropping-particle":"","parse-names":false,"suffix":""},{"dropping-particle":"","family":"Reuss","given":"David E.","non-dropping-particle":"","parse-names":false,"suffix":""},{"dropping-particle":"","family":"Capper","given":"David","non-dropping-particle":"","parse-names":false,"suffix":""},{"dropping-particle":"","family":"Sturm","given":"Dominik","non-dropping-particle":"","parse-names":false,"suffix":""},{"dropping-particle":"","family":"Wirsching","given":"Hans Georg","non-dropping-particle":"","parse-names":false,"suffix":""},{"dropping-particle":"","family":"Berghoff","given":"Anna Sophie","non-dropping-particle":"","parse-names":false,"suffix":""},{"dropping-particle":"","family":"Baumgarten","given":"Peter","non-dropping-particle":"","parse-names":false,"suffix":""},{"dropping-particle":"","family":"Kratz","given":"Annekathrin","non-dropping-particle":"","parse-names":false,"suffix":""},{"dropping-particle":"","family":"Huang","given":"Kristin","non-dropping-particle":"","parse-names":false,"suffix":""},{"dropping-particle":"","family":"Wefers","given":"Annika K.","non-dropping-particle":"","parse-names":false,"suffix":""},{"dropping-particle":"","family":"Hovestadt","given":"Volker","non-dropping-particle":"","parse-names":false,"suffix":""},{"dropping-particle":"","family":"Sill","given":"Martin","non-dropping-particle":"","parse-names":false,"suffix":""},{"dropping-particle":"","family":"Ellis","given":"Hayley P.","non-dropping-particle":"","parse-names":false,"suffix":""},{"dropping-particle":"","family":"Kurian","given":"Kathreena M.","non-dropping-particle":"","parse-names":false,"suffix":""},{"dropping-particle":"","family":"Okuducu","given":"Ali Fuat","non-dropping-particle":"","parse-names":false,"suffix":""},{"dropping-particle":"","family":"Jungk","given":"Christine","non-dropping-particle":"","parse-names":false,"suffix":""},{"dropping-particle":"","family":"Drueschler","given":"Katharina","non-dropping-particle":"","parse-names":false,"suffix":""},{"dropping-particle":"","family":"Schick","given":"Matthias","non-dropping-particle":"","parse-names":false,"suffix":""},{"dropping-particle":"","family":"Bewerunge-Hudler","given":"Melanie","non-dropping-particle":"","parse-names":false,"suffix":""},{"dropping-particle":"","family":"Mawrin","given":"Christian","non-dropping-particle":"","parse-names":false,"suffix":""},{"dropping-particle":"","family":"Seiz-Rosenhagen","given":"Marcel","non-dropping-particle":"","parse-names":false,"suffix":""},{"dropping-particle":"","family":"Ketter","given":"Ralf","non-dropping-particle":"","parse-names":false,"suffix":""},{"dropping-particle":"","family":"Simon","given":"Matthias","non-dropping-particle":"","parse-names":false,"suffix":""},{"dropping-particle":"","family":"Westphal","given":"Manfred","non-dropping-particle":"","parse-names":false,"suffix":""},{"dropping-particle":"","family":"Lamszus","given":"Katrin","non-dropping-particle":"","parse-names":false,"suffix":""},{"dropping-particle":"","family":"Becker","given":"Albert","non-dropping-particle":"","parse-names":false,"suffix":""},{"dropping-particle":"","family":"Koch","given":"Arend","non-dropping-particle":"","parse-names":false,"suffix":""},{"dropping-particle":"","family":"Schittenhelm","given":"Jens","non-dropping-particle":"","parse-names":false,"suffix":""},{"dropping-particle":"","family":"Rushing","given":"Elisabeth J.","non-dropping-particle":"","parse-names":false,"suffix":""},{"dropping-particle":"","family":"Collins","given":"V. Peter","non-dropping-particle":"","parse-names":false,"suffix":""},{"dropping-particle":"","family":"Brehmer","given":"Stefanie","non-dropping-particle":"","parse-names":false,"suffix":""},{"dropping-particle":"","family":"Chavez","given":"Lukas","non-dropping-particle":"","parse-names":false,"suffix":""},{"dropping-particle":"","family":"Platten","given":"Michael","non-dropping-particle":"","parse-names":false,"suffix":""},{"dropping-particle":"","family":"Hänggi","given":"Daniel","non-dropping-particle":"","parse-names":false,"suffix":""},{"dropping-particle":"","family":"Unterberg","given":"Andreas","non-dropping-particle":"","parse-names":false,"suffix":""},{"dropping-particle":"","family":"Paulus","given":"Werner","non-dropping-particle":"","parse-names":false,"suffix":""},{"dropping-particle":"","family":"Wick","given":"Wolfgang","non-dropping-particle":"","parse-names":false,"suffix":""},{"dropping-particle":"","family":"Pfister","given":"Stefan M.","non-dropping-particle":"","parse-names":false,"suffix":""},{"dropping-particle":"","family":"Mittelbronn","given":"Michel","non-dropping-particle":"","parse-names":false,"suffix":""},{"dropping-particle":"","family":"Preusser","given":"Matthias","non-dropping-particle":"","parse-names":false,"suffix":""},{"dropping-particle":"","family":"Herold-Mende","given":"Christel","non-dropping-particle":"","parse-names":false,"suffix":""},{"dropping-particle":"","family":"Weller","given":"Michael","non-dropping-particle":"","parse-names":false,"suffix":""},{"dropping-particle":"","family":"Deimling","given":"Andreas","non-dropping-particle":"von","parse-names":false,"suffix":""}],"container-title":"The Lancet Oncology","id":"ITEM-1","issue":"5","issued":{"date-parts":[["2017"]]},"page":"682-694","title":"DNA methylation-based classification and grading system for meningioma: a multicentre, retrospective analysis","type":"article-journal","volume":"18"},"uris":["http://www.mendeley.com/documents/?uuid=b1eebdea-c9de-4a56-96fb-5329a3405c3d"]}],"mendeley":{"formattedCitation":"&lt;sup&gt;16&lt;/sup&gt;","plainTextFormattedCitation":"16","previouslyFormattedCitation":"&lt;sup&gt;16&lt;/sup&gt;"},"properties":{"noteIndex":0},"schema":"https://github.com/citation-style-language/schema/raw/master/csl-citation.json"}</w:instrText>
            </w:r>
            <w:r w:rsidR="003C7905">
              <w:rPr>
                <w:color w:val="000000"/>
                <w:sz w:val="18"/>
                <w:szCs w:val="18"/>
              </w:rPr>
              <w:fldChar w:fldCharType="separate"/>
            </w:r>
            <w:r w:rsidR="000F4EF5" w:rsidRPr="000F4EF5">
              <w:rPr>
                <w:noProof/>
                <w:color w:val="000000"/>
                <w:sz w:val="18"/>
                <w:szCs w:val="18"/>
                <w:vertAlign w:val="superscript"/>
              </w:rPr>
              <w:t>16</w:t>
            </w:r>
            <w:r w:rsidR="003C7905">
              <w:rPr>
                <w:color w:val="000000"/>
                <w:sz w:val="18"/>
                <w:szCs w:val="18"/>
              </w:rPr>
              <w:fldChar w:fldCharType="end"/>
            </w:r>
            <w:r w:rsidRPr="00CE4E1F">
              <w:rPr>
                <w:color w:val="000000"/>
                <w:sz w:val="18"/>
                <w:szCs w:val="18"/>
              </w:rPr>
              <w:t xml:space="preserve"> </w:t>
            </w:r>
            <w:r>
              <w:rPr>
                <w:color w:val="000000"/>
                <w:sz w:val="18"/>
                <w:szCs w:val="18"/>
              </w:rPr>
              <w:t>(i</w:t>
            </w:r>
            <w:r w:rsidRPr="00CE4E1F">
              <w:rPr>
                <w:color w:val="000000"/>
                <w:sz w:val="18"/>
                <w:szCs w:val="18"/>
              </w:rPr>
              <w:t xml:space="preserve">ntermediate vs </w:t>
            </w:r>
            <w:r>
              <w:rPr>
                <w:color w:val="000000"/>
                <w:sz w:val="18"/>
                <w:szCs w:val="18"/>
              </w:rPr>
              <w:t>b</w:t>
            </w:r>
            <w:r w:rsidRPr="00CE4E1F">
              <w:rPr>
                <w:color w:val="000000"/>
                <w:sz w:val="18"/>
                <w:szCs w:val="18"/>
              </w:rPr>
              <w:t>enign</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0292A9ED"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1.77</w:t>
            </w:r>
          </w:p>
        </w:tc>
        <w:tc>
          <w:tcPr>
            <w:tcW w:w="1578" w:type="dxa"/>
            <w:tcBorders>
              <w:top w:val="nil"/>
              <w:left w:val="nil"/>
              <w:bottom w:val="single" w:sz="4" w:space="0" w:color="auto"/>
              <w:right w:val="single" w:sz="4" w:space="0" w:color="auto"/>
            </w:tcBorders>
            <w:shd w:val="clear" w:color="auto" w:fill="auto"/>
            <w:noWrap/>
            <w:vAlign w:val="bottom"/>
            <w:hideMark/>
          </w:tcPr>
          <w:p w14:paraId="4F8D9442"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0.96</w:t>
            </w:r>
          </w:p>
        </w:tc>
        <w:tc>
          <w:tcPr>
            <w:tcW w:w="1620" w:type="dxa"/>
            <w:tcBorders>
              <w:top w:val="nil"/>
              <w:left w:val="nil"/>
              <w:bottom w:val="single" w:sz="4" w:space="0" w:color="auto"/>
              <w:right w:val="single" w:sz="4" w:space="0" w:color="auto"/>
            </w:tcBorders>
            <w:shd w:val="clear" w:color="auto" w:fill="auto"/>
            <w:noWrap/>
            <w:vAlign w:val="bottom"/>
            <w:hideMark/>
          </w:tcPr>
          <w:p w14:paraId="057D8A6E"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3.27</w:t>
            </w:r>
          </w:p>
        </w:tc>
        <w:tc>
          <w:tcPr>
            <w:tcW w:w="1075" w:type="dxa"/>
            <w:tcBorders>
              <w:top w:val="nil"/>
              <w:left w:val="nil"/>
              <w:bottom w:val="single" w:sz="4" w:space="0" w:color="auto"/>
              <w:right w:val="single" w:sz="4" w:space="0" w:color="auto"/>
            </w:tcBorders>
            <w:shd w:val="clear" w:color="auto" w:fill="auto"/>
            <w:noWrap/>
            <w:vAlign w:val="bottom"/>
            <w:hideMark/>
          </w:tcPr>
          <w:p w14:paraId="3C3463B8"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0.06623</w:t>
            </w:r>
          </w:p>
        </w:tc>
      </w:tr>
      <w:tr w:rsidR="00427B2D" w:rsidRPr="00CE4E1F" w14:paraId="224D3CD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8B51B22" w14:textId="472B0F8B" w:rsidR="00427B2D" w:rsidRPr="00CE4E1F" w:rsidRDefault="00427B2D" w:rsidP="00742F09">
            <w:pPr>
              <w:spacing w:line="360" w:lineRule="auto"/>
              <w:contextualSpacing/>
              <w:jc w:val="both"/>
              <w:rPr>
                <w:color w:val="000000"/>
                <w:sz w:val="18"/>
                <w:szCs w:val="18"/>
              </w:rPr>
            </w:pPr>
            <w:r>
              <w:rPr>
                <w:color w:val="000000"/>
                <w:sz w:val="18"/>
                <w:szCs w:val="18"/>
              </w:rPr>
              <w:t>DNA methylation families</w:t>
            </w:r>
            <w:r w:rsidRPr="00CE4E1F">
              <w:rPr>
                <w:color w:val="000000"/>
                <w:sz w:val="18"/>
                <w:szCs w:val="18"/>
              </w:rPr>
              <w:t xml:space="preserve"> </w:t>
            </w:r>
            <w:r>
              <w:rPr>
                <w:color w:val="000000"/>
                <w:sz w:val="18"/>
                <w:szCs w:val="18"/>
              </w:rPr>
              <w:t>(malignant</w:t>
            </w:r>
            <w:r w:rsidRPr="00CE4E1F">
              <w:rPr>
                <w:color w:val="000000"/>
                <w:sz w:val="18"/>
                <w:szCs w:val="18"/>
              </w:rPr>
              <w:t xml:space="preserve"> vs </w:t>
            </w:r>
            <w:r>
              <w:rPr>
                <w:color w:val="000000"/>
                <w:sz w:val="18"/>
                <w:szCs w:val="18"/>
              </w:rPr>
              <w:t>b</w:t>
            </w:r>
            <w:r w:rsidRPr="00CE4E1F">
              <w:rPr>
                <w:color w:val="000000"/>
                <w:sz w:val="18"/>
                <w:szCs w:val="18"/>
              </w:rPr>
              <w:t>enign</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66DEC443"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2.42</w:t>
            </w:r>
          </w:p>
        </w:tc>
        <w:tc>
          <w:tcPr>
            <w:tcW w:w="1578" w:type="dxa"/>
            <w:tcBorders>
              <w:top w:val="nil"/>
              <w:left w:val="nil"/>
              <w:bottom w:val="single" w:sz="4" w:space="0" w:color="auto"/>
              <w:right w:val="single" w:sz="4" w:space="0" w:color="auto"/>
            </w:tcBorders>
            <w:shd w:val="clear" w:color="auto" w:fill="auto"/>
            <w:noWrap/>
            <w:vAlign w:val="bottom"/>
            <w:hideMark/>
          </w:tcPr>
          <w:p w14:paraId="0B1C212C"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0.87</w:t>
            </w:r>
          </w:p>
        </w:tc>
        <w:tc>
          <w:tcPr>
            <w:tcW w:w="1620" w:type="dxa"/>
            <w:tcBorders>
              <w:top w:val="nil"/>
              <w:left w:val="nil"/>
              <w:bottom w:val="single" w:sz="4" w:space="0" w:color="auto"/>
              <w:right w:val="single" w:sz="4" w:space="0" w:color="auto"/>
            </w:tcBorders>
            <w:shd w:val="clear" w:color="auto" w:fill="auto"/>
            <w:noWrap/>
            <w:vAlign w:val="bottom"/>
            <w:hideMark/>
          </w:tcPr>
          <w:p w14:paraId="51315EDD"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6.71</w:t>
            </w:r>
          </w:p>
        </w:tc>
        <w:tc>
          <w:tcPr>
            <w:tcW w:w="1075" w:type="dxa"/>
            <w:tcBorders>
              <w:top w:val="nil"/>
              <w:left w:val="nil"/>
              <w:bottom w:val="single" w:sz="4" w:space="0" w:color="auto"/>
              <w:right w:val="single" w:sz="4" w:space="0" w:color="auto"/>
            </w:tcBorders>
            <w:shd w:val="clear" w:color="auto" w:fill="auto"/>
            <w:noWrap/>
            <w:vAlign w:val="bottom"/>
            <w:hideMark/>
          </w:tcPr>
          <w:p w14:paraId="6E1121DE"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0.0904</w:t>
            </w:r>
          </w:p>
        </w:tc>
      </w:tr>
      <w:tr w:rsidR="0082553F" w:rsidRPr="00CE4E1F" w14:paraId="02B34C3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823828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55537C5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1.64</w:t>
            </w:r>
          </w:p>
        </w:tc>
        <w:tc>
          <w:tcPr>
            <w:tcW w:w="1578" w:type="dxa"/>
            <w:tcBorders>
              <w:top w:val="nil"/>
              <w:left w:val="nil"/>
              <w:bottom w:val="single" w:sz="4" w:space="0" w:color="auto"/>
              <w:right w:val="single" w:sz="4" w:space="0" w:color="auto"/>
            </w:tcBorders>
            <w:shd w:val="clear" w:color="auto" w:fill="auto"/>
            <w:noWrap/>
            <w:vAlign w:val="bottom"/>
            <w:hideMark/>
          </w:tcPr>
          <w:p w14:paraId="7ED6D74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0.95</w:t>
            </w:r>
          </w:p>
        </w:tc>
        <w:tc>
          <w:tcPr>
            <w:tcW w:w="1620" w:type="dxa"/>
            <w:tcBorders>
              <w:top w:val="nil"/>
              <w:left w:val="nil"/>
              <w:bottom w:val="single" w:sz="4" w:space="0" w:color="auto"/>
              <w:right w:val="single" w:sz="4" w:space="0" w:color="auto"/>
            </w:tcBorders>
            <w:shd w:val="clear" w:color="auto" w:fill="auto"/>
            <w:noWrap/>
            <w:vAlign w:val="bottom"/>
            <w:hideMark/>
          </w:tcPr>
          <w:p w14:paraId="130D69F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2.85</w:t>
            </w:r>
          </w:p>
        </w:tc>
        <w:tc>
          <w:tcPr>
            <w:tcW w:w="1075" w:type="dxa"/>
            <w:tcBorders>
              <w:top w:val="nil"/>
              <w:left w:val="nil"/>
              <w:bottom w:val="single" w:sz="4" w:space="0" w:color="auto"/>
              <w:right w:val="single" w:sz="4" w:space="0" w:color="auto"/>
            </w:tcBorders>
            <w:shd w:val="clear" w:color="auto" w:fill="auto"/>
            <w:noWrap/>
            <w:vAlign w:val="bottom"/>
            <w:hideMark/>
          </w:tcPr>
          <w:p w14:paraId="04A6811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0.07773</w:t>
            </w:r>
          </w:p>
        </w:tc>
      </w:tr>
      <w:tr w:rsidR="0082553F" w:rsidRPr="00CE4E1F" w14:paraId="3B236482"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337E9871" w14:textId="5A0033C4"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1AAAFA1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2.40</w:t>
            </w:r>
          </w:p>
        </w:tc>
        <w:tc>
          <w:tcPr>
            <w:tcW w:w="1578" w:type="dxa"/>
            <w:tcBorders>
              <w:top w:val="nil"/>
              <w:left w:val="nil"/>
              <w:bottom w:val="single" w:sz="4" w:space="0" w:color="auto"/>
              <w:right w:val="single" w:sz="4" w:space="0" w:color="auto"/>
            </w:tcBorders>
            <w:shd w:val="clear" w:color="auto" w:fill="auto"/>
            <w:noWrap/>
            <w:vAlign w:val="bottom"/>
            <w:hideMark/>
          </w:tcPr>
          <w:p w14:paraId="2C487F4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1.34</w:t>
            </w:r>
          </w:p>
        </w:tc>
        <w:tc>
          <w:tcPr>
            <w:tcW w:w="1620" w:type="dxa"/>
            <w:tcBorders>
              <w:top w:val="nil"/>
              <w:left w:val="nil"/>
              <w:bottom w:val="single" w:sz="4" w:space="0" w:color="auto"/>
              <w:right w:val="single" w:sz="4" w:space="0" w:color="auto"/>
            </w:tcBorders>
            <w:shd w:val="clear" w:color="auto" w:fill="auto"/>
            <w:noWrap/>
            <w:vAlign w:val="bottom"/>
            <w:hideMark/>
          </w:tcPr>
          <w:p w14:paraId="7447682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4.29</w:t>
            </w:r>
          </w:p>
        </w:tc>
        <w:tc>
          <w:tcPr>
            <w:tcW w:w="1075" w:type="dxa"/>
            <w:tcBorders>
              <w:top w:val="nil"/>
              <w:left w:val="nil"/>
              <w:bottom w:val="single" w:sz="4" w:space="0" w:color="auto"/>
              <w:right w:val="single" w:sz="4" w:space="0" w:color="auto"/>
            </w:tcBorders>
            <w:shd w:val="clear" w:color="auto" w:fill="auto"/>
            <w:noWrap/>
            <w:vAlign w:val="bottom"/>
            <w:hideMark/>
          </w:tcPr>
          <w:p w14:paraId="7272DA0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0.00309</w:t>
            </w:r>
          </w:p>
        </w:tc>
      </w:tr>
      <w:tr w:rsidR="0082553F" w:rsidRPr="00CE4E1F" w14:paraId="6A01538A"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7D3B5F4" w14:textId="54CED219"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6FF82C9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1.30</w:t>
            </w:r>
          </w:p>
        </w:tc>
        <w:tc>
          <w:tcPr>
            <w:tcW w:w="1578" w:type="dxa"/>
            <w:tcBorders>
              <w:top w:val="nil"/>
              <w:left w:val="nil"/>
              <w:bottom w:val="single" w:sz="4" w:space="0" w:color="auto"/>
              <w:right w:val="single" w:sz="4" w:space="0" w:color="auto"/>
            </w:tcBorders>
            <w:shd w:val="clear" w:color="auto" w:fill="auto"/>
            <w:noWrap/>
            <w:vAlign w:val="bottom"/>
            <w:hideMark/>
          </w:tcPr>
          <w:p w14:paraId="1ED3FD6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0.72</w:t>
            </w:r>
          </w:p>
        </w:tc>
        <w:tc>
          <w:tcPr>
            <w:tcW w:w="1620" w:type="dxa"/>
            <w:tcBorders>
              <w:top w:val="nil"/>
              <w:left w:val="nil"/>
              <w:bottom w:val="single" w:sz="4" w:space="0" w:color="auto"/>
              <w:right w:val="single" w:sz="4" w:space="0" w:color="auto"/>
            </w:tcBorders>
            <w:shd w:val="clear" w:color="auto" w:fill="auto"/>
            <w:noWrap/>
            <w:vAlign w:val="bottom"/>
            <w:hideMark/>
          </w:tcPr>
          <w:p w14:paraId="45ADB3E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2.37</w:t>
            </w:r>
          </w:p>
        </w:tc>
        <w:tc>
          <w:tcPr>
            <w:tcW w:w="1075" w:type="dxa"/>
            <w:tcBorders>
              <w:top w:val="nil"/>
              <w:left w:val="nil"/>
              <w:bottom w:val="single" w:sz="4" w:space="0" w:color="auto"/>
              <w:right w:val="single" w:sz="4" w:space="0" w:color="auto"/>
            </w:tcBorders>
            <w:shd w:val="clear" w:color="auto" w:fill="auto"/>
            <w:noWrap/>
            <w:vAlign w:val="bottom"/>
            <w:hideMark/>
          </w:tcPr>
          <w:p w14:paraId="33DABFE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0.38717</w:t>
            </w:r>
          </w:p>
        </w:tc>
      </w:tr>
      <w:tr w:rsidR="0082553F" w:rsidRPr="00CE4E1F" w14:paraId="7D19FE2C"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FEEC5AD" w14:textId="1D5EF881"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162250F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0.00</w:t>
            </w:r>
          </w:p>
        </w:tc>
        <w:tc>
          <w:tcPr>
            <w:tcW w:w="1578" w:type="dxa"/>
            <w:tcBorders>
              <w:top w:val="nil"/>
              <w:left w:val="nil"/>
              <w:bottom w:val="single" w:sz="4" w:space="0" w:color="auto"/>
              <w:right w:val="single" w:sz="4" w:space="0" w:color="auto"/>
            </w:tcBorders>
            <w:shd w:val="clear" w:color="auto" w:fill="auto"/>
            <w:noWrap/>
            <w:vAlign w:val="bottom"/>
            <w:hideMark/>
          </w:tcPr>
          <w:p w14:paraId="3D88184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0.00</w:t>
            </w:r>
          </w:p>
        </w:tc>
        <w:tc>
          <w:tcPr>
            <w:tcW w:w="1620" w:type="dxa"/>
            <w:tcBorders>
              <w:top w:val="nil"/>
              <w:left w:val="nil"/>
              <w:bottom w:val="single" w:sz="4" w:space="0" w:color="auto"/>
              <w:right w:val="single" w:sz="4" w:space="0" w:color="auto"/>
            </w:tcBorders>
            <w:shd w:val="clear" w:color="auto" w:fill="auto"/>
            <w:noWrap/>
            <w:vAlign w:val="bottom"/>
            <w:hideMark/>
          </w:tcPr>
          <w:p w14:paraId="29171BE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Inf</w:t>
            </w:r>
          </w:p>
        </w:tc>
        <w:tc>
          <w:tcPr>
            <w:tcW w:w="1075" w:type="dxa"/>
            <w:tcBorders>
              <w:top w:val="nil"/>
              <w:left w:val="nil"/>
              <w:bottom w:val="single" w:sz="4" w:space="0" w:color="auto"/>
              <w:right w:val="single" w:sz="4" w:space="0" w:color="auto"/>
            </w:tcBorders>
            <w:shd w:val="clear" w:color="auto" w:fill="auto"/>
            <w:noWrap/>
            <w:vAlign w:val="bottom"/>
            <w:hideMark/>
          </w:tcPr>
          <w:p w14:paraId="76963FC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0.99594</w:t>
            </w:r>
          </w:p>
        </w:tc>
      </w:tr>
      <w:tr w:rsidR="0082553F" w:rsidRPr="00CE4E1F" w14:paraId="716F21BF"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938DD6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4593EA7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56972D8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00BA5A6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082AEA6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6FDAB5F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F6E87CC" w14:textId="590C0341"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5, N=375</w:t>
            </w:r>
          </w:p>
        </w:tc>
        <w:tc>
          <w:tcPr>
            <w:tcW w:w="929" w:type="dxa"/>
            <w:tcBorders>
              <w:top w:val="nil"/>
              <w:left w:val="nil"/>
              <w:bottom w:val="single" w:sz="4" w:space="0" w:color="auto"/>
              <w:right w:val="single" w:sz="4" w:space="0" w:color="auto"/>
            </w:tcBorders>
            <w:shd w:val="clear" w:color="auto" w:fill="auto"/>
            <w:noWrap/>
            <w:vAlign w:val="bottom"/>
            <w:hideMark/>
          </w:tcPr>
          <w:p w14:paraId="5E5C727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1B9FA1B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560B873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134F9A2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07FC6FC0"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3482D996" w14:textId="5F702429"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1AE20CD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1.66</w:t>
            </w:r>
          </w:p>
        </w:tc>
        <w:tc>
          <w:tcPr>
            <w:tcW w:w="1578" w:type="dxa"/>
            <w:tcBorders>
              <w:top w:val="nil"/>
              <w:left w:val="nil"/>
              <w:bottom w:val="single" w:sz="4" w:space="0" w:color="auto"/>
              <w:right w:val="single" w:sz="4" w:space="0" w:color="auto"/>
            </w:tcBorders>
            <w:shd w:val="clear" w:color="auto" w:fill="auto"/>
            <w:noWrap/>
            <w:vAlign w:val="bottom"/>
            <w:hideMark/>
          </w:tcPr>
          <w:p w14:paraId="6D1424B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1.35</w:t>
            </w:r>
          </w:p>
        </w:tc>
        <w:tc>
          <w:tcPr>
            <w:tcW w:w="1620" w:type="dxa"/>
            <w:tcBorders>
              <w:top w:val="nil"/>
              <w:left w:val="nil"/>
              <w:bottom w:val="single" w:sz="4" w:space="0" w:color="auto"/>
              <w:right w:val="single" w:sz="4" w:space="0" w:color="auto"/>
            </w:tcBorders>
            <w:shd w:val="clear" w:color="auto" w:fill="auto"/>
            <w:noWrap/>
            <w:vAlign w:val="bottom"/>
            <w:hideMark/>
          </w:tcPr>
          <w:p w14:paraId="38D0932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2.04</w:t>
            </w:r>
          </w:p>
        </w:tc>
        <w:tc>
          <w:tcPr>
            <w:tcW w:w="1075" w:type="dxa"/>
            <w:tcBorders>
              <w:top w:val="nil"/>
              <w:left w:val="nil"/>
              <w:bottom w:val="single" w:sz="4" w:space="0" w:color="auto"/>
              <w:right w:val="single" w:sz="4" w:space="0" w:color="auto"/>
            </w:tcBorders>
            <w:shd w:val="clear" w:color="auto" w:fill="auto"/>
            <w:noWrap/>
            <w:vAlign w:val="bottom"/>
            <w:hideMark/>
          </w:tcPr>
          <w:p w14:paraId="34AA654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1.77E-06</w:t>
            </w:r>
          </w:p>
        </w:tc>
      </w:tr>
      <w:tr w:rsidR="0082553F" w:rsidRPr="00CE4E1F" w14:paraId="7F8A1CC4"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A57BE23" w14:textId="7FFCEE7B" w:rsidR="0082553F" w:rsidRPr="00CE4E1F" w:rsidRDefault="00427B2D" w:rsidP="00742F09">
            <w:pPr>
              <w:spacing w:line="360" w:lineRule="auto"/>
              <w:contextualSpacing/>
              <w:jc w:val="both"/>
              <w:rPr>
                <w:color w:val="000000"/>
                <w:sz w:val="18"/>
                <w:szCs w:val="18"/>
              </w:rPr>
            </w:pPr>
            <w:r>
              <w:rPr>
                <w:color w:val="000000"/>
                <w:sz w:val="18"/>
                <w:szCs w:val="18"/>
              </w:rPr>
              <w:t>Gene expression types</w:t>
            </w:r>
            <w:r w:rsidR="003C7905">
              <w:rPr>
                <w:color w:val="000000"/>
                <w:sz w:val="18"/>
                <w:szCs w:val="18"/>
              </w:rPr>
              <w:fldChar w:fldCharType="begin" w:fldLock="1"/>
            </w:r>
            <w:r w:rsidR="000F4EF5">
              <w:rPr>
                <w:color w:val="000000"/>
                <w:sz w:val="18"/>
                <w:szCs w:val="18"/>
              </w:rPr>
              <w:instrText>ADDIN CSL_CITATION {"citationItems":[{"id":"ITEM-1","itemData":{"DOI":"10.1073/pnas.1912858116","ISSN":"10916490","PMID":"31591222","abstract":"Meningiomas account for one-third of all primary brain tumors. Although typically benign, about 20% of meningiomas are aggressive, and despite the rigor of the current histopathological classification system there remains considerable uncertainty in predicting tumor behavior. Here, we analyzed 160 tumors from all 3 World Health Organization (WHO) grades (I through III) using clinical, gene expression, and sequencing data. Unsupervised clustering analysis identified 3 molecular types (A, B, and C) that reliably predicted recurrence. These groups did not directly correlate with the WHO grading system, which classifies more than half of the tumors in the most aggressive molecular type as benign. Transcriptional and biochemical analyses revealed that aggressive meningiomas involve loss of the repressor function of the DREAM complex, which results in cell-cycle activation; only tumors in this category tend to recur after full resection. These findings should improve our ability to predict recurrence and develop targeted treatments for these clinically challenging tumors.","author":[{"dropping-particle":"","family":"Patel","given":"Akash J.","non-dropping-particle":"","parse-names":false,"suffix":""},{"dropping-particle":"","family":"Wan","given":"Ying Wooi","non-dropping-particle":"","parse-names":false,"suffix":""},{"dropping-particle":"","family":"Al-Ouran","given":"Rami","non-dropping-particle":"","parse-names":false,"suffix":""},{"dropping-particle":"","family":"Revelli","given":"Jean Pierre","non-dropping-particle":"","parse-names":false,"suffix":""},{"dropping-particle":"","family":"Cardenas","given":"Maria F.","non-dropping-particle":"","parse-names":false,"suffix":""},{"dropping-particle":"","family":"Oneissi","given":"Mazen","non-dropping-particle":"","parse-names":false,"suffix":""},{"dropping-particle":"","family":"Xi","given":"Liu","non-dropping-particle":"","parse-names":false,"suffix":""},{"dropping-particle":"","family":"Jalali","given":"Ali","non-dropping-particle":"","parse-names":false,"suffix":""},{"dropping-particle":"","family":"Magnotti","given":"John F.","non-dropping-particle":"","parse-names":false,"suffix":""},{"dropping-particle":"","family":"Muzny","given":"Donna M.","non-dropping-particle":"","parse-names":false,"suffix":""},{"dropping-particle":"","family":"Doddapaneni","given":"Harsha Vardhan","non-dropping-particle":"","parse-names":false,"suffix":""},{"dropping-particle":"","family":"Sebastian","given":"Sherly","non-dropping-particle":"","parse-names":false,"suffix":""},{"dropping-particle":"","family":"Heck","given":"Kent A.","non-dropping-particle":"","parse-names":false,"suffix":""},{"dropping-particle":"","family":"Clay Goodman","given":"J.","non-dropping-particle":"","parse-names":false,"suffix":""},{"dropping-particle":"","family":"Gopinath","given":"Shankar P.","non-dropping-particle":"","parse-names":false,"suffix":""},{"dropping-particle":"","family":"Liu","given":"Zhandong","non-dropping-particle":"","parse-names":false,"suffix":""},{"dropping-particle":"","family":"Rao","given":"Ganesh","non-dropping-particle":"","parse-names":false,"suffix":""},{"dropping-particle":"","family":"Plon","given":"Sharon E.","non-dropping-particle":"","parse-names":false,"suffix":""},{"dropping-particle":"","family":"Yoshor","given":"Daniel","non-dropping-particle":"","parse-names":false,"suffix":""},{"dropping-particle":"","family":"Wheeler","given":"David A.","non-dropping-particle":"","parse-names":false,"suffix":""},{"dropping-particle":"","family":"Zoghbi","given":"Huda Y.","non-dropping-particle":"","parse-names":false,"suffix":""},{"dropping-particle":"","family":"Klisch","given":"Tiemo J.","non-dropping-particle":"","parse-names":false,"suffix":""}],"container-title":"Proceedings of the National Academy of Sciences of the United States of America","id":"ITEM-1","issue":"43","issued":{"date-parts":[["2019"]]},"page":"21715-21726","title":"Molecular profiling predicts meningioma recurrence and reveals loss of DREAM complex repression in aggressive tumors","type":"article-journal","volume":"116"},"uris":["http://www.mendeley.com/documents/?uuid=1b4206bc-8c3c-450b-8aa6-392bbc4800d8"]}],"mendeley":{"formattedCitation":"&lt;sup&gt;15&lt;/sup&gt;","plainTextFormattedCitation":"15","previouslyFormattedCitation":"&lt;sup&gt;15&lt;/sup&gt;"},"properties":{"noteIndex":0},"schema":"https://github.com/citation-style-language/schema/raw/master/csl-citation.json"}</w:instrText>
            </w:r>
            <w:r w:rsidR="003C7905">
              <w:rPr>
                <w:color w:val="000000"/>
                <w:sz w:val="18"/>
                <w:szCs w:val="18"/>
              </w:rPr>
              <w:fldChar w:fldCharType="separate"/>
            </w:r>
            <w:r w:rsidR="000F4EF5" w:rsidRPr="000F4EF5">
              <w:rPr>
                <w:noProof/>
                <w:color w:val="000000"/>
                <w:sz w:val="18"/>
                <w:szCs w:val="18"/>
                <w:vertAlign w:val="superscript"/>
              </w:rPr>
              <w:t>15</w:t>
            </w:r>
            <w:r w:rsidR="003C7905">
              <w:rPr>
                <w:color w:val="000000"/>
                <w:sz w:val="18"/>
                <w:szCs w:val="18"/>
              </w:rPr>
              <w:fldChar w:fldCharType="end"/>
            </w:r>
            <w:r w:rsidR="0082553F" w:rsidRPr="00CE4E1F">
              <w:rPr>
                <w:color w:val="000000"/>
                <w:sz w:val="18"/>
                <w:szCs w:val="18"/>
              </w:rPr>
              <w:t xml:space="preserve"> </w:t>
            </w:r>
            <w:r>
              <w:rPr>
                <w:color w:val="000000"/>
                <w:sz w:val="18"/>
                <w:szCs w:val="18"/>
              </w:rPr>
              <w:t>(</w:t>
            </w:r>
            <w:r w:rsidR="0082553F" w:rsidRPr="00CE4E1F">
              <w:rPr>
                <w:color w:val="000000"/>
                <w:sz w:val="18"/>
                <w:szCs w:val="18"/>
              </w:rPr>
              <w:t>B vs A</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1326370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0.93</w:t>
            </w:r>
          </w:p>
        </w:tc>
        <w:tc>
          <w:tcPr>
            <w:tcW w:w="1578" w:type="dxa"/>
            <w:tcBorders>
              <w:top w:val="nil"/>
              <w:left w:val="nil"/>
              <w:bottom w:val="single" w:sz="4" w:space="0" w:color="auto"/>
              <w:right w:val="single" w:sz="4" w:space="0" w:color="auto"/>
            </w:tcBorders>
            <w:shd w:val="clear" w:color="auto" w:fill="auto"/>
            <w:noWrap/>
            <w:vAlign w:val="bottom"/>
            <w:hideMark/>
          </w:tcPr>
          <w:p w14:paraId="3C1AF51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0.44</w:t>
            </w:r>
          </w:p>
        </w:tc>
        <w:tc>
          <w:tcPr>
            <w:tcW w:w="1620" w:type="dxa"/>
            <w:tcBorders>
              <w:top w:val="nil"/>
              <w:left w:val="nil"/>
              <w:bottom w:val="single" w:sz="4" w:space="0" w:color="auto"/>
              <w:right w:val="single" w:sz="4" w:space="0" w:color="auto"/>
            </w:tcBorders>
            <w:shd w:val="clear" w:color="auto" w:fill="auto"/>
            <w:noWrap/>
            <w:vAlign w:val="bottom"/>
            <w:hideMark/>
          </w:tcPr>
          <w:p w14:paraId="713A625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1.92</w:t>
            </w:r>
          </w:p>
        </w:tc>
        <w:tc>
          <w:tcPr>
            <w:tcW w:w="1075" w:type="dxa"/>
            <w:tcBorders>
              <w:top w:val="nil"/>
              <w:left w:val="nil"/>
              <w:bottom w:val="single" w:sz="4" w:space="0" w:color="auto"/>
              <w:right w:val="single" w:sz="4" w:space="0" w:color="auto"/>
            </w:tcBorders>
            <w:shd w:val="clear" w:color="auto" w:fill="auto"/>
            <w:noWrap/>
            <w:vAlign w:val="bottom"/>
            <w:hideMark/>
          </w:tcPr>
          <w:p w14:paraId="67DC0A7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0.83487</w:t>
            </w:r>
          </w:p>
        </w:tc>
      </w:tr>
      <w:tr w:rsidR="0082553F" w:rsidRPr="00CE4E1F" w14:paraId="6545F76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07E8B7A" w14:textId="58AE449B" w:rsidR="0082553F" w:rsidRPr="00CE4E1F" w:rsidRDefault="00427B2D" w:rsidP="00742F09">
            <w:pPr>
              <w:spacing w:line="360" w:lineRule="auto"/>
              <w:contextualSpacing/>
              <w:jc w:val="both"/>
              <w:rPr>
                <w:color w:val="000000"/>
                <w:sz w:val="18"/>
                <w:szCs w:val="18"/>
              </w:rPr>
            </w:pPr>
            <w:r>
              <w:rPr>
                <w:color w:val="000000"/>
                <w:sz w:val="18"/>
                <w:szCs w:val="18"/>
              </w:rPr>
              <w:lastRenderedPageBreak/>
              <w:t>Gene expression types</w:t>
            </w:r>
            <w:r w:rsidRPr="00CE4E1F">
              <w:rPr>
                <w:color w:val="000000"/>
                <w:sz w:val="18"/>
                <w:szCs w:val="18"/>
              </w:rPr>
              <w:t xml:space="preserve"> </w:t>
            </w:r>
            <w:r>
              <w:rPr>
                <w:color w:val="000000"/>
                <w:sz w:val="18"/>
                <w:szCs w:val="18"/>
              </w:rPr>
              <w:t>(C</w:t>
            </w:r>
            <w:r w:rsidRPr="00CE4E1F">
              <w:rPr>
                <w:color w:val="000000"/>
                <w:sz w:val="18"/>
                <w:szCs w:val="18"/>
              </w:rPr>
              <w:t xml:space="preserve"> vs A</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41B9C65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1.42</w:t>
            </w:r>
          </w:p>
        </w:tc>
        <w:tc>
          <w:tcPr>
            <w:tcW w:w="1578" w:type="dxa"/>
            <w:tcBorders>
              <w:top w:val="nil"/>
              <w:left w:val="nil"/>
              <w:bottom w:val="single" w:sz="4" w:space="0" w:color="auto"/>
              <w:right w:val="single" w:sz="4" w:space="0" w:color="auto"/>
            </w:tcBorders>
            <w:shd w:val="clear" w:color="auto" w:fill="auto"/>
            <w:noWrap/>
            <w:vAlign w:val="bottom"/>
            <w:hideMark/>
          </w:tcPr>
          <w:p w14:paraId="0EFA338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0.71</w:t>
            </w:r>
          </w:p>
        </w:tc>
        <w:tc>
          <w:tcPr>
            <w:tcW w:w="1620" w:type="dxa"/>
            <w:tcBorders>
              <w:top w:val="nil"/>
              <w:left w:val="nil"/>
              <w:bottom w:val="single" w:sz="4" w:space="0" w:color="auto"/>
              <w:right w:val="single" w:sz="4" w:space="0" w:color="auto"/>
            </w:tcBorders>
            <w:shd w:val="clear" w:color="auto" w:fill="auto"/>
            <w:noWrap/>
            <w:vAlign w:val="bottom"/>
            <w:hideMark/>
          </w:tcPr>
          <w:p w14:paraId="2F9664B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2.81</w:t>
            </w:r>
          </w:p>
        </w:tc>
        <w:tc>
          <w:tcPr>
            <w:tcW w:w="1075" w:type="dxa"/>
            <w:tcBorders>
              <w:top w:val="nil"/>
              <w:left w:val="nil"/>
              <w:bottom w:val="single" w:sz="4" w:space="0" w:color="auto"/>
              <w:right w:val="single" w:sz="4" w:space="0" w:color="auto"/>
            </w:tcBorders>
            <w:shd w:val="clear" w:color="auto" w:fill="auto"/>
            <w:noWrap/>
            <w:vAlign w:val="bottom"/>
            <w:hideMark/>
          </w:tcPr>
          <w:p w14:paraId="37A237D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0.31847</w:t>
            </w:r>
          </w:p>
        </w:tc>
      </w:tr>
      <w:tr w:rsidR="0082553F" w:rsidRPr="00CE4E1F" w14:paraId="1C708F2D"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830BCE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10CCA4C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1.75</w:t>
            </w:r>
          </w:p>
        </w:tc>
        <w:tc>
          <w:tcPr>
            <w:tcW w:w="1578" w:type="dxa"/>
            <w:tcBorders>
              <w:top w:val="nil"/>
              <w:left w:val="nil"/>
              <w:bottom w:val="single" w:sz="4" w:space="0" w:color="auto"/>
              <w:right w:val="single" w:sz="4" w:space="0" w:color="auto"/>
            </w:tcBorders>
            <w:shd w:val="clear" w:color="auto" w:fill="auto"/>
            <w:noWrap/>
            <w:vAlign w:val="bottom"/>
            <w:hideMark/>
          </w:tcPr>
          <w:p w14:paraId="15D9D6C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1.08</w:t>
            </w:r>
          </w:p>
        </w:tc>
        <w:tc>
          <w:tcPr>
            <w:tcW w:w="1620" w:type="dxa"/>
            <w:tcBorders>
              <w:top w:val="nil"/>
              <w:left w:val="nil"/>
              <w:bottom w:val="single" w:sz="4" w:space="0" w:color="auto"/>
              <w:right w:val="single" w:sz="4" w:space="0" w:color="auto"/>
            </w:tcBorders>
            <w:shd w:val="clear" w:color="auto" w:fill="auto"/>
            <w:noWrap/>
            <w:vAlign w:val="bottom"/>
            <w:hideMark/>
          </w:tcPr>
          <w:p w14:paraId="61119FD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2.84</w:t>
            </w:r>
          </w:p>
        </w:tc>
        <w:tc>
          <w:tcPr>
            <w:tcW w:w="1075" w:type="dxa"/>
            <w:tcBorders>
              <w:top w:val="nil"/>
              <w:left w:val="nil"/>
              <w:bottom w:val="single" w:sz="4" w:space="0" w:color="auto"/>
              <w:right w:val="single" w:sz="4" w:space="0" w:color="auto"/>
            </w:tcBorders>
            <w:shd w:val="clear" w:color="auto" w:fill="auto"/>
            <w:noWrap/>
            <w:vAlign w:val="bottom"/>
            <w:hideMark/>
          </w:tcPr>
          <w:p w14:paraId="7C2E6F4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0.02398</w:t>
            </w:r>
          </w:p>
        </w:tc>
      </w:tr>
      <w:tr w:rsidR="0082553F" w:rsidRPr="00CE4E1F" w14:paraId="6AA2A06C"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5317FCD" w14:textId="308ACFA4"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770095C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2.32</w:t>
            </w:r>
          </w:p>
        </w:tc>
        <w:tc>
          <w:tcPr>
            <w:tcW w:w="1578" w:type="dxa"/>
            <w:tcBorders>
              <w:top w:val="nil"/>
              <w:left w:val="nil"/>
              <w:bottom w:val="single" w:sz="4" w:space="0" w:color="auto"/>
              <w:right w:val="single" w:sz="4" w:space="0" w:color="auto"/>
            </w:tcBorders>
            <w:shd w:val="clear" w:color="auto" w:fill="auto"/>
            <w:noWrap/>
            <w:vAlign w:val="bottom"/>
            <w:hideMark/>
          </w:tcPr>
          <w:p w14:paraId="6C7E662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1.39</w:t>
            </w:r>
          </w:p>
        </w:tc>
        <w:tc>
          <w:tcPr>
            <w:tcW w:w="1620" w:type="dxa"/>
            <w:tcBorders>
              <w:top w:val="nil"/>
              <w:left w:val="nil"/>
              <w:bottom w:val="single" w:sz="4" w:space="0" w:color="auto"/>
              <w:right w:val="single" w:sz="4" w:space="0" w:color="auto"/>
            </w:tcBorders>
            <w:shd w:val="clear" w:color="auto" w:fill="auto"/>
            <w:noWrap/>
            <w:vAlign w:val="bottom"/>
            <w:hideMark/>
          </w:tcPr>
          <w:p w14:paraId="4822D4C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3.87</w:t>
            </w:r>
          </w:p>
        </w:tc>
        <w:tc>
          <w:tcPr>
            <w:tcW w:w="1075" w:type="dxa"/>
            <w:tcBorders>
              <w:top w:val="nil"/>
              <w:left w:val="nil"/>
              <w:bottom w:val="single" w:sz="4" w:space="0" w:color="auto"/>
              <w:right w:val="single" w:sz="4" w:space="0" w:color="auto"/>
            </w:tcBorders>
            <w:shd w:val="clear" w:color="auto" w:fill="auto"/>
            <w:noWrap/>
            <w:vAlign w:val="bottom"/>
            <w:hideMark/>
          </w:tcPr>
          <w:p w14:paraId="7B4A40B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0.00121</w:t>
            </w:r>
          </w:p>
        </w:tc>
      </w:tr>
      <w:tr w:rsidR="0082553F" w:rsidRPr="00CE4E1F" w14:paraId="1062D61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BF1428C" w14:textId="584C9E8B"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7192E39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1.78</w:t>
            </w:r>
          </w:p>
        </w:tc>
        <w:tc>
          <w:tcPr>
            <w:tcW w:w="1578" w:type="dxa"/>
            <w:tcBorders>
              <w:top w:val="nil"/>
              <w:left w:val="nil"/>
              <w:bottom w:val="single" w:sz="4" w:space="0" w:color="auto"/>
              <w:right w:val="single" w:sz="4" w:space="0" w:color="auto"/>
            </w:tcBorders>
            <w:shd w:val="clear" w:color="auto" w:fill="auto"/>
            <w:noWrap/>
            <w:vAlign w:val="bottom"/>
            <w:hideMark/>
          </w:tcPr>
          <w:p w14:paraId="2B3276C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1.08</w:t>
            </w:r>
          </w:p>
        </w:tc>
        <w:tc>
          <w:tcPr>
            <w:tcW w:w="1620" w:type="dxa"/>
            <w:tcBorders>
              <w:top w:val="nil"/>
              <w:left w:val="nil"/>
              <w:bottom w:val="single" w:sz="4" w:space="0" w:color="auto"/>
              <w:right w:val="single" w:sz="4" w:space="0" w:color="auto"/>
            </w:tcBorders>
            <w:shd w:val="clear" w:color="auto" w:fill="auto"/>
            <w:noWrap/>
            <w:vAlign w:val="bottom"/>
            <w:hideMark/>
          </w:tcPr>
          <w:p w14:paraId="4A0325B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2.91</w:t>
            </w:r>
          </w:p>
        </w:tc>
        <w:tc>
          <w:tcPr>
            <w:tcW w:w="1075" w:type="dxa"/>
            <w:tcBorders>
              <w:top w:val="nil"/>
              <w:left w:val="nil"/>
              <w:bottom w:val="single" w:sz="4" w:space="0" w:color="auto"/>
              <w:right w:val="single" w:sz="4" w:space="0" w:color="auto"/>
            </w:tcBorders>
            <w:shd w:val="clear" w:color="auto" w:fill="auto"/>
            <w:noWrap/>
            <w:vAlign w:val="bottom"/>
            <w:hideMark/>
          </w:tcPr>
          <w:p w14:paraId="75CB395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0.02281</w:t>
            </w:r>
          </w:p>
        </w:tc>
      </w:tr>
      <w:tr w:rsidR="0082553F" w:rsidRPr="00CE4E1F" w14:paraId="5CCC7D5D"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3ABBAEA2" w14:textId="0E6B1DC8"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4D274FD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1.06</w:t>
            </w:r>
          </w:p>
        </w:tc>
        <w:tc>
          <w:tcPr>
            <w:tcW w:w="1578" w:type="dxa"/>
            <w:tcBorders>
              <w:top w:val="nil"/>
              <w:left w:val="nil"/>
              <w:bottom w:val="single" w:sz="4" w:space="0" w:color="auto"/>
              <w:right w:val="single" w:sz="4" w:space="0" w:color="auto"/>
            </w:tcBorders>
            <w:shd w:val="clear" w:color="auto" w:fill="auto"/>
            <w:noWrap/>
            <w:vAlign w:val="bottom"/>
            <w:hideMark/>
          </w:tcPr>
          <w:p w14:paraId="783001B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0.14</w:t>
            </w:r>
          </w:p>
        </w:tc>
        <w:tc>
          <w:tcPr>
            <w:tcW w:w="1620" w:type="dxa"/>
            <w:tcBorders>
              <w:top w:val="nil"/>
              <w:left w:val="nil"/>
              <w:bottom w:val="single" w:sz="4" w:space="0" w:color="auto"/>
              <w:right w:val="single" w:sz="4" w:space="0" w:color="auto"/>
            </w:tcBorders>
            <w:shd w:val="clear" w:color="auto" w:fill="auto"/>
            <w:noWrap/>
            <w:vAlign w:val="bottom"/>
            <w:hideMark/>
          </w:tcPr>
          <w:p w14:paraId="64BFA6C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8.06</w:t>
            </w:r>
          </w:p>
        </w:tc>
        <w:tc>
          <w:tcPr>
            <w:tcW w:w="1075" w:type="dxa"/>
            <w:tcBorders>
              <w:top w:val="nil"/>
              <w:left w:val="nil"/>
              <w:bottom w:val="single" w:sz="4" w:space="0" w:color="auto"/>
              <w:right w:val="single" w:sz="4" w:space="0" w:color="auto"/>
            </w:tcBorders>
            <w:shd w:val="clear" w:color="auto" w:fill="auto"/>
            <w:noWrap/>
            <w:vAlign w:val="bottom"/>
            <w:hideMark/>
          </w:tcPr>
          <w:p w14:paraId="276EB2C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0.95376</w:t>
            </w:r>
          </w:p>
        </w:tc>
      </w:tr>
      <w:tr w:rsidR="0082553F" w:rsidRPr="00CE4E1F" w14:paraId="000692BA"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BF23E2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0747A1E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621A1FA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1F3D77F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142F922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5E1FEDD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73791A9" w14:textId="506D52E1"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6, N=447</w:t>
            </w:r>
          </w:p>
        </w:tc>
        <w:tc>
          <w:tcPr>
            <w:tcW w:w="929" w:type="dxa"/>
            <w:tcBorders>
              <w:top w:val="nil"/>
              <w:left w:val="nil"/>
              <w:bottom w:val="single" w:sz="4" w:space="0" w:color="auto"/>
              <w:right w:val="single" w:sz="4" w:space="0" w:color="auto"/>
            </w:tcBorders>
            <w:shd w:val="clear" w:color="auto" w:fill="auto"/>
            <w:noWrap/>
            <w:vAlign w:val="bottom"/>
            <w:hideMark/>
          </w:tcPr>
          <w:p w14:paraId="49DBBAB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0D95E59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4A94EE6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4E8BA40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79487A0D"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9F345E4" w14:textId="3E62289F"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54CD02E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1.51</w:t>
            </w:r>
          </w:p>
        </w:tc>
        <w:tc>
          <w:tcPr>
            <w:tcW w:w="1578" w:type="dxa"/>
            <w:tcBorders>
              <w:top w:val="nil"/>
              <w:left w:val="nil"/>
              <w:bottom w:val="single" w:sz="4" w:space="0" w:color="auto"/>
              <w:right w:val="single" w:sz="4" w:space="0" w:color="auto"/>
            </w:tcBorders>
            <w:shd w:val="clear" w:color="auto" w:fill="auto"/>
            <w:noWrap/>
            <w:vAlign w:val="bottom"/>
            <w:hideMark/>
          </w:tcPr>
          <w:p w14:paraId="57F6732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1.28</w:t>
            </w:r>
          </w:p>
        </w:tc>
        <w:tc>
          <w:tcPr>
            <w:tcW w:w="1620" w:type="dxa"/>
            <w:tcBorders>
              <w:top w:val="nil"/>
              <w:left w:val="nil"/>
              <w:bottom w:val="single" w:sz="4" w:space="0" w:color="auto"/>
              <w:right w:val="single" w:sz="4" w:space="0" w:color="auto"/>
            </w:tcBorders>
            <w:shd w:val="clear" w:color="auto" w:fill="auto"/>
            <w:noWrap/>
            <w:vAlign w:val="bottom"/>
            <w:hideMark/>
          </w:tcPr>
          <w:p w14:paraId="24AB667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1.79</w:t>
            </w:r>
          </w:p>
        </w:tc>
        <w:tc>
          <w:tcPr>
            <w:tcW w:w="1075" w:type="dxa"/>
            <w:tcBorders>
              <w:top w:val="nil"/>
              <w:left w:val="nil"/>
              <w:bottom w:val="single" w:sz="4" w:space="0" w:color="auto"/>
              <w:right w:val="single" w:sz="4" w:space="0" w:color="auto"/>
            </w:tcBorders>
            <w:shd w:val="clear" w:color="auto" w:fill="auto"/>
            <w:noWrap/>
            <w:vAlign w:val="bottom"/>
            <w:hideMark/>
          </w:tcPr>
          <w:p w14:paraId="5E86ED3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1.61E-06</w:t>
            </w:r>
          </w:p>
        </w:tc>
      </w:tr>
      <w:tr w:rsidR="0082553F" w:rsidRPr="00CE4E1F" w14:paraId="2601E3A4"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C7F41B3" w14:textId="07267E87" w:rsidR="0082553F" w:rsidRPr="00CE4E1F" w:rsidRDefault="00427B2D" w:rsidP="00742F09">
            <w:pPr>
              <w:spacing w:line="360" w:lineRule="auto"/>
              <w:contextualSpacing/>
              <w:jc w:val="both"/>
              <w:rPr>
                <w:color w:val="000000"/>
                <w:sz w:val="18"/>
                <w:szCs w:val="18"/>
              </w:rPr>
            </w:pPr>
            <w:r>
              <w:rPr>
                <w:color w:val="000000"/>
                <w:sz w:val="18"/>
                <w:szCs w:val="18"/>
              </w:rPr>
              <w:t>DNA methylation probe score</w:t>
            </w:r>
            <w:r w:rsidR="003C7905">
              <w:rPr>
                <w:color w:val="000000"/>
                <w:sz w:val="18"/>
                <w:szCs w:val="18"/>
              </w:rPr>
              <w:fldChar w:fldCharType="begin" w:fldLock="1"/>
            </w:r>
            <w:r w:rsidR="000F4EF5">
              <w:rPr>
                <w:color w:val="000000"/>
                <w:sz w:val="18"/>
                <w:szCs w:val="18"/>
              </w:rPr>
              <w:instrText>ADDIN CSL_CITATION {"citationItems":[{"id":"ITEM-1","itemData":{"DOI":"10.1007/s00401-017-1678-x","ISSN":"14320533","PMID":"28130639","abstract":"Meningioma is the most common primary brain tumor and carries a substantial risk of local recurrence. Methylation profiles of meningioma and their clinical implications are not well understood. We hypothesized that aggressive meningiomas have unique DNA methylation patterns that could be used to better stratify patient management. Samples (n = 140) were profiled using the Illumina HumanMethylation450BeadChip. Unsupervised modeling on a training set (n = 89) identified 2 molecular methylation subgroups of meningioma (MM) with significantly different recurrence-free survival (RFS) times between the groups: a prognostically unfavorable subgroup (MM-UNFAV) and a prognostically favorable subgroup (MM-FAV). This finding was validated in the remaining 51 samples and led to a baseline meningioma methylation classifier (bMMC) defined by 283 CpG loci (283-bMMC). To further optimize a recurrence predictor, probes subsumed within the baseline classifier were subject to additional modeling using a similar training/validation approach, leading to a 64-CpG loci meningioma methylation predictor (64-MMP). After adjustment for relevant clinical variables [WHO grade, mitotic index, Simpson grade, sex, location, and copy number aberrations (CNAs)] multivariable analyses for RFS showed that the baseline methylation classifier was not significant (p = 0.0793). The methylation predictor, however, was significantly associated with tumor recurrence (p &lt; 0.0001). CNAs were extracted from the 450k intensity profiles. Tumor samples in the MM-UNFAV subgroup showed an overall higher proportion of CNAs compared to the MM-FAV subgroup tumors and the CNAs were complex in nature. CNAs in the MM-UNFAV subgroup included recurrent losses of 1p, 6q, 14q and 18q, and gain of 1q, all of which were previously identified as indicators of poor outcome. In conclusion, our analyses demonstrate robust DNA methylation signatures in meningioma that correlate with CNAs and stratify patients by recurrence risk.","author":[{"dropping-particle":"","family":"Olar","given":"Adriana","non-dropping-particle":"","parse-names":false,"suffix":""},{"dropping-particle":"","family":"Wani","given":"Khalida M.","non-dropping-particle":"","parse-names":false,"suffix":""},{"dropping-particle":"","family":"Wilson","given":"Charmaine D.","non-dropping-particle":"","parse-names":false,"suffix":""},{"dropping-particle":"","family":"Zadeh","given":"Gelareh","non-dropping-particle":"","parse-names":false,"suffix":""},{"dropping-particle":"","family":"DeMonte","given":"Franco","non-dropping-particle":"","parse-names":false,"suffix":""},{"dropping-particle":"","family":"Jones","given":"David T.W.","non-dropping-particle":"","parse-names":false,"suffix":""},{"dropping-particle":"","family":"Pfister","given":"Stefan M.","non-dropping-particle":"","parse-names":false,"suffix":""},{"dropping-particle":"","family":"Sulman","given":"Erik P.","non-dropping-particle":"","parse-names":false,"suffix":""},{"dropping-particle":"","family":"Aldape","given":"Kenneth D.","non-dropping-particle":"","parse-names":false,"suffix":""}],"container-title":"Acta Neuropathologica","id":"ITEM-1","issue":"3","issued":{"date-parts":[["2017"]]},"page":"431-444","title":"Global epigenetic profiling identifies methylation subgroups associated with recurrence-free survival in meningioma","type":"article-journal","volume":"133"},"uris":["http://www.mendeley.com/documents/?uuid=b111c76e-f8e4-42d8-9fd2-23b50e32f97d"]}],"mendeley":{"formattedCitation":"&lt;sup&gt;24&lt;/sup&gt;","plainTextFormattedCitation":"24","previouslyFormattedCitation":"&lt;sup&gt;24&lt;/sup&gt;"},"properties":{"noteIndex":0},"schema":"https://github.com/citation-style-language/schema/raw/master/csl-citation.json"}</w:instrText>
            </w:r>
            <w:r w:rsidR="003C7905">
              <w:rPr>
                <w:color w:val="000000"/>
                <w:sz w:val="18"/>
                <w:szCs w:val="18"/>
              </w:rPr>
              <w:fldChar w:fldCharType="separate"/>
            </w:r>
            <w:r w:rsidR="000F4EF5" w:rsidRPr="000F4EF5">
              <w:rPr>
                <w:noProof/>
                <w:color w:val="000000"/>
                <w:sz w:val="18"/>
                <w:szCs w:val="18"/>
                <w:vertAlign w:val="superscript"/>
              </w:rPr>
              <w:t>24</w:t>
            </w:r>
            <w:r w:rsidR="003C7905">
              <w:rPr>
                <w:color w:val="000000"/>
                <w:sz w:val="18"/>
                <w:szCs w:val="18"/>
              </w:rPr>
              <w:fldChar w:fldCharType="end"/>
            </w:r>
          </w:p>
        </w:tc>
        <w:tc>
          <w:tcPr>
            <w:tcW w:w="929" w:type="dxa"/>
            <w:tcBorders>
              <w:top w:val="nil"/>
              <w:left w:val="nil"/>
              <w:bottom w:val="single" w:sz="4" w:space="0" w:color="auto"/>
              <w:right w:val="single" w:sz="4" w:space="0" w:color="auto"/>
            </w:tcBorders>
            <w:shd w:val="clear" w:color="auto" w:fill="auto"/>
            <w:noWrap/>
            <w:vAlign w:val="bottom"/>
            <w:hideMark/>
          </w:tcPr>
          <w:p w14:paraId="69086F5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1.18</w:t>
            </w:r>
          </w:p>
        </w:tc>
        <w:tc>
          <w:tcPr>
            <w:tcW w:w="1578" w:type="dxa"/>
            <w:tcBorders>
              <w:top w:val="nil"/>
              <w:left w:val="nil"/>
              <w:bottom w:val="single" w:sz="4" w:space="0" w:color="auto"/>
              <w:right w:val="single" w:sz="4" w:space="0" w:color="auto"/>
            </w:tcBorders>
            <w:shd w:val="clear" w:color="auto" w:fill="auto"/>
            <w:noWrap/>
            <w:vAlign w:val="bottom"/>
            <w:hideMark/>
          </w:tcPr>
          <w:p w14:paraId="03A3DAB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1.01</w:t>
            </w:r>
          </w:p>
        </w:tc>
        <w:tc>
          <w:tcPr>
            <w:tcW w:w="1620" w:type="dxa"/>
            <w:tcBorders>
              <w:top w:val="nil"/>
              <w:left w:val="nil"/>
              <w:bottom w:val="single" w:sz="4" w:space="0" w:color="auto"/>
              <w:right w:val="single" w:sz="4" w:space="0" w:color="auto"/>
            </w:tcBorders>
            <w:shd w:val="clear" w:color="auto" w:fill="auto"/>
            <w:noWrap/>
            <w:vAlign w:val="bottom"/>
            <w:hideMark/>
          </w:tcPr>
          <w:p w14:paraId="400B236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1.38</w:t>
            </w:r>
          </w:p>
        </w:tc>
        <w:tc>
          <w:tcPr>
            <w:tcW w:w="1075" w:type="dxa"/>
            <w:tcBorders>
              <w:top w:val="nil"/>
              <w:left w:val="nil"/>
              <w:bottom w:val="single" w:sz="4" w:space="0" w:color="auto"/>
              <w:right w:val="single" w:sz="4" w:space="0" w:color="auto"/>
            </w:tcBorders>
            <w:shd w:val="clear" w:color="auto" w:fill="auto"/>
            <w:noWrap/>
            <w:vAlign w:val="bottom"/>
            <w:hideMark/>
          </w:tcPr>
          <w:p w14:paraId="06592C3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0.0336</w:t>
            </w:r>
          </w:p>
        </w:tc>
      </w:tr>
      <w:tr w:rsidR="0082553F" w:rsidRPr="00CE4E1F" w14:paraId="111CF484"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3186E41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1EEA2F1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1.64</w:t>
            </w:r>
          </w:p>
        </w:tc>
        <w:tc>
          <w:tcPr>
            <w:tcW w:w="1578" w:type="dxa"/>
            <w:tcBorders>
              <w:top w:val="nil"/>
              <w:left w:val="nil"/>
              <w:bottom w:val="single" w:sz="4" w:space="0" w:color="auto"/>
              <w:right w:val="single" w:sz="4" w:space="0" w:color="auto"/>
            </w:tcBorders>
            <w:shd w:val="clear" w:color="auto" w:fill="auto"/>
            <w:noWrap/>
            <w:vAlign w:val="bottom"/>
            <w:hideMark/>
          </w:tcPr>
          <w:p w14:paraId="191C3C5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1.12</w:t>
            </w:r>
          </w:p>
        </w:tc>
        <w:tc>
          <w:tcPr>
            <w:tcW w:w="1620" w:type="dxa"/>
            <w:tcBorders>
              <w:top w:val="nil"/>
              <w:left w:val="nil"/>
              <w:bottom w:val="single" w:sz="4" w:space="0" w:color="auto"/>
              <w:right w:val="single" w:sz="4" w:space="0" w:color="auto"/>
            </w:tcBorders>
            <w:shd w:val="clear" w:color="auto" w:fill="auto"/>
            <w:noWrap/>
            <w:vAlign w:val="bottom"/>
            <w:hideMark/>
          </w:tcPr>
          <w:p w14:paraId="6B4308E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2.39</w:t>
            </w:r>
          </w:p>
        </w:tc>
        <w:tc>
          <w:tcPr>
            <w:tcW w:w="1075" w:type="dxa"/>
            <w:tcBorders>
              <w:top w:val="nil"/>
              <w:left w:val="nil"/>
              <w:bottom w:val="single" w:sz="4" w:space="0" w:color="auto"/>
              <w:right w:val="single" w:sz="4" w:space="0" w:color="auto"/>
            </w:tcBorders>
            <w:shd w:val="clear" w:color="auto" w:fill="auto"/>
            <w:noWrap/>
            <w:vAlign w:val="bottom"/>
            <w:hideMark/>
          </w:tcPr>
          <w:p w14:paraId="05B8799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0.0109</w:t>
            </w:r>
          </w:p>
        </w:tc>
      </w:tr>
      <w:tr w:rsidR="0082553F" w:rsidRPr="00CE4E1F" w14:paraId="38AB92B4"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EDD25F3" w14:textId="30994AD4"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2505A56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3.47</w:t>
            </w:r>
          </w:p>
        </w:tc>
        <w:tc>
          <w:tcPr>
            <w:tcW w:w="1578" w:type="dxa"/>
            <w:tcBorders>
              <w:top w:val="nil"/>
              <w:left w:val="nil"/>
              <w:bottom w:val="single" w:sz="4" w:space="0" w:color="auto"/>
              <w:right w:val="single" w:sz="4" w:space="0" w:color="auto"/>
            </w:tcBorders>
            <w:shd w:val="clear" w:color="auto" w:fill="auto"/>
            <w:noWrap/>
            <w:vAlign w:val="bottom"/>
            <w:hideMark/>
          </w:tcPr>
          <w:p w14:paraId="64A66CB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2.17</w:t>
            </w:r>
          </w:p>
        </w:tc>
        <w:tc>
          <w:tcPr>
            <w:tcW w:w="1620" w:type="dxa"/>
            <w:tcBorders>
              <w:top w:val="nil"/>
              <w:left w:val="nil"/>
              <w:bottom w:val="single" w:sz="4" w:space="0" w:color="auto"/>
              <w:right w:val="single" w:sz="4" w:space="0" w:color="auto"/>
            </w:tcBorders>
            <w:shd w:val="clear" w:color="auto" w:fill="auto"/>
            <w:noWrap/>
            <w:vAlign w:val="bottom"/>
            <w:hideMark/>
          </w:tcPr>
          <w:p w14:paraId="5FA60A6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5.54</w:t>
            </w:r>
          </w:p>
        </w:tc>
        <w:tc>
          <w:tcPr>
            <w:tcW w:w="1075" w:type="dxa"/>
            <w:tcBorders>
              <w:top w:val="nil"/>
              <w:left w:val="nil"/>
              <w:bottom w:val="single" w:sz="4" w:space="0" w:color="auto"/>
              <w:right w:val="single" w:sz="4" w:space="0" w:color="auto"/>
            </w:tcBorders>
            <w:shd w:val="clear" w:color="auto" w:fill="auto"/>
            <w:noWrap/>
            <w:vAlign w:val="bottom"/>
            <w:hideMark/>
          </w:tcPr>
          <w:p w14:paraId="7FE96A9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1.95E-07</w:t>
            </w:r>
          </w:p>
        </w:tc>
      </w:tr>
      <w:tr w:rsidR="0082553F" w:rsidRPr="00CE4E1F" w14:paraId="0143B7A7"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927C781" w14:textId="03D88368"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761D579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1.29</w:t>
            </w:r>
          </w:p>
        </w:tc>
        <w:tc>
          <w:tcPr>
            <w:tcW w:w="1578" w:type="dxa"/>
            <w:tcBorders>
              <w:top w:val="nil"/>
              <w:left w:val="nil"/>
              <w:bottom w:val="single" w:sz="4" w:space="0" w:color="auto"/>
              <w:right w:val="single" w:sz="4" w:space="0" w:color="auto"/>
            </w:tcBorders>
            <w:shd w:val="clear" w:color="auto" w:fill="auto"/>
            <w:noWrap/>
            <w:vAlign w:val="bottom"/>
            <w:hideMark/>
          </w:tcPr>
          <w:p w14:paraId="5EB6DAE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0.83</w:t>
            </w:r>
          </w:p>
        </w:tc>
        <w:tc>
          <w:tcPr>
            <w:tcW w:w="1620" w:type="dxa"/>
            <w:tcBorders>
              <w:top w:val="nil"/>
              <w:left w:val="nil"/>
              <w:bottom w:val="single" w:sz="4" w:space="0" w:color="auto"/>
              <w:right w:val="single" w:sz="4" w:space="0" w:color="auto"/>
            </w:tcBorders>
            <w:shd w:val="clear" w:color="auto" w:fill="auto"/>
            <w:noWrap/>
            <w:vAlign w:val="bottom"/>
            <w:hideMark/>
          </w:tcPr>
          <w:p w14:paraId="27F8CB0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1.99</w:t>
            </w:r>
          </w:p>
        </w:tc>
        <w:tc>
          <w:tcPr>
            <w:tcW w:w="1075" w:type="dxa"/>
            <w:tcBorders>
              <w:top w:val="nil"/>
              <w:left w:val="nil"/>
              <w:bottom w:val="single" w:sz="4" w:space="0" w:color="auto"/>
              <w:right w:val="single" w:sz="4" w:space="0" w:color="auto"/>
            </w:tcBorders>
            <w:shd w:val="clear" w:color="auto" w:fill="auto"/>
            <w:noWrap/>
            <w:vAlign w:val="bottom"/>
            <w:hideMark/>
          </w:tcPr>
          <w:p w14:paraId="0E918FB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0.2629</w:t>
            </w:r>
          </w:p>
        </w:tc>
      </w:tr>
      <w:tr w:rsidR="0082553F" w:rsidRPr="00CE4E1F" w14:paraId="5E7BDCC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DE9366B" w14:textId="2435DED6"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16D97BE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1.69</w:t>
            </w:r>
          </w:p>
        </w:tc>
        <w:tc>
          <w:tcPr>
            <w:tcW w:w="1578" w:type="dxa"/>
            <w:tcBorders>
              <w:top w:val="nil"/>
              <w:left w:val="nil"/>
              <w:bottom w:val="single" w:sz="4" w:space="0" w:color="auto"/>
              <w:right w:val="single" w:sz="4" w:space="0" w:color="auto"/>
            </w:tcBorders>
            <w:shd w:val="clear" w:color="auto" w:fill="auto"/>
            <w:noWrap/>
            <w:vAlign w:val="bottom"/>
            <w:hideMark/>
          </w:tcPr>
          <w:p w14:paraId="3073AB9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1.02</w:t>
            </w:r>
          </w:p>
        </w:tc>
        <w:tc>
          <w:tcPr>
            <w:tcW w:w="1620" w:type="dxa"/>
            <w:tcBorders>
              <w:top w:val="nil"/>
              <w:left w:val="nil"/>
              <w:bottom w:val="single" w:sz="4" w:space="0" w:color="auto"/>
              <w:right w:val="single" w:sz="4" w:space="0" w:color="auto"/>
            </w:tcBorders>
            <w:shd w:val="clear" w:color="auto" w:fill="auto"/>
            <w:noWrap/>
            <w:vAlign w:val="bottom"/>
            <w:hideMark/>
          </w:tcPr>
          <w:p w14:paraId="6089BCE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2.78</w:t>
            </w:r>
          </w:p>
        </w:tc>
        <w:tc>
          <w:tcPr>
            <w:tcW w:w="1075" w:type="dxa"/>
            <w:tcBorders>
              <w:top w:val="nil"/>
              <w:left w:val="nil"/>
              <w:bottom w:val="single" w:sz="4" w:space="0" w:color="auto"/>
              <w:right w:val="single" w:sz="4" w:space="0" w:color="auto"/>
            </w:tcBorders>
            <w:shd w:val="clear" w:color="auto" w:fill="auto"/>
            <w:noWrap/>
            <w:vAlign w:val="bottom"/>
            <w:hideMark/>
          </w:tcPr>
          <w:p w14:paraId="1F21606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0.041</w:t>
            </w:r>
          </w:p>
        </w:tc>
      </w:tr>
      <w:tr w:rsidR="0082553F" w:rsidRPr="00CE4E1F" w14:paraId="5B46BBE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0D0BEB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7330595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20DFBAD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421097E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11A0A78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56E1CD59"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3A29389" w14:textId="4E217EB2"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7, N=452</w:t>
            </w:r>
          </w:p>
        </w:tc>
        <w:tc>
          <w:tcPr>
            <w:tcW w:w="929" w:type="dxa"/>
            <w:tcBorders>
              <w:top w:val="nil"/>
              <w:left w:val="nil"/>
              <w:bottom w:val="single" w:sz="4" w:space="0" w:color="auto"/>
              <w:right w:val="single" w:sz="4" w:space="0" w:color="auto"/>
            </w:tcBorders>
            <w:shd w:val="clear" w:color="auto" w:fill="auto"/>
            <w:noWrap/>
            <w:vAlign w:val="bottom"/>
            <w:hideMark/>
          </w:tcPr>
          <w:p w14:paraId="4F02BEB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375B6B6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4934A1C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032FABE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463C084B"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F8FBDC8" w14:textId="76B67EC5"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3870621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1.62</w:t>
            </w:r>
          </w:p>
        </w:tc>
        <w:tc>
          <w:tcPr>
            <w:tcW w:w="1578" w:type="dxa"/>
            <w:tcBorders>
              <w:top w:val="nil"/>
              <w:left w:val="nil"/>
              <w:bottom w:val="single" w:sz="4" w:space="0" w:color="auto"/>
              <w:right w:val="single" w:sz="4" w:space="0" w:color="auto"/>
            </w:tcBorders>
            <w:shd w:val="clear" w:color="auto" w:fill="auto"/>
            <w:noWrap/>
            <w:vAlign w:val="bottom"/>
            <w:hideMark/>
          </w:tcPr>
          <w:p w14:paraId="4A7014A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1.39</w:t>
            </w:r>
          </w:p>
        </w:tc>
        <w:tc>
          <w:tcPr>
            <w:tcW w:w="1620" w:type="dxa"/>
            <w:tcBorders>
              <w:top w:val="nil"/>
              <w:left w:val="nil"/>
              <w:bottom w:val="single" w:sz="4" w:space="0" w:color="auto"/>
              <w:right w:val="single" w:sz="4" w:space="0" w:color="auto"/>
            </w:tcBorders>
            <w:shd w:val="clear" w:color="auto" w:fill="auto"/>
            <w:noWrap/>
            <w:vAlign w:val="bottom"/>
            <w:hideMark/>
          </w:tcPr>
          <w:p w14:paraId="48D50DA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1.89</w:t>
            </w:r>
          </w:p>
        </w:tc>
        <w:tc>
          <w:tcPr>
            <w:tcW w:w="1075" w:type="dxa"/>
            <w:tcBorders>
              <w:top w:val="nil"/>
              <w:left w:val="nil"/>
              <w:bottom w:val="single" w:sz="4" w:space="0" w:color="auto"/>
              <w:right w:val="single" w:sz="4" w:space="0" w:color="auto"/>
            </w:tcBorders>
            <w:shd w:val="clear" w:color="auto" w:fill="auto"/>
            <w:noWrap/>
            <w:vAlign w:val="bottom"/>
            <w:hideMark/>
          </w:tcPr>
          <w:p w14:paraId="3079A85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1.43E-09</w:t>
            </w:r>
          </w:p>
        </w:tc>
      </w:tr>
      <w:tr w:rsidR="0082553F" w:rsidRPr="00CE4E1F" w14:paraId="69AF0BBC"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816F44D" w14:textId="09102E12" w:rsidR="0082553F" w:rsidRPr="00CE4E1F" w:rsidRDefault="00427B2D" w:rsidP="00742F09">
            <w:pPr>
              <w:spacing w:line="360" w:lineRule="auto"/>
              <w:contextualSpacing/>
              <w:jc w:val="both"/>
              <w:rPr>
                <w:color w:val="000000"/>
                <w:sz w:val="18"/>
                <w:szCs w:val="18"/>
              </w:rPr>
            </w:pPr>
            <w:r>
              <w:rPr>
                <w:color w:val="000000"/>
                <w:sz w:val="18"/>
                <w:szCs w:val="18"/>
              </w:rPr>
              <w:t>DNA methylation groups</w:t>
            </w:r>
            <w:r w:rsidR="003C7905">
              <w:rPr>
                <w:color w:val="000000"/>
                <w:sz w:val="18"/>
                <w:szCs w:val="18"/>
              </w:rPr>
              <w:fldChar w:fldCharType="begin" w:fldLock="1"/>
            </w:r>
            <w:r w:rsidR="003C7905">
              <w:rPr>
                <w:color w:val="000000"/>
                <w:sz w:val="18"/>
                <w:szCs w:val="18"/>
              </w:rPr>
              <w:instrText>ADDIN CSL_CITATION {"citationItems":[{"id":"ITEM-1","itemData":{"DOI":"10.1038/s41588-022-01061-8","ISSN":"15461718","PMID":"35534562","abstract":"Meningiomas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Genetics","id":"ITEM-1","issue":"5","issued":{"date-parts":[["2022","5","9"]]},"page":"649-659","title":"Meningioma DNA methylation groups identify biological drivers and therapeutic vulnerabilities","type":"article-journal","volume":"54"},"uris":["http://www.mendeley.com/documents/?uuid=703cdae5-1236-49c4-bdb8-590c06b07bcf"]}],"mendeley":{"formattedCitation":"&lt;sup&gt;1&lt;/sup&gt;","plainTextFormattedCitation":"1","previouslyFormattedCitation":"&lt;sup&gt;1&lt;/sup&gt;"},"properties":{"noteIndex":0},"schema":"https://github.com/citation-style-language/schema/raw/master/csl-citation.json"}</w:instrText>
            </w:r>
            <w:r w:rsidR="003C7905">
              <w:rPr>
                <w:color w:val="000000"/>
                <w:sz w:val="18"/>
                <w:szCs w:val="18"/>
              </w:rPr>
              <w:fldChar w:fldCharType="separate"/>
            </w:r>
            <w:r w:rsidR="003C7905" w:rsidRPr="003C7905">
              <w:rPr>
                <w:noProof/>
                <w:color w:val="000000"/>
                <w:sz w:val="18"/>
                <w:szCs w:val="18"/>
                <w:vertAlign w:val="superscript"/>
              </w:rPr>
              <w:t>1</w:t>
            </w:r>
            <w:r w:rsidR="003C7905">
              <w:rPr>
                <w:color w:val="000000"/>
                <w:sz w:val="18"/>
                <w:szCs w:val="18"/>
              </w:rPr>
              <w:fldChar w:fldCharType="end"/>
            </w:r>
            <w:r>
              <w:rPr>
                <w:color w:val="000000"/>
                <w:sz w:val="18"/>
                <w:szCs w:val="18"/>
              </w:rPr>
              <w:t xml:space="preserve"> (</w:t>
            </w:r>
            <w:r w:rsidR="0082553F" w:rsidRPr="00CE4E1F">
              <w:rPr>
                <w:color w:val="000000"/>
                <w:sz w:val="18"/>
                <w:szCs w:val="18"/>
              </w:rPr>
              <w:t>Immune-enriched vs Merlin-intact</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73A6D34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1.64</w:t>
            </w:r>
          </w:p>
        </w:tc>
        <w:tc>
          <w:tcPr>
            <w:tcW w:w="1578" w:type="dxa"/>
            <w:tcBorders>
              <w:top w:val="nil"/>
              <w:left w:val="nil"/>
              <w:bottom w:val="single" w:sz="4" w:space="0" w:color="auto"/>
              <w:right w:val="single" w:sz="4" w:space="0" w:color="auto"/>
            </w:tcBorders>
            <w:shd w:val="clear" w:color="auto" w:fill="auto"/>
            <w:noWrap/>
            <w:vAlign w:val="bottom"/>
            <w:hideMark/>
          </w:tcPr>
          <w:p w14:paraId="620482E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0.90</w:t>
            </w:r>
          </w:p>
        </w:tc>
        <w:tc>
          <w:tcPr>
            <w:tcW w:w="1620" w:type="dxa"/>
            <w:tcBorders>
              <w:top w:val="nil"/>
              <w:left w:val="nil"/>
              <w:bottom w:val="single" w:sz="4" w:space="0" w:color="auto"/>
              <w:right w:val="single" w:sz="4" w:space="0" w:color="auto"/>
            </w:tcBorders>
            <w:shd w:val="clear" w:color="auto" w:fill="auto"/>
            <w:noWrap/>
            <w:vAlign w:val="bottom"/>
            <w:hideMark/>
          </w:tcPr>
          <w:p w14:paraId="621E49E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2.99</w:t>
            </w:r>
          </w:p>
        </w:tc>
        <w:tc>
          <w:tcPr>
            <w:tcW w:w="1075" w:type="dxa"/>
            <w:tcBorders>
              <w:top w:val="nil"/>
              <w:left w:val="nil"/>
              <w:bottom w:val="single" w:sz="4" w:space="0" w:color="auto"/>
              <w:right w:val="single" w:sz="4" w:space="0" w:color="auto"/>
            </w:tcBorders>
            <w:shd w:val="clear" w:color="auto" w:fill="auto"/>
            <w:noWrap/>
            <w:vAlign w:val="bottom"/>
            <w:hideMark/>
          </w:tcPr>
          <w:p w14:paraId="3F06246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0.109044</w:t>
            </w:r>
          </w:p>
        </w:tc>
      </w:tr>
      <w:tr w:rsidR="0082553F" w:rsidRPr="00CE4E1F" w14:paraId="5E64D5BC"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B620B5A" w14:textId="1E8719F6" w:rsidR="0082553F" w:rsidRPr="00CE4E1F" w:rsidRDefault="00427B2D" w:rsidP="00742F09">
            <w:pPr>
              <w:spacing w:line="360" w:lineRule="auto"/>
              <w:contextualSpacing/>
              <w:jc w:val="both"/>
              <w:rPr>
                <w:color w:val="000000"/>
                <w:sz w:val="18"/>
                <w:szCs w:val="18"/>
              </w:rPr>
            </w:pPr>
            <w:r>
              <w:rPr>
                <w:color w:val="000000"/>
                <w:sz w:val="18"/>
                <w:szCs w:val="18"/>
              </w:rPr>
              <w:t>DNA methylation groups (</w:t>
            </w:r>
            <w:r w:rsidR="0082553F" w:rsidRPr="00CE4E1F">
              <w:rPr>
                <w:color w:val="000000"/>
                <w:sz w:val="18"/>
                <w:szCs w:val="18"/>
              </w:rPr>
              <w:t>Hypermitotic vs Merlin-intact</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7B5A76A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1.70</w:t>
            </w:r>
          </w:p>
        </w:tc>
        <w:tc>
          <w:tcPr>
            <w:tcW w:w="1578" w:type="dxa"/>
            <w:tcBorders>
              <w:top w:val="nil"/>
              <w:left w:val="nil"/>
              <w:bottom w:val="single" w:sz="4" w:space="0" w:color="auto"/>
              <w:right w:val="single" w:sz="4" w:space="0" w:color="auto"/>
            </w:tcBorders>
            <w:shd w:val="clear" w:color="auto" w:fill="auto"/>
            <w:noWrap/>
            <w:vAlign w:val="bottom"/>
            <w:hideMark/>
          </w:tcPr>
          <w:p w14:paraId="5886C15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0.93</w:t>
            </w:r>
          </w:p>
        </w:tc>
        <w:tc>
          <w:tcPr>
            <w:tcW w:w="1620" w:type="dxa"/>
            <w:tcBorders>
              <w:top w:val="nil"/>
              <w:left w:val="nil"/>
              <w:bottom w:val="single" w:sz="4" w:space="0" w:color="auto"/>
              <w:right w:val="single" w:sz="4" w:space="0" w:color="auto"/>
            </w:tcBorders>
            <w:shd w:val="clear" w:color="auto" w:fill="auto"/>
            <w:noWrap/>
            <w:vAlign w:val="bottom"/>
            <w:hideMark/>
          </w:tcPr>
          <w:p w14:paraId="44B48E0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3.11</w:t>
            </w:r>
          </w:p>
        </w:tc>
        <w:tc>
          <w:tcPr>
            <w:tcW w:w="1075" w:type="dxa"/>
            <w:tcBorders>
              <w:top w:val="nil"/>
              <w:left w:val="nil"/>
              <w:bottom w:val="single" w:sz="4" w:space="0" w:color="auto"/>
              <w:right w:val="single" w:sz="4" w:space="0" w:color="auto"/>
            </w:tcBorders>
            <w:shd w:val="clear" w:color="auto" w:fill="auto"/>
            <w:noWrap/>
            <w:vAlign w:val="bottom"/>
            <w:hideMark/>
          </w:tcPr>
          <w:p w14:paraId="5DBAB2A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0.08295</w:t>
            </w:r>
          </w:p>
        </w:tc>
      </w:tr>
      <w:tr w:rsidR="0082553F" w:rsidRPr="00CE4E1F" w14:paraId="571CA9E3"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D686D0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0A2C912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1.90</w:t>
            </w:r>
          </w:p>
        </w:tc>
        <w:tc>
          <w:tcPr>
            <w:tcW w:w="1578" w:type="dxa"/>
            <w:tcBorders>
              <w:top w:val="nil"/>
              <w:left w:val="nil"/>
              <w:bottom w:val="single" w:sz="4" w:space="0" w:color="auto"/>
              <w:right w:val="single" w:sz="4" w:space="0" w:color="auto"/>
            </w:tcBorders>
            <w:shd w:val="clear" w:color="auto" w:fill="auto"/>
            <w:noWrap/>
            <w:vAlign w:val="bottom"/>
            <w:hideMark/>
          </w:tcPr>
          <w:p w14:paraId="6ACA0BB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1.31</w:t>
            </w:r>
          </w:p>
        </w:tc>
        <w:tc>
          <w:tcPr>
            <w:tcW w:w="1620" w:type="dxa"/>
            <w:tcBorders>
              <w:top w:val="nil"/>
              <w:left w:val="nil"/>
              <w:bottom w:val="single" w:sz="4" w:space="0" w:color="auto"/>
              <w:right w:val="single" w:sz="4" w:space="0" w:color="auto"/>
            </w:tcBorders>
            <w:shd w:val="clear" w:color="auto" w:fill="auto"/>
            <w:noWrap/>
            <w:vAlign w:val="bottom"/>
            <w:hideMark/>
          </w:tcPr>
          <w:p w14:paraId="6430574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2.75</w:t>
            </w:r>
          </w:p>
        </w:tc>
        <w:tc>
          <w:tcPr>
            <w:tcW w:w="1075" w:type="dxa"/>
            <w:tcBorders>
              <w:top w:val="nil"/>
              <w:left w:val="nil"/>
              <w:bottom w:val="single" w:sz="4" w:space="0" w:color="auto"/>
              <w:right w:val="single" w:sz="4" w:space="0" w:color="auto"/>
            </w:tcBorders>
            <w:shd w:val="clear" w:color="auto" w:fill="auto"/>
            <w:noWrap/>
            <w:vAlign w:val="bottom"/>
            <w:hideMark/>
          </w:tcPr>
          <w:p w14:paraId="2D920D8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0.000751</w:t>
            </w:r>
          </w:p>
        </w:tc>
      </w:tr>
      <w:tr w:rsidR="0082553F" w:rsidRPr="00CE4E1F" w14:paraId="12FDA5D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1AE40C3" w14:textId="522A3909"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14F71D6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3.51</w:t>
            </w:r>
          </w:p>
        </w:tc>
        <w:tc>
          <w:tcPr>
            <w:tcW w:w="1578" w:type="dxa"/>
            <w:tcBorders>
              <w:top w:val="nil"/>
              <w:left w:val="nil"/>
              <w:bottom w:val="single" w:sz="4" w:space="0" w:color="auto"/>
              <w:right w:val="single" w:sz="4" w:space="0" w:color="auto"/>
            </w:tcBorders>
            <w:shd w:val="clear" w:color="auto" w:fill="auto"/>
            <w:noWrap/>
            <w:vAlign w:val="bottom"/>
            <w:hideMark/>
          </w:tcPr>
          <w:p w14:paraId="672FEAD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2.24</w:t>
            </w:r>
          </w:p>
        </w:tc>
        <w:tc>
          <w:tcPr>
            <w:tcW w:w="1620" w:type="dxa"/>
            <w:tcBorders>
              <w:top w:val="nil"/>
              <w:left w:val="nil"/>
              <w:bottom w:val="single" w:sz="4" w:space="0" w:color="auto"/>
              <w:right w:val="single" w:sz="4" w:space="0" w:color="auto"/>
            </w:tcBorders>
            <w:shd w:val="clear" w:color="auto" w:fill="auto"/>
            <w:noWrap/>
            <w:vAlign w:val="bottom"/>
            <w:hideMark/>
          </w:tcPr>
          <w:p w14:paraId="3450EC3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5.51</w:t>
            </w:r>
          </w:p>
        </w:tc>
        <w:tc>
          <w:tcPr>
            <w:tcW w:w="1075" w:type="dxa"/>
            <w:tcBorders>
              <w:top w:val="nil"/>
              <w:left w:val="nil"/>
              <w:bottom w:val="single" w:sz="4" w:space="0" w:color="auto"/>
              <w:right w:val="single" w:sz="4" w:space="0" w:color="auto"/>
            </w:tcBorders>
            <w:shd w:val="clear" w:color="auto" w:fill="auto"/>
            <w:noWrap/>
            <w:vAlign w:val="bottom"/>
            <w:hideMark/>
          </w:tcPr>
          <w:p w14:paraId="1F83812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4.31E-08</w:t>
            </w:r>
          </w:p>
        </w:tc>
      </w:tr>
      <w:tr w:rsidR="0082553F" w:rsidRPr="00CE4E1F" w14:paraId="0AAD9EA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7CFA3DD" w14:textId="38DAF6A5"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63CE13B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1.24</w:t>
            </w:r>
          </w:p>
        </w:tc>
        <w:tc>
          <w:tcPr>
            <w:tcW w:w="1578" w:type="dxa"/>
            <w:tcBorders>
              <w:top w:val="nil"/>
              <w:left w:val="nil"/>
              <w:bottom w:val="single" w:sz="4" w:space="0" w:color="auto"/>
              <w:right w:val="single" w:sz="4" w:space="0" w:color="auto"/>
            </w:tcBorders>
            <w:shd w:val="clear" w:color="auto" w:fill="auto"/>
            <w:noWrap/>
            <w:vAlign w:val="bottom"/>
            <w:hideMark/>
          </w:tcPr>
          <w:p w14:paraId="73D69FA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0.80</w:t>
            </w:r>
          </w:p>
        </w:tc>
        <w:tc>
          <w:tcPr>
            <w:tcW w:w="1620" w:type="dxa"/>
            <w:tcBorders>
              <w:top w:val="nil"/>
              <w:left w:val="nil"/>
              <w:bottom w:val="single" w:sz="4" w:space="0" w:color="auto"/>
              <w:right w:val="single" w:sz="4" w:space="0" w:color="auto"/>
            </w:tcBorders>
            <w:shd w:val="clear" w:color="auto" w:fill="auto"/>
            <w:noWrap/>
            <w:vAlign w:val="bottom"/>
            <w:hideMark/>
          </w:tcPr>
          <w:p w14:paraId="0BB6C90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1.93</w:t>
            </w:r>
          </w:p>
        </w:tc>
        <w:tc>
          <w:tcPr>
            <w:tcW w:w="1075" w:type="dxa"/>
            <w:tcBorders>
              <w:top w:val="nil"/>
              <w:left w:val="nil"/>
              <w:bottom w:val="single" w:sz="4" w:space="0" w:color="auto"/>
              <w:right w:val="single" w:sz="4" w:space="0" w:color="auto"/>
            </w:tcBorders>
            <w:shd w:val="clear" w:color="auto" w:fill="auto"/>
            <w:noWrap/>
            <w:vAlign w:val="bottom"/>
            <w:hideMark/>
          </w:tcPr>
          <w:p w14:paraId="7E4A7D1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0.327479</w:t>
            </w:r>
          </w:p>
        </w:tc>
      </w:tr>
      <w:tr w:rsidR="0082553F" w:rsidRPr="00CE4E1F" w14:paraId="1CAC3B37"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1ABD7EA" w14:textId="4334F2C1"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7886F9C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1.78</w:t>
            </w:r>
          </w:p>
        </w:tc>
        <w:tc>
          <w:tcPr>
            <w:tcW w:w="1578" w:type="dxa"/>
            <w:tcBorders>
              <w:top w:val="nil"/>
              <w:left w:val="nil"/>
              <w:bottom w:val="single" w:sz="4" w:space="0" w:color="auto"/>
              <w:right w:val="single" w:sz="4" w:space="0" w:color="auto"/>
            </w:tcBorders>
            <w:shd w:val="clear" w:color="auto" w:fill="auto"/>
            <w:noWrap/>
            <w:vAlign w:val="bottom"/>
            <w:hideMark/>
          </w:tcPr>
          <w:p w14:paraId="6D295C5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1.08</w:t>
            </w:r>
          </w:p>
        </w:tc>
        <w:tc>
          <w:tcPr>
            <w:tcW w:w="1620" w:type="dxa"/>
            <w:tcBorders>
              <w:top w:val="nil"/>
              <w:left w:val="nil"/>
              <w:bottom w:val="single" w:sz="4" w:space="0" w:color="auto"/>
              <w:right w:val="single" w:sz="4" w:space="0" w:color="auto"/>
            </w:tcBorders>
            <w:shd w:val="clear" w:color="auto" w:fill="auto"/>
            <w:noWrap/>
            <w:vAlign w:val="bottom"/>
            <w:hideMark/>
          </w:tcPr>
          <w:p w14:paraId="66C7C0E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2.93</w:t>
            </w:r>
          </w:p>
        </w:tc>
        <w:tc>
          <w:tcPr>
            <w:tcW w:w="1075" w:type="dxa"/>
            <w:tcBorders>
              <w:top w:val="nil"/>
              <w:left w:val="nil"/>
              <w:bottom w:val="single" w:sz="4" w:space="0" w:color="auto"/>
              <w:right w:val="single" w:sz="4" w:space="0" w:color="auto"/>
            </w:tcBorders>
            <w:shd w:val="clear" w:color="auto" w:fill="auto"/>
            <w:noWrap/>
            <w:vAlign w:val="bottom"/>
            <w:hideMark/>
          </w:tcPr>
          <w:p w14:paraId="1841502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0.022962</w:t>
            </w:r>
          </w:p>
        </w:tc>
      </w:tr>
      <w:tr w:rsidR="0082553F" w:rsidRPr="00CE4E1F" w14:paraId="4A8B4492"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668610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3D60392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2F7CF8D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6864078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6080DC2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0BF8ADCD"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BD284E8" w14:textId="0A1E9A78"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8, N=452</w:t>
            </w:r>
          </w:p>
        </w:tc>
        <w:tc>
          <w:tcPr>
            <w:tcW w:w="929" w:type="dxa"/>
            <w:tcBorders>
              <w:top w:val="nil"/>
              <w:left w:val="nil"/>
              <w:bottom w:val="single" w:sz="4" w:space="0" w:color="auto"/>
              <w:right w:val="single" w:sz="4" w:space="0" w:color="auto"/>
            </w:tcBorders>
            <w:shd w:val="clear" w:color="auto" w:fill="auto"/>
            <w:noWrap/>
            <w:vAlign w:val="bottom"/>
            <w:hideMark/>
          </w:tcPr>
          <w:p w14:paraId="3641996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0DA6546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4100499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4314B1E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0F5ED58B"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5E3059A1" w14:textId="6151B5A5"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7FEB4C4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1.57</w:t>
            </w:r>
          </w:p>
        </w:tc>
        <w:tc>
          <w:tcPr>
            <w:tcW w:w="1578" w:type="dxa"/>
            <w:tcBorders>
              <w:top w:val="nil"/>
              <w:left w:val="nil"/>
              <w:bottom w:val="single" w:sz="4" w:space="0" w:color="auto"/>
              <w:right w:val="single" w:sz="4" w:space="0" w:color="auto"/>
            </w:tcBorders>
            <w:shd w:val="clear" w:color="auto" w:fill="auto"/>
            <w:noWrap/>
            <w:vAlign w:val="bottom"/>
            <w:hideMark/>
          </w:tcPr>
          <w:p w14:paraId="00D9407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1.32</w:t>
            </w:r>
          </w:p>
        </w:tc>
        <w:tc>
          <w:tcPr>
            <w:tcW w:w="1620" w:type="dxa"/>
            <w:tcBorders>
              <w:top w:val="nil"/>
              <w:left w:val="nil"/>
              <w:bottom w:val="single" w:sz="4" w:space="0" w:color="auto"/>
              <w:right w:val="single" w:sz="4" w:space="0" w:color="auto"/>
            </w:tcBorders>
            <w:shd w:val="clear" w:color="auto" w:fill="auto"/>
            <w:noWrap/>
            <w:vAlign w:val="bottom"/>
            <w:hideMark/>
          </w:tcPr>
          <w:p w14:paraId="298BE46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1.85</w:t>
            </w:r>
          </w:p>
        </w:tc>
        <w:tc>
          <w:tcPr>
            <w:tcW w:w="1075" w:type="dxa"/>
            <w:tcBorders>
              <w:top w:val="nil"/>
              <w:left w:val="nil"/>
              <w:bottom w:val="single" w:sz="4" w:space="0" w:color="auto"/>
              <w:right w:val="single" w:sz="4" w:space="0" w:color="auto"/>
            </w:tcBorders>
            <w:shd w:val="clear" w:color="auto" w:fill="auto"/>
            <w:noWrap/>
            <w:vAlign w:val="bottom"/>
            <w:hideMark/>
          </w:tcPr>
          <w:p w14:paraId="76C56FC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1.63E-07</w:t>
            </w:r>
          </w:p>
        </w:tc>
      </w:tr>
      <w:tr w:rsidR="00427B2D" w:rsidRPr="00CE4E1F" w14:paraId="4F483ACB"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432EB12" w14:textId="16B26B7D" w:rsidR="00427B2D" w:rsidRPr="00CE4E1F" w:rsidRDefault="00427B2D" w:rsidP="00742F09">
            <w:pPr>
              <w:spacing w:line="360" w:lineRule="auto"/>
              <w:contextualSpacing/>
              <w:jc w:val="both"/>
              <w:rPr>
                <w:color w:val="000000"/>
                <w:sz w:val="18"/>
                <w:szCs w:val="18"/>
              </w:rPr>
            </w:pPr>
            <w:r>
              <w:rPr>
                <w:color w:val="000000"/>
                <w:sz w:val="18"/>
                <w:szCs w:val="18"/>
              </w:rPr>
              <w:t>DNA methylation groups (</w:t>
            </w:r>
            <w:r w:rsidRPr="00CE4E1F">
              <w:rPr>
                <w:color w:val="000000"/>
                <w:sz w:val="18"/>
                <w:szCs w:val="18"/>
              </w:rPr>
              <w:t>Immune-enriched vs Merlin-intact</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7070E681"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1.51</w:t>
            </w:r>
          </w:p>
        </w:tc>
        <w:tc>
          <w:tcPr>
            <w:tcW w:w="1578" w:type="dxa"/>
            <w:tcBorders>
              <w:top w:val="nil"/>
              <w:left w:val="nil"/>
              <w:bottom w:val="single" w:sz="4" w:space="0" w:color="auto"/>
              <w:right w:val="single" w:sz="4" w:space="0" w:color="auto"/>
            </w:tcBorders>
            <w:shd w:val="clear" w:color="auto" w:fill="auto"/>
            <w:noWrap/>
            <w:vAlign w:val="bottom"/>
            <w:hideMark/>
          </w:tcPr>
          <w:p w14:paraId="3647E251"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0.85</w:t>
            </w:r>
          </w:p>
        </w:tc>
        <w:tc>
          <w:tcPr>
            <w:tcW w:w="1620" w:type="dxa"/>
            <w:tcBorders>
              <w:top w:val="nil"/>
              <w:left w:val="nil"/>
              <w:bottom w:val="single" w:sz="4" w:space="0" w:color="auto"/>
              <w:right w:val="single" w:sz="4" w:space="0" w:color="auto"/>
            </w:tcBorders>
            <w:shd w:val="clear" w:color="auto" w:fill="auto"/>
            <w:noWrap/>
            <w:vAlign w:val="bottom"/>
            <w:hideMark/>
          </w:tcPr>
          <w:p w14:paraId="7EC21636"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2.66</w:t>
            </w:r>
          </w:p>
        </w:tc>
        <w:tc>
          <w:tcPr>
            <w:tcW w:w="1075" w:type="dxa"/>
            <w:tcBorders>
              <w:top w:val="nil"/>
              <w:left w:val="nil"/>
              <w:bottom w:val="single" w:sz="4" w:space="0" w:color="auto"/>
              <w:right w:val="single" w:sz="4" w:space="0" w:color="auto"/>
            </w:tcBorders>
            <w:shd w:val="clear" w:color="auto" w:fill="auto"/>
            <w:noWrap/>
            <w:vAlign w:val="bottom"/>
            <w:hideMark/>
          </w:tcPr>
          <w:p w14:paraId="76DB1F2F"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0.15662</w:t>
            </w:r>
          </w:p>
        </w:tc>
      </w:tr>
      <w:tr w:rsidR="00427B2D" w:rsidRPr="00CE4E1F" w14:paraId="2FB277EE"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1046D2B" w14:textId="29586E4F" w:rsidR="00427B2D" w:rsidRPr="00CE4E1F" w:rsidRDefault="00427B2D" w:rsidP="00742F09">
            <w:pPr>
              <w:spacing w:line="360" w:lineRule="auto"/>
              <w:contextualSpacing/>
              <w:jc w:val="both"/>
              <w:rPr>
                <w:color w:val="000000"/>
                <w:sz w:val="18"/>
                <w:szCs w:val="18"/>
              </w:rPr>
            </w:pPr>
            <w:r>
              <w:rPr>
                <w:color w:val="000000"/>
                <w:sz w:val="18"/>
                <w:szCs w:val="18"/>
              </w:rPr>
              <w:t>DNA methylation subgroups</w:t>
            </w:r>
            <w:r w:rsidR="003C7905">
              <w:rPr>
                <w:color w:val="000000"/>
                <w:sz w:val="18"/>
                <w:szCs w:val="18"/>
              </w:rPr>
              <w:fldChar w:fldCharType="begin" w:fldLock="1"/>
            </w:r>
            <w:r w:rsidR="000F4EF5">
              <w:rPr>
                <w:color w:val="000000"/>
                <w:sz w:val="18"/>
                <w:szCs w:val="18"/>
              </w:rPr>
              <w:instrText>ADDIN CSL_CITATION {"citationItems":[{"id":"ITEM-1","itemData":{"DOI":"10.1093/neuonc/noac224","ISSN":"1523-5866","PMID":"36227281","abstract":"BACKGROUND Meningiomas, the most common primary intracranial tumors, can be separated into 3 DNA methylation groups with distinct biological drivers, clinical outcomes, and therapeutic vulnerabilities. Alternative meningioma grouping schemes using copy number variants, gene expression profiles, somatic short variants, or integrated molecular models have been proposed. These data suggest meningioma DNA methylation groups may harbor subgroups unifying contrasting theories of meningioma biology. METHODS 565 meningioma DNA methylation profiles from patients with comprehensive clinical follow-up at independent discovery (n=200) or validation (n=365) institutions were re-analyzed and classified into Merlin-intact, Immune-enriched, or Hypermitotic DNA methylation groups. RNA sequencing from the discovery (n=200) or validation (n=302) cohort were analyzed in the context of DNA methylation groups to identify subgroups. Biological features and clinical outcomes were analyzed across meningioma grouping schemes. RESULTS RNA sequencing revealed differential enrichment of FOXM1 target genes across 2 subgroups of Hypermitotic meningiomas. Differential expression and ontology analyses showed the subgroup of Hypermitotic meningiomas without FOXM1 target gene enrichment was distinguished by gene expression programs driving macromolecular metabolism. Analysis of genetic, epigenetic, gene expression, or cellular features revealed Hypermitotic meningioma subgroups were concordant with Proliferative or Hypermetabolic meningiomas, which were previously reported alongside Merlin-intact and Immune-enriched tumors using an integrated molecular model. The addition of DNA methylation subgroups to clinical models refined prediction of postoperative outcomes compared to the addition of DNA methylation groups. CONCLUSIONS Meningiomas can be separated into 3 DNA methylation groups and Hypermitotic meningiomas can be subdivided into Proliferative and Hypermetabolic subgroups, each with distinct biological and clinical features.","author":[{"dropping-particle":"","family":"Choudhury","given":"Abrar","non-dropping-particle":"","parse-names":false,"suffix":""},{"dropping-particle":"","family":"Chen","given":"William C","non-dropping-particle":"","parse-names":false,"suffix":""},{"dropping-particle":"","family":"Lucas","given":"Calixto-Hope G","non-dropping-particle":"","parse-names":false,"suffix":""},{"dropping-particle":"","family":"Bayley","given":"James C","non-dropping-particle":"","parse-names":false,"suffix":""},{"dropping-particle":"","family":"Harmanci","given":"Akdes S","non-dropping-particle":"","parse-names":false,"suffix":""},{"dropping-particle":"","family":"Maas","given":"Sybren L N","non-dropping-particle":"","parse-names":false,"suffix":""},{"dropping-particle":"","family":"Santagata","given":"Sandro","non-dropping-particle":"","parse-names":false,"suffix":""},{"dropping-particle":"","family":"Klisch","given":"Tiemo","non-dropping-particle":"","parse-names":false,"suffix":""},{"dropping-particle":"","family":"Perry","given":"Arie","non-dropping-particle":"","parse-names":false,"suffix":""},{"dropping-particle":"","family":"Bi","given":"Wenya Linda","non-dropping-particle":"","parse-names":false,"suffix":""},{"dropping-particle":"","family":"Sahm","given":"Felix","non-dropping-particle":"","parse-names":false,"suffix":""},{"dropping-particle":"","family":"Patel","given":"Akash","non-dropping-particle":"","parse-names":false,"suffix":""},{"dropping-particle":"","family":"Magill","given":"Stephen T","non-dropping-particle":"","parse-names":false,"suffix":""},{"dropping-particle":"","family":"Raleigh","given":"David R","non-dropping-particle":"","parse-names":false,"suffix":""}],"container-title":"Neuro-oncology","id":"ITEM-1","issued":{"date-parts":[["2022","10","13"]]},"title":"Hypermitotic meningiomas harbor DNA methylation subgroups with distinct biological and clinical features.","type":"article-journal"},"uris":["http://www.mendeley.com/documents/?uuid=12c70f09-e513-4b13-a979-50364f43e66d"]}],"mendeley":{"formattedCitation":"&lt;sup&gt;7&lt;/sup&gt;","plainTextFormattedCitation":"7","previouslyFormattedCitation":"&lt;sup&gt;7&lt;/sup&gt;"},"properties":{"noteIndex":0},"schema":"https://github.com/citation-style-language/schema/raw/master/csl-citation.json"}</w:instrText>
            </w:r>
            <w:r w:rsidR="003C7905">
              <w:rPr>
                <w:color w:val="000000"/>
                <w:sz w:val="18"/>
                <w:szCs w:val="18"/>
              </w:rPr>
              <w:fldChar w:fldCharType="separate"/>
            </w:r>
            <w:r w:rsidR="000F4EF5" w:rsidRPr="000F4EF5">
              <w:rPr>
                <w:noProof/>
                <w:color w:val="000000"/>
                <w:sz w:val="18"/>
                <w:szCs w:val="18"/>
                <w:vertAlign w:val="superscript"/>
              </w:rPr>
              <w:t>7</w:t>
            </w:r>
            <w:r w:rsidR="003C7905">
              <w:rPr>
                <w:color w:val="000000"/>
                <w:sz w:val="18"/>
                <w:szCs w:val="18"/>
              </w:rPr>
              <w:fldChar w:fldCharType="end"/>
            </w:r>
            <w:r>
              <w:rPr>
                <w:color w:val="000000"/>
                <w:sz w:val="18"/>
                <w:szCs w:val="18"/>
              </w:rPr>
              <w:t xml:space="preserve"> (</w:t>
            </w:r>
            <w:r w:rsidRPr="00CE4E1F">
              <w:rPr>
                <w:color w:val="000000"/>
                <w:sz w:val="18"/>
                <w:szCs w:val="18"/>
              </w:rPr>
              <w:t>Hypermetabolic vs Merlin-intact</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41DCC1EB"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1.37</w:t>
            </w:r>
          </w:p>
        </w:tc>
        <w:tc>
          <w:tcPr>
            <w:tcW w:w="1578" w:type="dxa"/>
            <w:tcBorders>
              <w:top w:val="nil"/>
              <w:left w:val="nil"/>
              <w:bottom w:val="single" w:sz="4" w:space="0" w:color="auto"/>
              <w:right w:val="single" w:sz="4" w:space="0" w:color="auto"/>
            </w:tcBorders>
            <w:shd w:val="clear" w:color="auto" w:fill="auto"/>
            <w:noWrap/>
            <w:vAlign w:val="bottom"/>
            <w:hideMark/>
          </w:tcPr>
          <w:p w14:paraId="4D083028"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0.76</w:t>
            </w:r>
          </w:p>
        </w:tc>
        <w:tc>
          <w:tcPr>
            <w:tcW w:w="1620" w:type="dxa"/>
            <w:tcBorders>
              <w:top w:val="nil"/>
              <w:left w:val="nil"/>
              <w:bottom w:val="single" w:sz="4" w:space="0" w:color="auto"/>
              <w:right w:val="single" w:sz="4" w:space="0" w:color="auto"/>
            </w:tcBorders>
            <w:shd w:val="clear" w:color="auto" w:fill="auto"/>
            <w:noWrap/>
            <w:vAlign w:val="bottom"/>
            <w:hideMark/>
          </w:tcPr>
          <w:p w14:paraId="4E2C5BED"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2.47</w:t>
            </w:r>
          </w:p>
        </w:tc>
        <w:tc>
          <w:tcPr>
            <w:tcW w:w="1075" w:type="dxa"/>
            <w:tcBorders>
              <w:top w:val="nil"/>
              <w:left w:val="nil"/>
              <w:bottom w:val="single" w:sz="4" w:space="0" w:color="auto"/>
              <w:right w:val="single" w:sz="4" w:space="0" w:color="auto"/>
            </w:tcBorders>
            <w:shd w:val="clear" w:color="auto" w:fill="auto"/>
            <w:noWrap/>
            <w:vAlign w:val="bottom"/>
            <w:hideMark/>
          </w:tcPr>
          <w:p w14:paraId="16CF746F"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0.30056</w:t>
            </w:r>
          </w:p>
        </w:tc>
      </w:tr>
      <w:tr w:rsidR="00427B2D" w:rsidRPr="00CE4E1F" w14:paraId="75B1B967"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CAFA260" w14:textId="7F001AC6" w:rsidR="00427B2D" w:rsidRPr="00CE4E1F" w:rsidRDefault="00427B2D" w:rsidP="00742F09">
            <w:pPr>
              <w:spacing w:line="360" w:lineRule="auto"/>
              <w:contextualSpacing/>
              <w:jc w:val="both"/>
              <w:rPr>
                <w:color w:val="000000"/>
                <w:sz w:val="18"/>
                <w:szCs w:val="18"/>
              </w:rPr>
            </w:pPr>
            <w:r>
              <w:rPr>
                <w:color w:val="000000"/>
                <w:sz w:val="18"/>
                <w:szCs w:val="18"/>
              </w:rPr>
              <w:t>DNA methylation subgroups (</w:t>
            </w:r>
            <w:r w:rsidRPr="00CE4E1F">
              <w:rPr>
                <w:color w:val="000000"/>
                <w:sz w:val="18"/>
                <w:szCs w:val="18"/>
              </w:rPr>
              <w:t>Proliferative vs Merlin-intact</w:t>
            </w:r>
            <w:r>
              <w:rPr>
                <w:color w:val="000000"/>
                <w:sz w:val="18"/>
                <w:szCs w:val="18"/>
              </w:rPr>
              <w:t>)</w:t>
            </w:r>
          </w:p>
        </w:tc>
        <w:tc>
          <w:tcPr>
            <w:tcW w:w="929" w:type="dxa"/>
            <w:tcBorders>
              <w:top w:val="nil"/>
              <w:left w:val="nil"/>
              <w:bottom w:val="single" w:sz="4" w:space="0" w:color="auto"/>
              <w:right w:val="single" w:sz="4" w:space="0" w:color="auto"/>
            </w:tcBorders>
            <w:shd w:val="clear" w:color="auto" w:fill="auto"/>
            <w:noWrap/>
            <w:vAlign w:val="bottom"/>
            <w:hideMark/>
          </w:tcPr>
          <w:p w14:paraId="28F53091"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2.01</w:t>
            </w:r>
          </w:p>
        </w:tc>
        <w:tc>
          <w:tcPr>
            <w:tcW w:w="1578" w:type="dxa"/>
            <w:tcBorders>
              <w:top w:val="nil"/>
              <w:left w:val="nil"/>
              <w:bottom w:val="single" w:sz="4" w:space="0" w:color="auto"/>
              <w:right w:val="single" w:sz="4" w:space="0" w:color="auto"/>
            </w:tcBorders>
            <w:shd w:val="clear" w:color="auto" w:fill="auto"/>
            <w:noWrap/>
            <w:vAlign w:val="bottom"/>
            <w:hideMark/>
          </w:tcPr>
          <w:p w14:paraId="6154EF88"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0.98</w:t>
            </w:r>
          </w:p>
        </w:tc>
        <w:tc>
          <w:tcPr>
            <w:tcW w:w="1620" w:type="dxa"/>
            <w:tcBorders>
              <w:top w:val="nil"/>
              <w:left w:val="nil"/>
              <w:bottom w:val="single" w:sz="4" w:space="0" w:color="auto"/>
              <w:right w:val="single" w:sz="4" w:space="0" w:color="auto"/>
            </w:tcBorders>
            <w:shd w:val="clear" w:color="auto" w:fill="auto"/>
            <w:noWrap/>
            <w:vAlign w:val="bottom"/>
            <w:hideMark/>
          </w:tcPr>
          <w:p w14:paraId="127631D7"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4.10</w:t>
            </w:r>
          </w:p>
        </w:tc>
        <w:tc>
          <w:tcPr>
            <w:tcW w:w="1075" w:type="dxa"/>
            <w:tcBorders>
              <w:top w:val="nil"/>
              <w:left w:val="nil"/>
              <w:bottom w:val="single" w:sz="4" w:space="0" w:color="auto"/>
              <w:right w:val="single" w:sz="4" w:space="0" w:color="auto"/>
            </w:tcBorders>
            <w:shd w:val="clear" w:color="auto" w:fill="auto"/>
            <w:noWrap/>
            <w:vAlign w:val="bottom"/>
            <w:hideMark/>
          </w:tcPr>
          <w:p w14:paraId="5B62BB21" w14:textId="77777777" w:rsidR="00427B2D" w:rsidRPr="00CE4E1F" w:rsidRDefault="00427B2D" w:rsidP="00742F09">
            <w:pPr>
              <w:spacing w:line="360" w:lineRule="auto"/>
              <w:contextualSpacing/>
              <w:jc w:val="both"/>
              <w:rPr>
                <w:color w:val="000000"/>
                <w:sz w:val="18"/>
                <w:szCs w:val="18"/>
              </w:rPr>
            </w:pPr>
            <w:r w:rsidRPr="00CE4E1F">
              <w:rPr>
                <w:color w:val="000000"/>
                <w:sz w:val="18"/>
                <w:szCs w:val="18"/>
              </w:rPr>
              <w:t>0.05614</w:t>
            </w:r>
          </w:p>
        </w:tc>
      </w:tr>
      <w:tr w:rsidR="0082553F" w:rsidRPr="00CE4E1F" w14:paraId="76351B6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3E228B2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4E40E57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1.84</w:t>
            </w:r>
          </w:p>
        </w:tc>
        <w:tc>
          <w:tcPr>
            <w:tcW w:w="1578" w:type="dxa"/>
            <w:tcBorders>
              <w:top w:val="nil"/>
              <w:left w:val="nil"/>
              <w:bottom w:val="single" w:sz="4" w:space="0" w:color="auto"/>
              <w:right w:val="single" w:sz="4" w:space="0" w:color="auto"/>
            </w:tcBorders>
            <w:shd w:val="clear" w:color="auto" w:fill="auto"/>
            <w:noWrap/>
            <w:vAlign w:val="bottom"/>
            <w:hideMark/>
          </w:tcPr>
          <w:p w14:paraId="2AB06DC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1.27</w:t>
            </w:r>
          </w:p>
        </w:tc>
        <w:tc>
          <w:tcPr>
            <w:tcW w:w="1620" w:type="dxa"/>
            <w:tcBorders>
              <w:top w:val="nil"/>
              <w:left w:val="nil"/>
              <w:bottom w:val="single" w:sz="4" w:space="0" w:color="auto"/>
              <w:right w:val="single" w:sz="4" w:space="0" w:color="auto"/>
            </w:tcBorders>
            <w:shd w:val="clear" w:color="auto" w:fill="auto"/>
            <w:noWrap/>
            <w:vAlign w:val="bottom"/>
            <w:hideMark/>
          </w:tcPr>
          <w:p w14:paraId="4D6F8FA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2.67</w:t>
            </w:r>
          </w:p>
        </w:tc>
        <w:tc>
          <w:tcPr>
            <w:tcW w:w="1075" w:type="dxa"/>
            <w:tcBorders>
              <w:top w:val="nil"/>
              <w:left w:val="nil"/>
              <w:bottom w:val="single" w:sz="4" w:space="0" w:color="auto"/>
              <w:right w:val="single" w:sz="4" w:space="0" w:color="auto"/>
            </w:tcBorders>
            <w:shd w:val="clear" w:color="auto" w:fill="auto"/>
            <w:noWrap/>
            <w:vAlign w:val="bottom"/>
            <w:hideMark/>
          </w:tcPr>
          <w:p w14:paraId="4BE6F44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0.00134</w:t>
            </w:r>
          </w:p>
        </w:tc>
      </w:tr>
      <w:tr w:rsidR="0082553F" w:rsidRPr="00CE4E1F" w14:paraId="1474D369"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E685A29" w14:textId="421010F2"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3457D5E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3.56</w:t>
            </w:r>
          </w:p>
        </w:tc>
        <w:tc>
          <w:tcPr>
            <w:tcW w:w="1578" w:type="dxa"/>
            <w:tcBorders>
              <w:top w:val="nil"/>
              <w:left w:val="nil"/>
              <w:bottom w:val="single" w:sz="4" w:space="0" w:color="auto"/>
              <w:right w:val="single" w:sz="4" w:space="0" w:color="auto"/>
            </w:tcBorders>
            <w:shd w:val="clear" w:color="auto" w:fill="auto"/>
            <w:noWrap/>
            <w:vAlign w:val="bottom"/>
            <w:hideMark/>
          </w:tcPr>
          <w:p w14:paraId="28B5ADE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2.26</w:t>
            </w:r>
          </w:p>
        </w:tc>
        <w:tc>
          <w:tcPr>
            <w:tcW w:w="1620" w:type="dxa"/>
            <w:tcBorders>
              <w:top w:val="nil"/>
              <w:left w:val="nil"/>
              <w:bottom w:val="single" w:sz="4" w:space="0" w:color="auto"/>
              <w:right w:val="single" w:sz="4" w:space="0" w:color="auto"/>
            </w:tcBorders>
            <w:shd w:val="clear" w:color="auto" w:fill="auto"/>
            <w:noWrap/>
            <w:vAlign w:val="bottom"/>
            <w:hideMark/>
          </w:tcPr>
          <w:p w14:paraId="5CDD261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5.61</w:t>
            </w:r>
          </w:p>
        </w:tc>
        <w:tc>
          <w:tcPr>
            <w:tcW w:w="1075" w:type="dxa"/>
            <w:tcBorders>
              <w:top w:val="nil"/>
              <w:left w:val="nil"/>
              <w:bottom w:val="single" w:sz="4" w:space="0" w:color="auto"/>
              <w:right w:val="single" w:sz="4" w:space="0" w:color="auto"/>
            </w:tcBorders>
            <w:shd w:val="clear" w:color="auto" w:fill="auto"/>
            <w:noWrap/>
            <w:vAlign w:val="bottom"/>
            <w:hideMark/>
          </w:tcPr>
          <w:p w14:paraId="2B0C5DB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4.39E-08</w:t>
            </w:r>
          </w:p>
        </w:tc>
      </w:tr>
      <w:tr w:rsidR="0082553F" w:rsidRPr="00CE4E1F" w14:paraId="7C557B77"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0DF1C03" w14:textId="7D66E6DB"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6A429A1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1.30</w:t>
            </w:r>
          </w:p>
        </w:tc>
        <w:tc>
          <w:tcPr>
            <w:tcW w:w="1578" w:type="dxa"/>
            <w:tcBorders>
              <w:top w:val="nil"/>
              <w:left w:val="nil"/>
              <w:bottom w:val="single" w:sz="4" w:space="0" w:color="auto"/>
              <w:right w:val="single" w:sz="4" w:space="0" w:color="auto"/>
            </w:tcBorders>
            <w:shd w:val="clear" w:color="auto" w:fill="auto"/>
            <w:noWrap/>
            <w:vAlign w:val="bottom"/>
            <w:hideMark/>
          </w:tcPr>
          <w:p w14:paraId="181F7AD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0.84</w:t>
            </w:r>
          </w:p>
        </w:tc>
        <w:tc>
          <w:tcPr>
            <w:tcW w:w="1620" w:type="dxa"/>
            <w:tcBorders>
              <w:top w:val="nil"/>
              <w:left w:val="nil"/>
              <w:bottom w:val="single" w:sz="4" w:space="0" w:color="auto"/>
              <w:right w:val="single" w:sz="4" w:space="0" w:color="auto"/>
            </w:tcBorders>
            <w:shd w:val="clear" w:color="auto" w:fill="auto"/>
            <w:noWrap/>
            <w:vAlign w:val="bottom"/>
            <w:hideMark/>
          </w:tcPr>
          <w:p w14:paraId="0AB8734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2.03</w:t>
            </w:r>
          </w:p>
        </w:tc>
        <w:tc>
          <w:tcPr>
            <w:tcW w:w="1075" w:type="dxa"/>
            <w:tcBorders>
              <w:top w:val="nil"/>
              <w:left w:val="nil"/>
              <w:bottom w:val="single" w:sz="4" w:space="0" w:color="auto"/>
              <w:right w:val="single" w:sz="4" w:space="0" w:color="auto"/>
            </w:tcBorders>
            <w:shd w:val="clear" w:color="auto" w:fill="auto"/>
            <w:noWrap/>
            <w:vAlign w:val="bottom"/>
            <w:hideMark/>
          </w:tcPr>
          <w:p w14:paraId="612C521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0.24175</w:t>
            </w:r>
          </w:p>
        </w:tc>
      </w:tr>
      <w:tr w:rsidR="0082553F" w:rsidRPr="00CE4E1F" w14:paraId="59C8FBBF"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66E78E4" w14:textId="6FB362AE"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0720BBF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1.87</w:t>
            </w:r>
          </w:p>
        </w:tc>
        <w:tc>
          <w:tcPr>
            <w:tcW w:w="1578" w:type="dxa"/>
            <w:tcBorders>
              <w:top w:val="nil"/>
              <w:left w:val="nil"/>
              <w:bottom w:val="single" w:sz="4" w:space="0" w:color="auto"/>
              <w:right w:val="single" w:sz="4" w:space="0" w:color="auto"/>
            </w:tcBorders>
            <w:shd w:val="clear" w:color="auto" w:fill="auto"/>
            <w:noWrap/>
            <w:vAlign w:val="bottom"/>
            <w:hideMark/>
          </w:tcPr>
          <w:p w14:paraId="0DD8A7D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1.13</w:t>
            </w:r>
          </w:p>
        </w:tc>
        <w:tc>
          <w:tcPr>
            <w:tcW w:w="1620" w:type="dxa"/>
            <w:tcBorders>
              <w:top w:val="nil"/>
              <w:left w:val="nil"/>
              <w:bottom w:val="single" w:sz="4" w:space="0" w:color="auto"/>
              <w:right w:val="single" w:sz="4" w:space="0" w:color="auto"/>
            </w:tcBorders>
            <w:shd w:val="clear" w:color="auto" w:fill="auto"/>
            <w:noWrap/>
            <w:vAlign w:val="bottom"/>
            <w:hideMark/>
          </w:tcPr>
          <w:p w14:paraId="4BAA944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3.11</w:t>
            </w:r>
          </w:p>
        </w:tc>
        <w:tc>
          <w:tcPr>
            <w:tcW w:w="1075" w:type="dxa"/>
            <w:tcBorders>
              <w:top w:val="nil"/>
              <w:left w:val="nil"/>
              <w:bottom w:val="single" w:sz="4" w:space="0" w:color="auto"/>
              <w:right w:val="single" w:sz="4" w:space="0" w:color="auto"/>
            </w:tcBorders>
            <w:shd w:val="clear" w:color="auto" w:fill="auto"/>
            <w:noWrap/>
            <w:vAlign w:val="bottom"/>
            <w:hideMark/>
          </w:tcPr>
          <w:p w14:paraId="6A08419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0.01499</w:t>
            </w:r>
          </w:p>
        </w:tc>
      </w:tr>
      <w:tr w:rsidR="0082553F" w:rsidRPr="00CE4E1F" w14:paraId="25F4FF05"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E6EA99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466C486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4322E67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2CEF786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79EA20B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7D5A097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2E818B1" w14:textId="44CE9D96"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9, N=476</w:t>
            </w:r>
          </w:p>
        </w:tc>
        <w:tc>
          <w:tcPr>
            <w:tcW w:w="929" w:type="dxa"/>
            <w:tcBorders>
              <w:top w:val="nil"/>
              <w:left w:val="nil"/>
              <w:bottom w:val="single" w:sz="4" w:space="0" w:color="auto"/>
              <w:right w:val="single" w:sz="4" w:space="0" w:color="auto"/>
            </w:tcBorders>
            <w:shd w:val="clear" w:color="auto" w:fill="auto"/>
            <w:noWrap/>
            <w:vAlign w:val="bottom"/>
            <w:hideMark/>
          </w:tcPr>
          <w:p w14:paraId="5D0808C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1845A94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437B498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6BC19AB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2ECFEF63"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2292AAB" w14:textId="4FDDA89E" w:rsidR="0082553F" w:rsidRPr="00CE4E1F" w:rsidRDefault="005E7452" w:rsidP="00742F09">
            <w:pPr>
              <w:spacing w:line="360" w:lineRule="auto"/>
              <w:contextualSpacing/>
              <w:jc w:val="both"/>
              <w:rPr>
                <w:color w:val="000000"/>
                <w:sz w:val="18"/>
                <w:szCs w:val="18"/>
              </w:rPr>
            </w:pPr>
            <w:r>
              <w:rPr>
                <w:color w:val="000000"/>
                <w:sz w:val="18"/>
                <w:szCs w:val="18"/>
              </w:rPr>
              <w:lastRenderedPageBreak/>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005683E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1.45</w:t>
            </w:r>
          </w:p>
        </w:tc>
        <w:tc>
          <w:tcPr>
            <w:tcW w:w="1578" w:type="dxa"/>
            <w:tcBorders>
              <w:top w:val="nil"/>
              <w:left w:val="nil"/>
              <w:bottom w:val="single" w:sz="4" w:space="0" w:color="auto"/>
              <w:right w:val="single" w:sz="4" w:space="0" w:color="auto"/>
            </w:tcBorders>
            <w:shd w:val="clear" w:color="auto" w:fill="auto"/>
            <w:noWrap/>
            <w:vAlign w:val="bottom"/>
            <w:hideMark/>
          </w:tcPr>
          <w:p w14:paraId="120F7EC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1.25</w:t>
            </w:r>
          </w:p>
        </w:tc>
        <w:tc>
          <w:tcPr>
            <w:tcW w:w="1620" w:type="dxa"/>
            <w:tcBorders>
              <w:top w:val="nil"/>
              <w:left w:val="nil"/>
              <w:bottom w:val="single" w:sz="4" w:space="0" w:color="auto"/>
              <w:right w:val="single" w:sz="4" w:space="0" w:color="auto"/>
            </w:tcBorders>
            <w:shd w:val="clear" w:color="auto" w:fill="auto"/>
            <w:noWrap/>
            <w:vAlign w:val="bottom"/>
            <w:hideMark/>
          </w:tcPr>
          <w:p w14:paraId="777F6FC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1.67</w:t>
            </w:r>
          </w:p>
        </w:tc>
        <w:tc>
          <w:tcPr>
            <w:tcW w:w="1075" w:type="dxa"/>
            <w:tcBorders>
              <w:top w:val="nil"/>
              <w:left w:val="nil"/>
              <w:bottom w:val="single" w:sz="4" w:space="0" w:color="auto"/>
              <w:right w:val="single" w:sz="4" w:space="0" w:color="auto"/>
            </w:tcBorders>
            <w:shd w:val="clear" w:color="auto" w:fill="auto"/>
            <w:noWrap/>
            <w:vAlign w:val="bottom"/>
            <w:hideMark/>
          </w:tcPr>
          <w:p w14:paraId="6EF1016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5.40E-07</w:t>
            </w:r>
          </w:p>
        </w:tc>
      </w:tr>
      <w:tr w:rsidR="0082553F" w:rsidRPr="00CE4E1F" w14:paraId="7B955EC0"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A1F8580" w14:textId="059A9589" w:rsidR="0082553F" w:rsidRPr="00CE4E1F" w:rsidRDefault="005E7452" w:rsidP="00742F09">
            <w:pPr>
              <w:spacing w:line="360" w:lineRule="auto"/>
              <w:contextualSpacing/>
              <w:jc w:val="both"/>
              <w:rPr>
                <w:color w:val="000000"/>
                <w:sz w:val="18"/>
                <w:szCs w:val="18"/>
              </w:rPr>
            </w:pPr>
            <w:r>
              <w:rPr>
                <w:color w:val="000000"/>
                <w:sz w:val="18"/>
                <w:szCs w:val="18"/>
              </w:rPr>
              <w:t>MIB1 labeling index</w:t>
            </w:r>
            <w:r w:rsidR="0082553F" w:rsidRPr="00CE4E1F">
              <w:rPr>
                <w:color w:val="000000"/>
                <w:sz w:val="18"/>
                <w:szCs w:val="18"/>
              </w:rPr>
              <w:t xml:space="preserve"> (per 1% increase)</w:t>
            </w:r>
          </w:p>
        </w:tc>
        <w:tc>
          <w:tcPr>
            <w:tcW w:w="929" w:type="dxa"/>
            <w:tcBorders>
              <w:top w:val="nil"/>
              <w:left w:val="nil"/>
              <w:bottom w:val="single" w:sz="4" w:space="0" w:color="auto"/>
              <w:right w:val="single" w:sz="4" w:space="0" w:color="auto"/>
            </w:tcBorders>
            <w:shd w:val="clear" w:color="auto" w:fill="auto"/>
            <w:noWrap/>
            <w:vAlign w:val="bottom"/>
            <w:hideMark/>
          </w:tcPr>
          <w:p w14:paraId="265165D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1.03</w:t>
            </w:r>
          </w:p>
        </w:tc>
        <w:tc>
          <w:tcPr>
            <w:tcW w:w="1578" w:type="dxa"/>
            <w:tcBorders>
              <w:top w:val="nil"/>
              <w:left w:val="nil"/>
              <w:bottom w:val="single" w:sz="4" w:space="0" w:color="auto"/>
              <w:right w:val="single" w:sz="4" w:space="0" w:color="auto"/>
            </w:tcBorders>
            <w:shd w:val="clear" w:color="auto" w:fill="auto"/>
            <w:noWrap/>
            <w:vAlign w:val="bottom"/>
            <w:hideMark/>
          </w:tcPr>
          <w:p w14:paraId="1BBD3AD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1.01</w:t>
            </w:r>
          </w:p>
        </w:tc>
        <w:tc>
          <w:tcPr>
            <w:tcW w:w="1620" w:type="dxa"/>
            <w:tcBorders>
              <w:top w:val="nil"/>
              <w:left w:val="nil"/>
              <w:bottom w:val="single" w:sz="4" w:space="0" w:color="auto"/>
              <w:right w:val="single" w:sz="4" w:space="0" w:color="auto"/>
            </w:tcBorders>
            <w:shd w:val="clear" w:color="auto" w:fill="auto"/>
            <w:noWrap/>
            <w:vAlign w:val="bottom"/>
            <w:hideMark/>
          </w:tcPr>
          <w:p w14:paraId="4586C0A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1.05</w:t>
            </w:r>
          </w:p>
        </w:tc>
        <w:tc>
          <w:tcPr>
            <w:tcW w:w="1075" w:type="dxa"/>
            <w:tcBorders>
              <w:top w:val="nil"/>
              <w:left w:val="nil"/>
              <w:bottom w:val="single" w:sz="4" w:space="0" w:color="auto"/>
              <w:right w:val="single" w:sz="4" w:space="0" w:color="auto"/>
            </w:tcBorders>
            <w:shd w:val="clear" w:color="auto" w:fill="auto"/>
            <w:noWrap/>
            <w:vAlign w:val="bottom"/>
            <w:hideMark/>
          </w:tcPr>
          <w:p w14:paraId="5D9A17F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0.0123</w:t>
            </w:r>
          </w:p>
        </w:tc>
      </w:tr>
      <w:tr w:rsidR="0082553F" w:rsidRPr="00CE4E1F" w14:paraId="694E04DD"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2C60E2A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1BE4516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2.81</w:t>
            </w:r>
          </w:p>
        </w:tc>
        <w:tc>
          <w:tcPr>
            <w:tcW w:w="1578" w:type="dxa"/>
            <w:tcBorders>
              <w:top w:val="nil"/>
              <w:left w:val="nil"/>
              <w:bottom w:val="single" w:sz="4" w:space="0" w:color="auto"/>
              <w:right w:val="single" w:sz="4" w:space="0" w:color="auto"/>
            </w:tcBorders>
            <w:shd w:val="clear" w:color="auto" w:fill="auto"/>
            <w:noWrap/>
            <w:vAlign w:val="bottom"/>
            <w:hideMark/>
          </w:tcPr>
          <w:p w14:paraId="211488E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2.01</w:t>
            </w:r>
          </w:p>
        </w:tc>
        <w:tc>
          <w:tcPr>
            <w:tcW w:w="1620" w:type="dxa"/>
            <w:tcBorders>
              <w:top w:val="nil"/>
              <w:left w:val="nil"/>
              <w:bottom w:val="single" w:sz="4" w:space="0" w:color="auto"/>
              <w:right w:val="single" w:sz="4" w:space="0" w:color="auto"/>
            </w:tcBorders>
            <w:shd w:val="clear" w:color="auto" w:fill="auto"/>
            <w:noWrap/>
            <w:vAlign w:val="bottom"/>
            <w:hideMark/>
          </w:tcPr>
          <w:p w14:paraId="2BD4081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3.93</w:t>
            </w:r>
          </w:p>
        </w:tc>
        <w:tc>
          <w:tcPr>
            <w:tcW w:w="1075" w:type="dxa"/>
            <w:tcBorders>
              <w:top w:val="nil"/>
              <w:left w:val="nil"/>
              <w:bottom w:val="single" w:sz="4" w:space="0" w:color="auto"/>
              <w:right w:val="single" w:sz="4" w:space="0" w:color="auto"/>
            </w:tcBorders>
            <w:shd w:val="clear" w:color="auto" w:fill="auto"/>
            <w:noWrap/>
            <w:vAlign w:val="bottom"/>
            <w:hideMark/>
          </w:tcPr>
          <w:p w14:paraId="00481B5A"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1.72E-09</w:t>
            </w:r>
          </w:p>
        </w:tc>
      </w:tr>
      <w:tr w:rsidR="0082553F" w:rsidRPr="00CE4E1F" w14:paraId="7BB79654"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711D82D4" w14:textId="16675DF9"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1430E08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2.47</w:t>
            </w:r>
          </w:p>
        </w:tc>
        <w:tc>
          <w:tcPr>
            <w:tcW w:w="1578" w:type="dxa"/>
            <w:tcBorders>
              <w:top w:val="nil"/>
              <w:left w:val="nil"/>
              <w:bottom w:val="single" w:sz="4" w:space="0" w:color="auto"/>
              <w:right w:val="single" w:sz="4" w:space="0" w:color="auto"/>
            </w:tcBorders>
            <w:shd w:val="clear" w:color="auto" w:fill="auto"/>
            <w:noWrap/>
            <w:vAlign w:val="bottom"/>
            <w:hideMark/>
          </w:tcPr>
          <w:p w14:paraId="32214E1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1.70</w:t>
            </w:r>
          </w:p>
        </w:tc>
        <w:tc>
          <w:tcPr>
            <w:tcW w:w="1620" w:type="dxa"/>
            <w:tcBorders>
              <w:top w:val="nil"/>
              <w:left w:val="nil"/>
              <w:bottom w:val="single" w:sz="4" w:space="0" w:color="auto"/>
              <w:right w:val="single" w:sz="4" w:space="0" w:color="auto"/>
            </w:tcBorders>
            <w:shd w:val="clear" w:color="auto" w:fill="auto"/>
            <w:noWrap/>
            <w:vAlign w:val="bottom"/>
            <w:hideMark/>
          </w:tcPr>
          <w:p w14:paraId="42BE908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3.59</w:t>
            </w:r>
          </w:p>
        </w:tc>
        <w:tc>
          <w:tcPr>
            <w:tcW w:w="1075" w:type="dxa"/>
            <w:tcBorders>
              <w:top w:val="nil"/>
              <w:left w:val="nil"/>
              <w:bottom w:val="single" w:sz="4" w:space="0" w:color="auto"/>
              <w:right w:val="single" w:sz="4" w:space="0" w:color="auto"/>
            </w:tcBorders>
            <w:shd w:val="clear" w:color="auto" w:fill="auto"/>
            <w:noWrap/>
            <w:vAlign w:val="bottom"/>
            <w:hideMark/>
          </w:tcPr>
          <w:p w14:paraId="23BBEE7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1.93E-06</w:t>
            </w:r>
          </w:p>
        </w:tc>
      </w:tr>
      <w:tr w:rsidR="0082553F" w:rsidRPr="00CE4E1F" w14:paraId="1A811801"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D0F0B94" w14:textId="168CCB96"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2 vs 1</w:t>
            </w:r>
          </w:p>
        </w:tc>
        <w:tc>
          <w:tcPr>
            <w:tcW w:w="929" w:type="dxa"/>
            <w:tcBorders>
              <w:top w:val="nil"/>
              <w:left w:val="nil"/>
              <w:bottom w:val="single" w:sz="4" w:space="0" w:color="auto"/>
              <w:right w:val="single" w:sz="4" w:space="0" w:color="auto"/>
            </w:tcBorders>
            <w:shd w:val="clear" w:color="auto" w:fill="auto"/>
            <w:noWrap/>
            <w:vAlign w:val="bottom"/>
            <w:hideMark/>
          </w:tcPr>
          <w:p w14:paraId="553BF85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1.08</w:t>
            </w:r>
          </w:p>
        </w:tc>
        <w:tc>
          <w:tcPr>
            <w:tcW w:w="1578" w:type="dxa"/>
            <w:tcBorders>
              <w:top w:val="nil"/>
              <w:left w:val="nil"/>
              <w:bottom w:val="single" w:sz="4" w:space="0" w:color="auto"/>
              <w:right w:val="single" w:sz="4" w:space="0" w:color="auto"/>
            </w:tcBorders>
            <w:shd w:val="clear" w:color="auto" w:fill="auto"/>
            <w:noWrap/>
            <w:vAlign w:val="bottom"/>
            <w:hideMark/>
          </w:tcPr>
          <w:p w14:paraId="78B4128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0.71</w:t>
            </w:r>
          </w:p>
        </w:tc>
        <w:tc>
          <w:tcPr>
            <w:tcW w:w="1620" w:type="dxa"/>
            <w:tcBorders>
              <w:top w:val="nil"/>
              <w:left w:val="nil"/>
              <w:bottom w:val="single" w:sz="4" w:space="0" w:color="auto"/>
              <w:right w:val="single" w:sz="4" w:space="0" w:color="auto"/>
            </w:tcBorders>
            <w:shd w:val="clear" w:color="auto" w:fill="auto"/>
            <w:noWrap/>
            <w:vAlign w:val="bottom"/>
            <w:hideMark/>
          </w:tcPr>
          <w:p w14:paraId="2F38945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1.64</w:t>
            </w:r>
          </w:p>
        </w:tc>
        <w:tc>
          <w:tcPr>
            <w:tcW w:w="1075" w:type="dxa"/>
            <w:tcBorders>
              <w:top w:val="nil"/>
              <w:left w:val="nil"/>
              <w:bottom w:val="single" w:sz="4" w:space="0" w:color="auto"/>
              <w:right w:val="single" w:sz="4" w:space="0" w:color="auto"/>
            </w:tcBorders>
            <w:shd w:val="clear" w:color="auto" w:fill="auto"/>
            <w:noWrap/>
            <w:vAlign w:val="bottom"/>
            <w:hideMark/>
          </w:tcPr>
          <w:p w14:paraId="289FEE2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0.7098</w:t>
            </w:r>
          </w:p>
        </w:tc>
      </w:tr>
      <w:tr w:rsidR="0082553F" w:rsidRPr="00CE4E1F" w14:paraId="3882BF3E"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582A82A" w14:textId="326B00D3"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2016 </w:t>
            </w:r>
            <w:r w:rsidR="005E7452">
              <w:rPr>
                <w:color w:val="000000"/>
                <w:sz w:val="18"/>
                <w:szCs w:val="18"/>
              </w:rPr>
              <w:t>grade</w:t>
            </w:r>
            <w:r w:rsidRPr="00CE4E1F">
              <w:rPr>
                <w:color w:val="000000"/>
                <w:sz w:val="18"/>
                <w:szCs w:val="18"/>
              </w:rPr>
              <w:t xml:space="preserve"> 3 vs 1</w:t>
            </w:r>
          </w:p>
        </w:tc>
        <w:tc>
          <w:tcPr>
            <w:tcW w:w="929" w:type="dxa"/>
            <w:tcBorders>
              <w:top w:val="nil"/>
              <w:left w:val="nil"/>
              <w:bottom w:val="single" w:sz="4" w:space="0" w:color="auto"/>
              <w:right w:val="single" w:sz="4" w:space="0" w:color="auto"/>
            </w:tcBorders>
            <w:shd w:val="clear" w:color="auto" w:fill="auto"/>
            <w:noWrap/>
            <w:vAlign w:val="bottom"/>
            <w:hideMark/>
          </w:tcPr>
          <w:p w14:paraId="607A503D"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1.04</w:t>
            </w:r>
          </w:p>
        </w:tc>
        <w:tc>
          <w:tcPr>
            <w:tcW w:w="1578" w:type="dxa"/>
            <w:tcBorders>
              <w:top w:val="nil"/>
              <w:left w:val="nil"/>
              <w:bottom w:val="single" w:sz="4" w:space="0" w:color="auto"/>
              <w:right w:val="single" w:sz="4" w:space="0" w:color="auto"/>
            </w:tcBorders>
            <w:shd w:val="clear" w:color="auto" w:fill="auto"/>
            <w:noWrap/>
            <w:vAlign w:val="bottom"/>
            <w:hideMark/>
          </w:tcPr>
          <w:p w14:paraId="4F650D1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0.59</w:t>
            </w:r>
          </w:p>
        </w:tc>
        <w:tc>
          <w:tcPr>
            <w:tcW w:w="1620" w:type="dxa"/>
            <w:tcBorders>
              <w:top w:val="nil"/>
              <w:left w:val="nil"/>
              <w:bottom w:val="single" w:sz="4" w:space="0" w:color="auto"/>
              <w:right w:val="single" w:sz="4" w:space="0" w:color="auto"/>
            </w:tcBorders>
            <w:shd w:val="clear" w:color="auto" w:fill="auto"/>
            <w:noWrap/>
            <w:vAlign w:val="bottom"/>
            <w:hideMark/>
          </w:tcPr>
          <w:p w14:paraId="72B4693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1.84</w:t>
            </w:r>
          </w:p>
        </w:tc>
        <w:tc>
          <w:tcPr>
            <w:tcW w:w="1075" w:type="dxa"/>
            <w:tcBorders>
              <w:top w:val="nil"/>
              <w:left w:val="nil"/>
              <w:bottom w:val="single" w:sz="4" w:space="0" w:color="auto"/>
              <w:right w:val="single" w:sz="4" w:space="0" w:color="auto"/>
            </w:tcBorders>
            <w:shd w:val="clear" w:color="auto" w:fill="auto"/>
            <w:noWrap/>
            <w:vAlign w:val="bottom"/>
            <w:hideMark/>
          </w:tcPr>
          <w:p w14:paraId="0E35943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0.8982</w:t>
            </w:r>
          </w:p>
        </w:tc>
      </w:tr>
      <w:tr w:rsidR="0082553F" w:rsidRPr="00CE4E1F" w14:paraId="598D5520"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0AEF842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929" w:type="dxa"/>
            <w:tcBorders>
              <w:top w:val="nil"/>
              <w:left w:val="nil"/>
              <w:bottom w:val="single" w:sz="4" w:space="0" w:color="auto"/>
              <w:right w:val="single" w:sz="4" w:space="0" w:color="auto"/>
            </w:tcBorders>
            <w:shd w:val="clear" w:color="auto" w:fill="auto"/>
            <w:noWrap/>
            <w:vAlign w:val="bottom"/>
            <w:hideMark/>
          </w:tcPr>
          <w:p w14:paraId="21AD320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0C64B49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0E710FB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22740FC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76221226"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E0789B0" w14:textId="28FD5CD8" w:rsidR="0082553F" w:rsidRPr="00CE4E1F" w:rsidRDefault="0082553F" w:rsidP="00742F09">
            <w:pPr>
              <w:spacing w:line="360" w:lineRule="auto"/>
              <w:contextualSpacing/>
              <w:jc w:val="both"/>
              <w:rPr>
                <w:b/>
                <w:bCs/>
                <w:color w:val="000000"/>
                <w:sz w:val="18"/>
                <w:szCs w:val="18"/>
              </w:rPr>
            </w:pPr>
            <w:r w:rsidRPr="00CE4E1F">
              <w:rPr>
                <w:b/>
                <w:bCs/>
                <w:color w:val="000000"/>
                <w:sz w:val="18"/>
                <w:szCs w:val="18"/>
              </w:rPr>
              <w:t>MVR</w:t>
            </w:r>
            <w:r w:rsidR="009D5F2B">
              <w:rPr>
                <w:b/>
                <w:bCs/>
                <w:color w:val="000000"/>
                <w:sz w:val="18"/>
                <w:szCs w:val="18"/>
              </w:rPr>
              <w:t xml:space="preserve"> model </w:t>
            </w:r>
            <w:r w:rsidRPr="00CE4E1F">
              <w:rPr>
                <w:b/>
                <w:bCs/>
                <w:color w:val="000000"/>
                <w:sz w:val="18"/>
                <w:szCs w:val="18"/>
              </w:rPr>
              <w:t>10, N=434</w:t>
            </w:r>
          </w:p>
        </w:tc>
        <w:tc>
          <w:tcPr>
            <w:tcW w:w="929" w:type="dxa"/>
            <w:tcBorders>
              <w:top w:val="nil"/>
              <w:left w:val="nil"/>
              <w:bottom w:val="single" w:sz="4" w:space="0" w:color="auto"/>
              <w:right w:val="single" w:sz="4" w:space="0" w:color="auto"/>
            </w:tcBorders>
            <w:shd w:val="clear" w:color="auto" w:fill="auto"/>
            <w:noWrap/>
            <w:vAlign w:val="bottom"/>
            <w:hideMark/>
          </w:tcPr>
          <w:p w14:paraId="2239EF5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578" w:type="dxa"/>
            <w:tcBorders>
              <w:top w:val="nil"/>
              <w:left w:val="nil"/>
              <w:bottom w:val="single" w:sz="4" w:space="0" w:color="auto"/>
              <w:right w:val="single" w:sz="4" w:space="0" w:color="auto"/>
            </w:tcBorders>
            <w:shd w:val="clear" w:color="auto" w:fill="auto"/>
            <w:noWrap/>
            <w:vAlign w:val="bottom"/>
            <w:hideMark/>
          </w:tcPr>
          <w:p w14:paraId="239FC49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43464CA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c>
          <w:tcPr>
            <w:tcW w:w="1075" w:type="dxa"/>
            <w:tcBorders>
              <w:top w:val="nil"/>
              <w:left w:val="nil"/>
              <w:bottom w:val="single" w:sz="4" w:space="0" w:color="auto"/>
              <w:right w:val="single" w:sz="4" w:space="0" w:color="auto"/>
            </w:tcBorders>
            <w:shd w:val="clear" w:color="auto" w:fill="auto"/>
            <w:noWrap/>
            <w:vAlign w:val="bottom"/>
            <w:hideMark/>
          </w:tcPr>
          <w:p w14:paraId="7AF723B7"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 </w:t>
            </w:r>
          </w:p>
        </w:tc>
      </w:tr>
      <w:tr w:rsidR="0082553F" w:rsidRPr="00CE4E1F" w14:paraId="3E212A78"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41F2096" w14:textId="4E0B757E" w:rsidR="0082553F" w:rsidRPr="00CE4E1F" w:rsidRDefault="005E7452" w:rsidP="00742F09">
            <w:pPr>
              <w:spacing w:line="360" w:lineRule="auto"/>
              <w:contextualSpacing/>
              <w:jc w:val="both"/>
              <w:rPr>
                <w:color w:val="000000"/>
                <w:sz w:val="18"/>
                <w:szCs w:val="18"/>
              </w:rPr>
            </w:pPr>
            <w:r>
              <w:rPr>
                <w:color w:val="000000"/>
                <w:sz w:val="18"/>
                <w:szCs w:val="18"/>
              </w:rPr>
              <w:t>Gene expression risk score</w:t>
            </w:r>
            <w:r w:rsidR="0082553F" w:rsidRPr="00CE4E1F">
              <w:rPr>
                <w:color w:val="000000"/>
                <w:sz w:val="18"/>
                <w:szCs w:val="18"/>
              </w:rPr>
              <w:t xml:space="preserve"> (per 0.1 increase)</w:t>
            </w:r>
          </w:p>
        </w:tc>
        <w:tc>
          <w:tcPr>
            <w:tcW w:w="929" w:type="dxa"/>
            <w:tcBorders>
              <w:top w:val="nil"/>
              <w:left w:val="nil"/>
              <w:bottom w:val="single" w:sz="4" w:space="0" w:color="auto"/>
              <w:right w:val="single" w:sz="4" w:space="0" w:color="auto"/>
            </w:tcBorders>
            <w:shd w:val="clear" w:color="auto" w:fill="auto"/>
            <w:noWrap/>
            <w:vAlign w:val="bottom"/>
            <w:hideMark/>
          </w:tcPr>
          <w:p w14:paraId="0931D9C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1.50</w:t>
            </w:r>
          </w:p>
        </w:tc>
        <w:tc>
          <w:tcPr>
            <w:tcW w:w="1578" w:type="dxa"/>
            <w:tcBorders>
              <w:top w:val="nil"/>
              <w:left w:val="nil"/>
              <w:bottom w:val="single" w:sz="4" w:space="0" w:color="auto"/>
              <w:right w:val="single" w:sz="4" w:space="0" w:color="auto"/>
            </w:tcBorders>
            <w:shd w:val="clear" w:color="auto" w:fill="auto"/>
            <w:noWrap/>
            <w:vAlign w:val="bottom"/>
            <w:hideMark/>
          </w:tcPr>
          <w:p w14:paraId="587DA055"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1.31</w:t>
            </w:r>
          </w:p>
        </w:tc>
        <w:tc>
          <w:tcPr>
            <w:tcW w:w="1620" w:type="dxa"/>
            <w:tcBorders>
              <w:top w:val="nil"/>
              <w:left w:val="nil"/>
              <w:bottom w:val="single" w:sz="4" w:space="0" w:color="auto"/>
              <w:right w:val="single" w:sz="4" w:space="0" w:color="auto"/>
            </w:tcBorders>
            <w:shd w:val="clear" w:color="auto" w:fill="auto"/>
            <w:noWrap/>
            <w:vAlign w:val="bottom"/>
            <w:hideMark/>
          </w:tcPr>
          <w:p w14:paraId="667CB751"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1.72</w:t>
            </w:r>
          </w:p>
        </w:tc>
        <w:tc>
          <w:tcPr>
            <w:tcW w:w="1075" w:type="dxa"/>
            <w:tcBorders>
              <w:top w:val="nil"/>
              <w:left w:val="nil"/>
              <w:bottom w:val="single" w:sz="4" w:space="0" w:color="auto"/>
              <w:right w:val="single" w:sz="4" w:space="0" w:color="auto"/>
            </w:tcBorders>
            <w:shd w:val="clear" w:color="auto" w:fill="auto"/>
            <w:noWrap/>
            <w:vAlign w:val="bottom"/>
            <w:hideMark/>
          </w:tcPr>
          <w:p w14:paraId="5991817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8.06E-09</w:t>
            </w:r>
          </w:p>
        </w:tc>
      </w:tr>
      <w:tr w:rsidR="0082553F" w:rsidRPr="00CE4E1F" w14:paraId="2D8427FE"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19670ED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STR vs GTR</w:t>
            </w:r>
          </w:p>
        </w:tc>
        <w:tc>
          <w:tcPr>
            <w:tcW w:w="929" w:type="dxa"/>
            <w:tcBorders>
              <w:top w:val="nil"/>
              <w:left w:val="nil"/>
              <w:bottom w:val="single" w:sz="4" w:space="0" w:color="auto"/>
              <w:right w:val="single" w:sz="4" w:space="0" w:color="auto"/>
            </w:tcBorders>
            <w:shd w:val="clear" w:color="auto" w:fill="auto"/>
            <w:noWrap/>
            <w:vAlign w:val="bottom"/>
            <w:hideMark/>
          </w:tcPr>
          <w:p w14:paraId="21B03DD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2.04</w:t>
            </w:r>
          </w:p>
        </w:tc>
        <w:tc>
          <w:tcPr>
            <w:tcW w:w="1578" w:type="dxa"/>
            <w:tcBorders>
              <w:top w:val="nil"/>
              <w:left w:val="nil"/>
              <w:bottom w:val="single" w:sz="4" w:space="0" w:color="auto"/>
              <w:right w:val="single" w:sz="4" w:space="0" w:color="auto"/>
            </w:tcBorders>
            <w:shd w:val="clear" w:color="auto" w:fill="auto"/>
            <w:noWrap/>
            <w:vAlign w:val="bottom"/>
            <w:hideMark/>
          </w:tcPr>
          <w:p w14:paraId="0142549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1.44</w:t>
            </w:r>
          </w:p>
        </w:tc>
        <w:tc>
          <w:tcPr>
            <w:tcW w:w="1620" w:type="dxa"/>
            <w:tcBorders>
              <w:top w:val="nil"/>
              <w:left w:val="nil"/>
              <w:bottom w:val="single" w:sz="4" w:space="0" w:color="auto"/>
              <w:right w:val="single" w:sz="4" w:space="0" w:color="auto"/>
            </w:tcBorders>
            <w:shd w:val="clear" w:color="auto" w:fill="auto"/>
            <w:noWrap/>
            <w:vAlign w:val="bottom"/>
            <w:hideMark/>
          </w:tcPr>
          <w:p w14:paraId="68B4617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2.90</w:t>
            </w:r>
          </w:p>
        </w:tc>
        <w:tc>
          <w:tcPr>
            <w:tcW w:w="1075" w:type="dxa"/>
            <w:tcBorders>
              <w:top w:val="nil"/>
              <w:left w:val="nil"/>
              <w:bottom w:val="single" w:sz="4" w:space="0" w:color="auto"/>
              <w:right w:val="single" w:sz="4" w:space="0" w:color="auto"/>
            </w:tcBorders>
            <w:shd w:val="clear" w:color="auto" w:fill="auto"/>
            <w:noWrap/>
            <w:vAlign w:val="bottom"/>
            <w:hideMark/>
          </w:tcPr>
          <w:p w14:paraId="6B0B59E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6.45E-05</w:t>
            </w:r>
          </w:p>
        </w:tc>
      </w:tr>
      <w:tr w:rsidR="0082553F" w:rsidRPr="00CE4E1F" w14:paraId="2BFA88F9"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1FEFC89" w14:textId="35CCA22E" w:rsidR="0082553F" w:rsidRPr="00CE4E1F" w:rsidRDefault="005E7452" w:rsidP="00742F09">
            <w:pPr>
              <w:spacing w:line="360" w:lineRule="auto"/>
              <w:contextualSpacing/>
              <w:jc w:val="both"/>
              <w:rPr>
                <w:color w:val="000000"/>
                <w:sz w:val="18"/>
                <w:szCs w:val="18"/>
              </w:rPr>
            </w:pPr>
            <w:r>
              <w:rPr>
                <w:color w:val="000000"/>
                <w:sz w:val="18"/>
                <w:szCs w:val="18"/>
              </w:rPr>
              <w:t>Setting (recurrent vs primary)</w:t>
            </w:r>
          </w:p>
        </w:tc>
        <w:tc>
          <w:tcPr>
            <w:tcW w:w="929" w:type="dxa"/>
            <w:tcBorders>
              <w:top w:val="nil"/>
              <w:left w:val="nil"/>
              <w:bottom w:val="single" w:sz="4" w:space="0" w:color="auto"/>
              <w:right w:val="single" w:sz="4" w:space="0" w:color="auto"/>
            </w:tcBorders>
            <w:shd w:val="clear" w:color="auto" w:fill="auto"/>
            <w:noWrap/>
            <w:vAlign w:val="bottom"/>
            <w:hideMark/>
          </w:tcPr>
          <w:p w14:paraId="6E2AF5A0"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2.72</w:t>
            </w:r>
          </w:p>
        </w:tc>
        <w:tc>
          <w:tcPr>
            <w:tcW w:w="1578" w:type="dxa"/>
            <w:tcBorders>
              <w:top w:val="nil"/>
              <w:left w:val="nil"/>
              <w:bottom w:val="single" w:sz="4" w:space="0" w:color="auto"/>
              <w:right w:val="single" w:sz="4" w:space="0" w:color="auto"/>
            </w:tcBorders>
            <w:shd w:val="clear" w:color="auto" w:fill="auto"/>
            <w:noWrap/>
            <w:vAlign w:val="bottom"/>
            <w:hideMark/>
          </w:tcPr>
          <w:p w14:paraId="011DDD83"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1.80</w:t>
            </w:r>
          </w:p>
        </w:tc>
        <w:tc>
          <w:tcPr>
            <w:tcW w:w="1620" w:type="dxa"/>
            <w:tcBorders>
              <w:top w:val="nil"/>
              <w:left w:val="nil"/>
              <w:bottom w:val="single" w:sz="4" w:space="0" w:color="auto"/>
              <w:right w:val="single" w:sz="4" w:space="0" w:color="auto"/>
            </w:tcBorders>
            <w:shd w:val="clear" w:color="auto" w:fill="auto"/>
            <w:noWrap/>
            <w:vAlign w:val="bottom"/>
            <w:hideMark/>
          </w:tcPr>
          <w:p w14:paraId="71C78AB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4.10</w:t>
            </w:r>
          </w:p>
        </w:tc>
        <w:tc>
          <w:tcPr>
            <w:tcW w:w="1075" w:type="dxa"/>
            <w:tcBorders>
              <w:top w:val="nil"/>
              <w:left w:val="nil"/>
              <w:bottom w:val="single" w:sz="4" w:space="0" w:color="auto"/>
              <w:right w:val="single" w:sz="4" w:space="0" w:color="auto"/>
            </w:tcBorders>
            <w:shd w:val="clear" w:color="auto" w:fill="auto"/>
            <w:noWrap/>
            <w:vAlign w:val="bottom"/>
            <w:hideMark/>
          </w:tcPr>
          <w:p w14:paraId="0F222538"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1.85E-06</w:t>
            </w:r>
          </w:p>
        </w:tc>
      </w:tr>
      <w:tr w:rsidR="0082553F" w:rsidRPr="00CE4E1F" w14:paraId="69B8850F"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456571B4" w14:textId="06767DF4"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2021 </w:t>
            </w:r>
            <w:r w:rsidR="00607ADC" w:rsidRPr="00CE4E1F">
              <w:rPr>
                <w:color w:val="000000"/>
                <w:sz w:val="18"/>
                <w:szCs w:val="18"/>
              </w:rPr>
              <w:t>g</w:t>
            </w:r>
            <w:r w:rsidRPr="00CE4E1F">
              <w:rPr>
                <w:color w:val="000000"/>
                <w:sz w:val="18"/>
                <w:szCs w:val="18"/>
              </w:rPr>
              <w:t>rade 2 vs 1</w:t>
            </w:r>
          </w:p>
        </w:tc>
        <w:tc>
          <w:tcPr>
            <w:tcW w:w="929" w:type="dxa"/>
            <w:tcBorders>
              <w:top w:val="nil"/>
              <w:left w:val="nil"/>
              <w:bottom w:val="single" w:sz="4" w:space="0" w:color="auto"/>
              <w:right w:val="single" w:sz="4" w:space="0" w:color="auto"/>
            </w:tcBorders>
            <w:shd w:val="clear" w:color="auto" w:fill="auto"/>
            <w:noWrap/>
            <w:vAlign w:val="bottom"/>
            <w:hideMark/>
          </w:tcPr>
          <w:p w14:paraId="5FC7D789"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1.82</w:t>
            </w:r>
          </w:p>
        </w:tc>
        <w:tc>
          <w:tcPr>
            <w:tcW w:w="1578" w:type="dxa"/>
            <w:tcBorders>
              <w:top w:val="nil"/>
              <w:left w:val="nil"/>
              <w:bottom w:val="single" w:sz="4" w:space="0" w:color="auto"/>
              <w:right w:val="single" w:sz="4" w:space="0" w:color="auto"/>
            </w:tcBorders>
            <w:shd w:val="clear" w:color="auto" w:fill="auto"/>
            <w:noWrap/>
            <w:vAlign w:val="bottom"/>
            <w:hideMark/>
          </w:tcPr>
          <w:p w14:paraId="10A4981C"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1.06</w:t>
            </w:r>
          </w:p>
        </w:tc>
        <w:tc>
          <w:tcPr>
            <w:tcW w:w="1620" w:type="dxa"/>
            <w:tcBorders>
              <w:top w:val="nil"/>
              <w:left w:val="nil"/>
              <w:bottom w:val="single" w:sz="4" w:space="0" w:color="auto"/>
              <w:right w:val="single" w:sz="4" w:space="0" w:color="auto"/>
            </w:tcBorders>
            <w:shd w:val="clear" w:color="auto" w:fill="auto"/>
            <w:noWrap/>
            <w:vAlign w:val="bottom"/>
            <w:hideMark/>
          </w:tcPr>
          <w:p w14:paraId="156C2EE2"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3.13</w:t>
            </w:r>
          </w:p>
        </w:tc>
        <w:tc>
          <w:tcPr>
            <w:tcW w:w="1075" w:type="dxa"/>
            <w:tcBorders>
              <w:top w:val="nil"/>
              <w:left w:val="nil"/>
              <w:bottom w:val="single" w:sz="4" w:space="0" w:color="auto"/>
              <w:right w:val="single" w:sz="4" w:space="0" w:color="auto"/>
            </w:tcBorders>
            <w:shd w:val="clear" w:color="auto" w:fill="auto"/>
            <w:noWrap/>
            <w:vAlign w:val="bottom"/>
            <w:hideMark/>
          </w:tcPr>
          <w:p w14:paraId="724F5D3B"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0.0292</w:t>
            </w:r>
          </w:p>
        </w:tc>
      </w:tr>
      <w:tr w:rsidR="0082553F" w:rsidRPr="00CE4E1F" w14:paraId="34A0323B" w14:textId="77777777" w:rsidTr="00234A82">
        <w:trPr>
          <w:trHeight w:val="320"/>
        </w:trPr>
        <w:tc>
          <w:tcPr>
            <w:tcW w:w="4148" w:type="dxa"/>
            <w:tcBorders>
              <w:top w:val="nil"/>
              <w:left w:val="single" w:sz="4" w:space="0" w:color="auto"/>
              <w:bottom w:val="single" w:sz="4" w:space="0" w:color="auto"/>
              <w:right w:val="single" w:sz="4" w:space="0" w:color="auto"/>
            </w:tcBorders>
            <w:shd w:val="clear" w:color="auto" w:fill="auto"/>
            <w:noWrap/>
            <w:vAlign w:val="bottom"/>
            <w:hideMark/>
          </w:tcPr>
          <w:p w14:paraId="66D58E8D" w14:textId="0ACAB8CF" w:rsidR="0082553F" w:rsidRPr="00CE4E1F" w:rsidRDefault="0082553F" w:rsidP="00742F09">
            <w:pPr>
              <w:spacing w:line="360" w:lineRule="auto"/>
              <w:contextualSpacing/>
              <w:jc w:val="both"/>
              <w:rPr>
                <w:color w:val="000000"/>
                <w:sz w:val="18"/>
                <w:szCs w:val="18"/>
              </w:rPr>
            </w:pPr>
            <w:r w:rsidRPr="00CE4E1F">
              <w:rPr>
                <w:color w:val="000000"/>
                <w:sz w:val="18"/>
                <w:szCs w:val="18"/>
              </w:rPr>
              <w:t xml:space="preserve">WHO 2021 </w:t>
            </w:r>
            <w:r w:rsidR="00607ADC" w:rsidRPr="00CE4E1F">
              <w:rPr>
                <w:color w:val="000000"/>
                <w:sz w:val="18"/>
                <w:szCs w:val="18"/>
              </w:rPr>
              <w:t>g</w:t>
            </w:r>
            <w:r w:rsidRPr="00CE4E1F">
              <w:rPr>
                <w:color w:val="000000"/>
                <w:sz w:val="18"/>
                <w:szCs w:val="18"/>
              </w:rPr>
              <w:t>rade 3 vs 1</w:t>
            </w:r>
          </w:p>
        </w:tc>
        <w:tc>
          <w:tcPr>
            <w:tcW w:w="929" w:type="dxa"/>
            <w:tcBorders>
              <w:top w:val="nil"/>
              <w:left w:val="nil"/>
              <w:bottom w:val="single" w:sz="4" w:space="0" w:color="auto"/>
              <w:right w:val="single" w:sz="4" w:space="0" w:color="auto"/>
            </w:tcBorders>
            <w:shd w:val="clear" w:color="auto" w:fill="auto"/>
            <w:noWrap/>
            <w:vAlign w:val="bottom"/>
            <w:hideMark/>
          </w:tcPr>
          <w:p w14:paraId="29CAABF6"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1.43</w:t>
            </w:r>
          </w:p>
        </w:tc>
        <w:tc>
          <w:tcPr>
            <w:tcW w:w="1578" w:type="dxa"/>
            <w:tcBorders>
              <w:top w:val="nil"/>
              <w:left w:val="nil"/>
              <w:bottom w:val="single" w:sz="4" w:space="0" w:color="auto"/>
              <w:right w:val="single" w:sz="4" w:space="0" w:color="auto"/>
            </w:tcBorders>
            <w:shd w:val="clear" w:color="auto" w:fill="auto"/>
            <w:noWrap/>
            <w:vAlign w:val="bottom"/>
            <w:hideMark/>
          </w:tcPr>
          <w:p w14:paraId="5F33D60E"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0.88</w:t>
            </w:r>
          </w:p>
        </w:tc>
        <w:tc>
          <w:tcPr>
            <w:tcW w:w="1620" w:type="dxa"/>
            <w:tcBorders>
              <w:top w:val="nil"/>
              <w:left w:val="nil"/>
              <w:bottom w:val="single" w:sz="4" w:space="0" w:color="auto"/>
              <w:right w:val="single" w:sz="4" w:space="0" w:color="auto"/>
            </w:tcBorders>
            <w:shd w:val="clear" w:color="auto" w:fill="auto"/>
            <w:noWrap/>
            <w:vAlign w:val="bottom"/>
            <w:hideMark/>
          </w:tcPr>
          <w:p w14:paraId="62A7C12F"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2.34</w:t>
            </w:r>
          </w:p>
        </w:tc>
        <w:tc>
          <w:tcPr>
            <w:tcW w:w="1075" w:type="dxa"/>
            <w:tcBorders>
              <w:top w:val="nil"/>
              <w:left w:val="nil"/>
              <w:bottom w:val="single" w:sz="4" w:space="0" w:color="auto"/>
              <w:right w:val="single" w:sz="4" w:space="0" w:color="auto"/>
            </w:tcBorders>
            <w:shd w:val="clear" w:color="auto" w:fill="auto"/>
            <w:noWrap/>
            <w:vAlign w:val="bottom"/>
            <w:hideMark/>
          </w:tcPr>
          <w:p w14:paraId="58AB09B4" w14:textId="77777777" w:rsidR="0082553F" w:rsidRPr="00CE4E1F" w:rsidRDefault="0082553F" w:rsidP="00742F09">
            <w:pPr>
              <w:spacing w:line="360" w:lineRule="auto"/>
              <w:contextualSpacing/>
              <w:jc w:val="both"/>
              <w:rPr>
                <w:color w:val="000000"/>
                <w:sz w:val="18"/>
                <w:szCs w:val="18"/>
              </w:rPr>
            </w:pPr>
            <w:r w:rsidRPr="00CE4E1F">
              <w:rPr>
                <w:color w:val="000000"/>
                <w:sz w:val="18"/>
                <w:szCs w:val="18"/>
              </w:rPr>
              <w:t>0.1529</w:t>
            </w:r>
          </w:p>
        </w:tc>
      </w:tr>
    </w:tbl>
    <w:p w14:paraId="42C11866" w14:textId="5AA358F6" w:rsidR="00607ADC" w:rsidRPr="00234A82" w:rsidRDefault="00607ADC" w:rsidP="00742F09">
      <w:pPr>
        <w:widowControl w:val="0"/>
        <w:autoSpaceDE w:val="0"/>
        <w:autoSpaceDN w:val="0"/>
        <w:adjustRightInd w:val="0"/>
        <w:spacing w:line="360" w:lineRule="auto"/>
        <w:contextualSpacing/>
        <w:jc w:val="both"/>
        <w:rPr>
          <w:bCs/>
        </w:rPr>
      </w:pPr>
      <w:r w:rsidRPr="00CE4E1F">
        <w:rPr>
          <w:bCs/>
        </w:rPr>
        <w:t>HR, hazard ratio; IQR, interquartile range; LF, local failure; GTR, gross total resection; MVR, multivariate regression; STR, subtotal resection; RT, radiotherapy.</w:t>
      </w:r>
    </w:p>
    <w:p w14:paraId="595937A9" w14:textId="3996A836" w:rsidR="00607ADC" w:rsidRPr="00CE4E1F" w:rsidRDefault="00607ADC" w:rsidP="00742F09">
      <w:pPr>
        <w:widowControl w:val="0"/>
        <w:autoSpaceDE w:val="0"/>
        <w:autoSpaceDN w:val="0"/>
        <w:adjustRightInd w:val="0"/>
        <w:spacing w:line="360" w:lineRule="auto"/>
        <w:contextualSpacing/>
        <w:jc w:val="both"/>
        <w:rPr>
          <w:b/>
          <w:bCs/>
        </w:rPr>
      </w:pPr>
      <w:r w:rsidRPr="00CE4E1F">
        <w:rPr>
          <w:b/>
          <w:bCs/>
          <w:sz w:val="18"/>
          <w:szCs w:val="18"/>
        </w:rPr>
        <w:br w:type="column"/>
      </w:r>
      <w:r w:rsidRPr="00CE4E1F">
        <w:rPr>
          <w:b/>
          <w:bCs/>
        </w:rPr>
        <w:lastRenderedPageBreak/>
        <w:t>Table S1</w:t>
      </w:r>
      <w:r w:rsidR="00E93081">
        <w:rPr>
          <w:b/>
          <w:bCs/>
        </w:rPr>
        <w:t>1</w:t>
      </w:r>
      <w:r w:rsidRPr="00CE4E1F">
        <w:rPr>
          <w:b/>
          <w:bCs/>
        </w:rPr>
        <w:t>. Multivariable Cox models for death in clinical validation cohort meningiomas.</w:t>
      </w:r>
    </w:p>
    <w:tbl>
      <w:tblPr>
        <w:tblW w:w="9355" w:type="dxa"/>
        <w:tblLayout w:type="fixed"/>
        <w:tblLook w:val="04A0" w:firstRow="1" w:lastRow="0" w:firstColumn="1" w:lastColumn="0" w:noHBand="0" w:noVBand="1"/>
      </w:tblPr>
      <w:tblGrid>
        <w:gridCol w:w="4027"/>
        <w:gridCol w:w="1098"/>
        <w:gridCol w:w="1620"/>
        <w:gridCol w:w="1530"/>
        <w:gridCol w:w="1080"/>
      </w:tblGrid>
      <w:tr w:rsidR="0067349A" w:rsidRPr="00CE4E1F" w14:paraId="413FE8C9" w14:textId="77777777" w:rsidTr="00E93081">
        <w:trPr>
          <w:trHeight w:val="320"/>
        </w:trPr>
        <w:tc>
          <w:tcPr>
            <w:tcW w:w="4027" w:type="dxa"/>
            <w:tcBorders>
              <w:top w:val="single" w:sz="4" w:space="0" w:color="auto"/>
              <w:left w:val="single" w:sz="4" w:space="0" w:color="auto"/>
              <w:bottom w:val="single" w:sz="4" w:space="0" w:color="auto"/>
              <w:right w:val="single" w:sz="4" w:space="0" w:color="auto"/>
            </w:tcBorders>
            <w:vAlign w:val="bottom"/>
          </w:tcPr>
          <w:p w14:paraId="78265005" w14:textId="67184106"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1, N=775</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07FC5C51" w14:textId="77777777"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HR - Death</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76E5149" w14:textId="77777777"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95% CI  - Lower</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5E3150C2" w14:textId="77777777"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95% CI - Upper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4F40A67" w14:textId="77777777"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P-value</w:t>
            </w:r>
          </w:p>
        </w:tc>
      </w:tr>
      <w:tr w:rsidR="0067349A" w:rsidRPr="00CE4E1F" w14:paraId="6DD3DCAB"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9BF5568" w14:textId="2883779F"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5ADE574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1.42</w:t>
            </w:r>
          </w:p>
        </w:tc>
        <w:tc>
          <w:tcPr>
            <w:tcW w:w="1620" w:type="dxa"/>
            <w:tcBorders>
              <w:top w:val="nil"/>
              <w:left w:val="nil"/>
              <w:bottom w:val="single" w:sz="4" w:space="0" w:color="auto"/>
              <w:right w:val="single" w:sz="4" w:space="0" w:color="auto"/>
            </w:tcBorders>
            <w:shd w:val="clear" w:color="auto" w:fill="auto"/>
            <w:noWrap/>
            <w:vAlign w:val="bottom"/>
            <w:hideMark/>
          </w:tcPr>
          <w:p w14:paraId="1EC80D3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1.26</w:t>
            </w:r>
          </w:p>
        </w:tc>
        <w:tc>
          <w:tcPr>
            <w:tcW w:w="1530" w:type="dxa"/>
            <w:tcBorders>
              <w:top w:val="nil"/>
              <w:left w:val="nil"/>
              <w:bottom w:val="single" w:sz="4" w:space="0" w:color="auto"/>
              <w:right w:val="single" w:sz="4" w:space="0" w:color="auto"/>
            </w:tcBorders>
            <w:shd w:val="clear" w:color="auto" w:fill="auto"/>
            <w:noWrap/>
            <w:vAlign w:val="bottom"/>
            <w:hideMark/>
          </w:tcPr>
          <w:p w14:paraId="7BAF2A6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1.61</w:t>
            </w:r>
          </w:p>
        </w:tc>
        <w:tc>
          <w:tcPr>
            <w:tcW w:w="1080" w:type="dxa"/>
            <w:tcBorders>
              <w:top w:val="nil"/>
              <w:left w:val="nil"/>
              <w:bottom w:val="single" w:sz="4" w:space="0" w:color="auto"/>
              <w:right w:val="single" w:sz="4" w:space="0" w:color="auto"/>
            </w:tcBorders>
            <w:shd w:val="clear" w:color="auto" w:fill="auto"/>
            <w:noWrap/>
            <w:vAlign w:val="bottom"/>
            <w:hideMark/>
          </w:tcPr>
          <w:p w14:paraId="09FA993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6.35E-09</w:t>
            </w:r>
          </w:p>
        </w:tc>
      </w:tr>
      <w:tr w:rsidR="0067349A" w:rsidRPr="00CE4E1F" w14:paraId="258215C4"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15AF085" w14:textId="5690CC94"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77FC337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1.42</w:t>
            </w:r>
          </w:p>
        </w:tc>
        <w:tc>
          <w:tcPr>
            <w:tcW w:w="1620" w:type="dxa"/>
            <w:tcBorders>
              <w:top w:val="nil"/>
              <w:left w:val="nil"/>
              <w:bottom w:val="single" w:sz="4" w:space="0" w:color="auto"/>
              <w:right w:val="single" w:sz="4" w:space="0" w:color="auto"/>
            </w:tcBorders>
            <w:shd w:val="clear" w:color="auto" w:fill="auto"/>
            <w:noWrap/>
            <w:vAlign w:val="bottom"/>
            <w:hideMark/>
          </w:tcPr>
          <w:p w14:paraId="2150587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1.03</w:t>
            </w:r>
          </w:p>
        </w:tc>
        <w:tc>
          <w:tcPr>
            <w:tcW w:w="1530" w:type="dxa"/>
            <w:tcBorders>
              <w:top w:val="nil"/>
              <w:left w:val="nil"/>
              <w:bottom w:val="single" w:sz="4" w:space="0" w:color="auto"/>
              <w:right w:val="single" w:sz="4" w:space="0" w:color="auto"/>
            </w:tcBorders>
            <w:shd w:val="clear" w:color="auto" w:fill="auto"/>
            <w:noWrap/>
            <w:vAlign w:val="bottom"/>
            <w:hideMark/>
          </w:tcPr>
          <w:p w14:paraId="225FAD0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1.95</w:t>
            </w:r>
          </w:p>
        </w:tc>
        <w:tc>
          <w:tcPr>
            <w:tcW w:w="1080" w:type="dxa"/>
            <w:tcBorders>
              <w:top w:val="nil"/>
              <w:left w:val="nil"/>
              <w:bottom w:val="single" w:sz="4" w:space="0" w:color="auto"/>
              <w:right w:val="single" w:sz="4" w:space="0" w:color="auto"/>
            </w:tcBorders>
            <w:shd w:val="clear" w:color="auto" w:fill="auto"/>
            <w:noWrap/>
            <w:vAlign w:val="bottom"/>
            <w:hideMark/>
          </w:tcPr>
          <w:p w14:paraId="4B7D6B1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0.03261</w:t>
            </w:r>
          </w:p>
        </w:tc>
      </w:tr>
      <w:tr w:rsidR="0067349A" w:rsidRPr="00CE4E1F" w14:paraId="606D33F4"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6B7EE69" w14:textId="0C051DFD"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6490146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3.28</w:t>
            </w:r>
          </w:p>
        </w:tc>
        <w:tc>
          <w:tcPr>
            <w:tcW w:w="1620" w:type="dxa"/>
            <w:tcBorders>
              <w:top w:val="nil"/>
              <w:left w:val="nil"/>
              <w:bottom w:val="single" w:sz="4" w:space="0" w:color="auto"/>
              <w:right w:val="single" w:sz="4" w:space="0" w:color="auto"/>
            </w:tcBorders>
            <w:shd w:val="clear" w:color="auto" w:fill="auto"/>
            <w:noWrap/>
            <w:vAlign w:val="bottom"/>
            <w:hideMark/>
          </w:tcPr>
          <w:p w14:paraId="066B899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2.29</w:t>
            </w:r>
          </w:p>
        </w:tc>
        <w:tc>
          <w:tcPr>
            <w:tcW w:w="1530" w:type="dxa"/>
            <w:tcBorders>
              <w:top w:val="nil"/>
              <w:left w:val="nil"/>
              <w:bottom w:val="single" w:sz="4" w:space="0" w:color="auto"/>
              <w:right w:val="single" w:sz="4" w:space="0" w:color="auto"/>
            </w:tcBorders>
            <w:shd w:val="clear" w:color="auto" w:fill="auto"/>
            <w:noWrap/>
            <w:vAlign w:val="bottom"/>
            <w:hideMark/>
          </w:tcPr>
          <w:p w14:paraId="668A14F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4.70</w:t>
            </w:r>
          </w:p>
        </w:tc>
        <w:tc>
          <w:tcPr>
            <w:tcW w:w="1080" w:type="dxa"/>
            <w:tcBorders>
              <w:top w:val="nil"/>
              <w:left w:val="nil"/>
              <w:bottom w:val="single" w:sz="4" w:space="0" w:color="auto"/>
              <w:right w:val="single" w:sz="4" w:space="0" w:color="auto"/>
            </w:tcBorders>
            <w:shd w:val="clear" w:color="auto" w:fill="auto"/>
            <w:noWrap/>
            <w:vAlign w:val="bottom"/>
            <w:hideMark/>
          </w:tcPr>
          <w:p w14:paraId="5A53EB0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9.24E-11</w:t>
            </w:r>
          </w:p>
        </w:tc>
      </w:tr>
      <w:tr w:rsidR="0067349A" w:rsidRPr="00CE4E1F" w14:paraId="04C55A9C"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26A74AA7" w14:textId="3B5C2CAE"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33F364B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1.28</w:t>
            </w:r>
          </w:p>
        </w:tc>
        <w:tc>
          <w:tcPr>
            <w:tcW w:w="1620" w:type="dxa"/>
            <w:tcBorders>
              <w:top w:val="nil"/>
              <w:left w:val="nil"/>
              <w:bottom w:val="single" w:sz="4" w:space="0" w:color="auto"/>
              <w:right w:val="single" w:sz="4" w:space="0" w:color="auto"/>
            </w:tcBorders>
            <w:shd w:val="clear" w:color="auto" w:fill="auto"/>
            <w:noWrap/>
            <w:vAlign w:val="bottom"/>
            <w:hideMark/>
          </w:tcPr>
          <w:p w14:paraId="1B6AAC2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0.85</w:t>
            </w:r>
          </w:p>
        </w:tc>
        <w:tc>
          <w:tcPr>
            <w:tcW w:w="1530" w:type="dxa"/>
            <w:tcBorders>
              <w:top w:val="nil"/>
              <w:left w:val="nil"/>
              <w:bottom w:val="single" w:sz="4" w:space="0" w:color="auto"/>
              <w:right w:val="single" w:sz="4" w:space="0" w:color="auto"/>
            </w:tcBorders>
            <w:shd w:val="clear" w:color="auto" w:fill="auto"/>
            <w:noWrap/>
            <w:vAlign w:val="bottom"/>
            <w:hideMark/>
          </w:tcPr>
          <w:p w14:paraId="665A089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27084ED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0.23855</w:t>
            </w:r>
          </w:p>
        </w:tc>
      </w:tr>
      <w:tr w:rsidR="0067349A" w:rsidRPr="00CE4E1F" w14:paraId="28680751"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22978687" w14:textId="5A2AEAC6"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6D29335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1.80</w:t>
            </w:r>
          </w:p>
        </w:tc>
        <w:tc>
          <w:tcPr>
            <w:tcW w:w="1620" w:type="dxa"/>
            <w:tcBorders>
              <w:top w:val="nil"/>
              <w:left w:val="nil"/>
              <w:bottom w:val="single" w:sz="4" w:space="0" w:color="auto"/>
              <w:right w:val="single" w:sz="4" w:space="0" w:color="auto"/>
            </w:tcBorders>
            <w:shd w:val="clear" w:color="auto" w:fill="auto"/>
            <w:noWrap/>
            <w:vAlign w:val="bottom"/>
            <w:hideMark/>
          </w:tcPr>
          <w:p w14:paraId="60A38F3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1.16</w:t>
            </w:r>
          </w:p>
        </w:tc>
        <w:tc>
          <w:tcPr>
            <w:tcW w:w="1530" w:type="dxa"/>
            <w:tcBorders>
              <w:top w:val="nil"/>
              <w:left w:val="nil"/>
              <w:bottom w:val="single" w:sz="4" w:space="0" w:color="auto"/>
              <w:right w:val="single" w:sz="4" w:space="0" w:color="auto"/>
            </w:tcBorders>
            <w:shd w:val="clear" w:color="auto" w:fill="auto"/>
            <w:noWrap/>
            <w:vAlign w:val="bottom"/>
            <w:hideMark/>
          </w:tcPr>
          <w:p w14:paraId="7DBAC9B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2.81</w:t>
            </w:r>
          </w:p>
        </w:tc>
        <w:tc>
          <w:tcPr>
            <w:tcW w:w="1080" w:type="dxa"/>
            <w:tcBorders>
              <w:top w:val="nil"/>
              <w:left w:val="nil"/>
              <w:bottom w:val="single" w:sz="4" w:space="0" w:color="auto"/>
              <w:right w:val="single" w:sz="4" w:space="0" w:color="auto"/>
            </w:tcBorders>
            <w:shd w:val="clear" w:color="auto" w:fill="auto"/>
            <w:noWrap/>
            <w:vAlign w:val="bottom"/>
            <w:hideMark/>
          </w:tcPr>
          <w:p w14:paraId="01DA227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0.00934</w:t>
            </w:r>
          </w:p>
        </w:tc>
      </w:tr>
      <w:tr w:rsidR="0067349A" w:rsidRPr="00CE4E1F" w14:paraId="0FD9BDF5"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F2B341E" w14:textId="3B7D866C"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683E252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332337B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691DEB7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3BDFB2C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7C2A97DC"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12E89CA" w14:textId="599AA491"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2, N=332</w:t>
            </w:r>
          </w:p>
        </w:tc>
        <w:tc>
          <w:tcPr>
            <w:tcW w:w="1098" w:type="dxa"/>
            <w:tcBorders>
              <w:top w:val="nil"/>
              <w:left w:val="nil"/>
              <w:bottom w:val="single" w:sz="4" w:space="0" w:color="auto"/>
              <w:right w:val="single" w:sz="4" w:space="0" w:color="auto"/>
            </w:tcBorders>
            <w:shd w:val="clear" w:color="auto" w:fill="auto"/>
            <w:noWrap/>
            <w:vAlign w:val="bottom"/>
            <w:hideMark/>
          </w:tcPr>
          <w:p w14:paraId="06952FA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24512E7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596FA80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2B8DDB8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3F5A7823"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5A56FCA" w14:textId="1CA82585"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65D6807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1.46</w:t>
            </w:r>
          </w:p>
        </w:tc>
        <w:tc>
          <w:tcPr>
            <w:tcW w:w="1620" w:type="dxa"/>
            <w:tcBorders>
              <w:top w:val="nil"/>
              <w:left w:val="nil"/>
              <w:bottom w:val="single" w:sz="4" w:space="0" w:color="auto"/>
              <w:right w:val="single" w:sz="4" w:space="0" w:color="auto"/>
            </w:tcBorders>
            <w:shd w:val="clear" w:color="auto" w:fill="auto"/>
            <w:noWrap/>
            <w:vAlign w:val="bottom"/>
            <w:hideMark/>
          </w:tcPr>
          <w:p w14:paraId="710C399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1.18</w:t>
            </w:r>
          </w:p>
        </w:tc>
        <w:tc>
          <w:tcPr>
            <w:tcW w:w="1530" w:type="dxa"/>
            <w:tcBorders>
              <w:top w:val="nil"/>
              <w:left w:val="nil"/>
              <w:bottom w:val="single" w:sz="4" w:space="0" w:color="auto"/>
              <w:right w:val="single" w:sz="4" w:space="0" w:color="auto"/>
            </w:tcBorders>
            <w:shd w:val="clear" w:color="auto" w:fill="auto"/>
            <w:noWrap/>
            <w:vAlign w:val="bottom"/>
            <w:hideMark/>
          </w:tcPr>
          <w:p w14:paraId="7D0A2B3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1.82</w:t>
            </w:r>
          </w:p>
        </w:tc>
        <w:tc>
          <w:tcPr>
            <w:tcW w:w="1080" w:type="dxa"/>
            <w:tcBorders>
              <w:top w:val="nil"/>
              <w:left w:val="nil"/>
              <w:bottom w:val="single" w:sz="4" w:space="0" w:color="auto"/>
              <w:right w:val="single" w:sz="4" w:space="0" w:color="auto"/>
            </w:tcBorders>
            <w:shd w:val="clear" w:color="auto" w:fill="auto"/>
            <w:noWrap/>
            <w:vAlign w:val="bottom"/>
            <w:hideMark/>
          </w:tcPr>
          <w:p w14:paraId="0A28192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0.000607</w:t>
            </w:r>
          </w:p>
        </w:tc>
      </w:tr>
      <w:tr w:rsidR="0067349A" w:rsidRPr="00CE4E1F" w14:paraId="5CF18493"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5D447FD" w14:textId="6D103406" w:rsidR="0067349A" w:rsidRDefault="0067349A" w:rsidP="00742F09">
            <w:pPr>
              <w:spacing w:line="360" w:lineRule="auto"/>
              <w:contextualSpacing/>
              <w:jc w:val="both"/>
              <w:rPr>
                <w:color w:val="000000"/>
                <w:sz w:val="18"/>
                <w:szCs w:val="18"/>
              </w:rPr>
            </w:pPr>
            <w:r>
              <w:rPr>
                <w:color w:val="000000"/>
                <w:sz w:val="18"/>
                <w:szCs w:val="18"/>
              </w:rPr>
              <w:t>Integrated score</w:t>
            </w:r>
            <w:r>
              <w:rPr>
                <w:color w:val="000000"/>
                <w:sz w:val="18"/>
                <w:szCs w:val="18"/>
              </w:rPr>
              <w:fldChar w:fldCharType="begin" w:fldLock="1"/>
            </w:r>
            <w:r w:rsidR="000F4EF5">
              <w:rPr>
                <w:color w:val="000000"/>
                <w:sz w:val="18"/>
                <w:szCs w:val="18"/>
              </w:rPr>
              <w:instrText>ADDIN CSL_CITATION {"citationItems":[{"id":"ITEM-1","itemData":{"DOI":"10.1200/JCO.21.00784","ISSN":"15277755","PMID":"34618539","abstract":"PURPOSE Meningiomas are the most frequent primary intracranial tumors. Patient outcome varies widely from benign to highly aggressive, ultimately fatal courses. Reliable identification of risk of progression for individual patients is of pivotal importance. However, only biomarkers for highly aggressive tumors are established (CDKN2A/B and TERT), whereas no molecularly based stratification exists for the broad spectrum of patients with low- and intermediate-risk meningioma. METHODS DNA methylation data and copy-number information were generated for 3,031 meningiomas (2,868 patients), and mutation data for 858 samples. DNA methylation subgroups, copy-number variations (CNVs), mutations, and WHO grading were analyzed. Prediction power for outcome was assessed in a retrospective cohort of 514 patients, validated on a retrospective cohort of 184, and on a prospective cohort of 287 multicenter cases. RESULTS Both CNV- and methylation family–based subgrouping independently resulted in increased prediction accuracy of risk of recurrence compared with the WHO classification (c-indexes WHO 2016, CNV, and methylation family 0.699, 0.706, and 0.721, respectively). Merging all risk stratification approaches into an integrated molecular-morphologic score resulted in further substantial increase in accuracy (c-index 0.744). This integrated score consistently provided superior accuracy in all three cohorts, significantly outperforming WHO grading (c-index difference P 5 .005). Besides the overall stratification advantage, the integrated score separates more precisely for risk of progression at the diagnostically challenging interface of WHO grade 1 and grade 2 tumors (hazard ratio 4.34 [2.48-7.57] and 3.34 [1.28-8.72] retrospective and prospective validation cohorts, respectively). CONCLUSION Merging these layers of histologic and molecular data into an integrated, three-tiered score significantly improves the precision in meningioma stratification. Implementation into diagnostic routine informs clinical decision making for patients with meningioma on the basis of robust outcome prediction.","author":[{"dropping-particle":"","family":"Maas","given":"Sybren L.N.","non-dropping-particle":"","parse-names":false,"suffix":""},{"dropping-particle":"","family":"Stichel","given":"Damian","non-dropping-particle":"","parse-names":false,"suffix":""},{"dropping-particle":"","family":"Hielscher","given":"Thomas","non-dropping-particle":"","parse-names":false,"suffix":""},{"dropping-particle":"","family":"Sievers","given":"Philipp","non-dropping-particle":"","parse-names":false,"suffix":""},{"dropping-particle":"","family":"Berghoff","given":"Anna S.","non-dropping-particle":"","parse-names":false,"suffix":""},{"dropping-particle":"","family":"Schrimpf","given":"Daniel","non-dropping-particle":"","parse-names":false,"suffix":""},{"dropping-particle":"","family":"Sill","given":"Martin","non-dropping-particle":"","parse-names":false,"suffix":""},{"dropping-particle":"","family":"Euskirchen","given":"Philipp","non-dropping-particle":"","parse-names":false,"suffix":""},{"dropping-particle":"","family":"Blume","given":"Christina","non-dropping-particle":"","parse-names":false,"suffix":""},{"dropping-particle":"","family":"Patel","given":"Areeba","non-dropping-particle":"","parse-names":false,"suffix":""},{"dropping-particle":"","family":"Dogan","given":"Helin","non-dropping-particle":"","parse-names":false,"suffix":""},{"dropping-particle":"","family":"Reuss","given":"David","non-dropping-particle":"","parse-names":false,"suffix":""},{"dropping-particle":"","family":"Dohmen","given":"Hildegard","non-dropping-particle":"","parse-names":false,"suffix":""},{"dropping-particle":"","family":"Stein","given":"Marco","non-dropping-particle":"","parse-names":false,"suffix":""},{"dropping-particle":"","family":"Reinhardt","given":"Annekathrin","non-dropping-particle":"","parse-names":false,"suffix":""},{"dropping-particle":"","family":"Suwala","given":"Abigail K.","non-dropping-particle":"","parse-names":false,"suffix":""},{"dropping-particle":"","family":"Wefers","given":"Annika K.","non-dropping-particle":"","parse-names":false,"suffix":""},{"dropping-particle":"","family":"Baumgarten","given":"Peter","non-dropping-particle":"","parse-names":false,"suffix":""},{"dropping-particle":"","family":"Ricklefs","given":"Franz","non-dropping-particle":"","parse-names":false,"suffix":""},{"dropping-particle":"","family":"Rushing","given":"Elisabeth J.","non-dropping-particle":"","parse-names":false,"suffix":""},{"dropping-particle":"","family":"Bewerunge-Hudler","given":"Melanie","non-dropping-particle":"","parse-names":false,"suffix":""},{"dropping-particle":"","family":"Ketter","given":"Ralf","non-dropping-particle":"","parse-names":false,"suffix":""},{"dropping-particle":"","family":"Schittenhelm","given":"Jens","non-dropping-particle":"","parse-names":false,"suffix":""},{"dropping-particle":"","family":"Jaunmuktane","given":"Zane","non-dropping-particle":"","parse-names":false,"suffix":""},{"dropping-particle":"","family":"Leu","given":"Severina","non-dropping-particle":"","parse-names":false,"suffix":""},{"dropping-particle":"","family":"Greenway","given":"Fay E.A.","non-dropping-particle":"","parse-names":false,"suffix":""},{"dropping-particle":"","family":"Bridges","given":"Leslie R.","non-dropping-particle":"","parse-names":false,"suffix":""},{"dropping-particle":"","family":"Jones","given":"Timothy","non-dropping-particle":"","parse-names":false,"suffix":""},{"dropping-particle":"","family":"Grady","given":"Conor","non-dropping-particle":"","parse-names":false,"suffix":""},{"dropping-particle":"","family":"Serrano","given":"Jonathan","non-dropping-particle":"","parse-names":false,"suffix":""},{"dropping-particle":"","family":"Golfinos","given":"John","non-dropping-particle":"","parse-names":false,"suffix":""},{"dropping-particle":"","family":"Sen","given":"Chandra","non-dropping-particle":"","parse-names":false,"suffix":""},{"dropping-particle":"","family":"Mawrin","given":"Christian","non-dropping-particle":"","parse-names":false,"suffix":""},{"dropping-particle":"","family":"Jungk","given":"Christine","non-dropping-particle":"","parse-names":false,"suffix":""},{"dropping-particle":"","family":"Hänggi","given":"Daniel","non-dropping-particle":"","parse-names":false,"suffix":""},{"dropping-particle":"","family":"Westphal","given":"Manfred","non-dropping-particle":"","parse-names":false,"suffix":""},{"dropping-particle":"","family":"Lamszus","given":"Katrin","non-dropping-particle":"","parse-names":false,"suffix":""},{"dropping-particle":"","family":"Etminan","given":"Nima","non-dropping-particle":"","parse-names":false,"suffix":""},{"dropping-particle":"","family":"Jungwirth","given":"Gerhard","non-dropping-particle":"","parse-names":false,"suffix":""},{"dropping-particle":"","family":"Herold-Mende","given":"Christel","non-dropping-particle":"","parse-names":false,"suffix":""},{"dropping-particle":"","family":"Unterberg","given":"Andreas","non-dropping-particle":"","parse-names":false,"suffix":""},{"dropping-particle":"","family":"Harter","given":"Patrick N.","non-dropping-particle":"","parse-names":false,"suffix":""},{"dropping-particle":"","family":"Wirsching","given":"Hans Georg","non-dropping-particle":"","parse-names":false,"suffix":""},{"dropping-particle":"","family":"Neidert","given":"Marian C.","non-dropping-particle":"","parse-names":false,"suffix":""},{"dropping-particle":"","family":"Ratliff","given":"Miriam","non-dropping-particle":"","parse-names":false,"suffix":""},{"dropping-particle":"","family":"Platten","given":"Michael","non-dropping-particle":"","parse-names":false,"suffix":""},{"dropping-particle":"","family":"Snuderl","given":"Matija","non-dropping-particle":"","parse-names":false,"suffix":""},{"dropping-particle":"","family":"Aldape","given":"Kenneth D.","non-dropping-particle":"","parse-names":false,"suffix":""},{"dropping-particle":"","family":"Brandner","given":"Sebastian","non-dropping-particle":"","parse-names":false,"suffix":""},{"dropping-particle":"","family":"Hench","given":"Jürgen","non-dropping-particle":"","parse-names":false,"suffix":""},{"dropping-particle":"","family":"Frank","given":"Stephan","non-dropping-particle":"","parse-names":false,"suffix":""},{"dropping-particle":"","family":"Pfister","given":"Stefan M.","non-dropping-particle":"","parse-names":false,"suffix":""},{"dropping-particle":"","family":"Jones","given":"David T.W.","non-dropping-particle":"","parse-names":false,"suffix":""},{"dropping-particle":"","family":"Reifenberger","given":"Guido","non-dropping-particle":"","parse-names":false,"suffix":""},{"dropping-particle":"","family":"Acker","given":"Till","non-dropping-particle":"","parse-names":false,"suffix":""},{"dropping-particle":"","family":"Wick","given":"Wolfgang","non-dropping-particle":"","parse-names":false,"suffix":""},{"dropping-particle":"","family":"Weller","given":"Michael","non-dropping-particle":"","parse-names":false,"suffix":""},{"dropping-particle":"","family":"Preusser","given":"Matthias","non-dropping-particle":"","parse-names":false,"suffix":""},{"dropping-particle":"","family":"Deimling","given":"Andreas","non-dropping-particle":"von","parse-names":false,"suffix":""},{"dropping-particle":"","family":"Sahm","given":"Felix","non-dropping-particle":"","parse-names":false,"suffix":""}],"container-title":"Journal of Clinical Oncology","id":"ITEM-1","issue":"34","issued":{"date-parts":[["2021"]]},"page":"3839-3852","title":"Integrated Molecular-Morphologic Meningioma Classification: A Multicenter Retrospective Analysis, Retrospectively and Prospectively Validated","type":"article-journal","volume":"39"},"uris":["http://www.mendeley.com/documents/?uuid=e2dece48-a886-43e5-8b02-ba8c8c168310"]}],"mendeley":{"formattedCitation":"&lt;sup&gt;17&lt;/sup&gt;","plainTextFormattedCitation":"17","previouslyFormattedCitation":"&lt;sup&gt;17&lt;/sup&gt;"},"properties":{"noteIndex":0},"schema":"https://github.com/citation-style-language/schema/raw/master/csl-citation.json"}</w:instrText>
            </w:r>
            <w:r>
              <w:rPr>
                <w:color w:val="000000"/>
                <w:sz w:val="18"/>
                <w:szCs w:val="18"/>
              </w:rPr>
              <w:fldChar w:fldCharType="separate"/>
            </w:r>
            <w:r w:rsidR="000F4EF5" w:rsidRPr="000F4EF5">
              <w:rPr>
                <w:noProof/>
                <w:color w:val="000000"/>
                <w:sz w:val="18"/>
                <w:szCs w:val="18"/>
                <w:vertAlign w:val="superscript"/>
              </w:rPr>
              <w:t>17</w:t>
            </w:r>
            <w:r>
              <w:rPr>
                <w:color w:val="000000"/>
                <w:sz w:val="18"/>
                <w:szCs w:val="18"/>
              </w:rPr>
              <w:fldChar w:fldCharType="end"/>
            </w:r>
            <w:r>
              <w:rPr>
                <w:color w:val="000000"/>
                <w:sz w:val="18"/>
                <w:szCs w:val="18"/>
              </w:rPr>
              <w:t xml:space="preserve"> (intermediate vs low)</w:t>
            </w:r>
          </w:p>
        </w:tc>
        <w:tc>
          <w:tcPr>
            <w:tcW w:w="1098" w:type="dxa"/>
            <w:tcBorders>
              <w:top w:val="nil"/>
              <w:left w:val="nil"/>
              <w:bottom w:val="single" w:sz="4" w:space="0" w:color="auto"/>
              <w:right w:val="single" w:sz="4" w:space="0" w:color="auto"/>
            </w:tcBorders>
            <w:shd w:val="clear" w:color="auto" w:fill="auto"/>
            <w:noWrap/>
            <w:vAlign w:val="bottom"/>
            <w:hideMark/>
          </w:tcPr>
          <w:p w14:paraId="31F61CF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1.42</w:t>
            </w:r>
          </w:p>
        </w:tc>
        <w:tc>
          <w:tcPr>
            <w:tcW w:w="1620" w:type="dxa"/>
            <w:tcBorders>
              <w:top w:val="nil"/>
              <w:left w:val="nil"/>
              <w:bottom w:val="single" w:sz="4" w:space="0" w:color="auto"/>
              <w:right w:val="single" w:sz="4" w:space="0" w:color="auto"/>
            </w:tcBorders>
            <w:shd w:val="clear" w:color="auto" w:fill="auto"/>
            <w:noWrap/>
            <w:vAlign w:val="bottom"/>
            <w:hideMark/>
          </w:tcPr>
          <w:p w14:paraId="49C24DF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0.72</w:t>
            </w:r>
          </w:p>
        </w:tc>
        <w:tc>
          <w:tcPr>
            <w:tcW w:w="1530" w:type="dxa"/>
            <w:tcBorders>
              <w:top w:val="nil"/>
              <w:left w:val="nil"/>
              <w:bottom w:val="single" w:sz="4" w:space="0" w:color="auto"/>
              <w:right w:val="single" w:sz="4" w:space="0" w:color="auto"/>
            </w:tcBorders>
            <w:shd w:val="clear" w:color="auto" w:fill="auto"/>
            <w:noWrap/>
            <w:vAlign w:val="bottom"/>
            <w:hideMark/>
          </w:tcPr>
          <w:p w14:paraId="3E3661A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474C80A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0.306698</w:t>
            </w:r>
          </w:p>
        </w:tc>
      </w:tr>
      <w:tr w:rsidR="0067349A" w:rsidRPr="00CE4E1F" w14:paraId="3FC2C2CC"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92A9E5D" w14:textId="0F4144E4" w:rsidR="0067349A" w:rsidRDefault="0067349A" w:rsidP="00742F09">
            <w:pPr>
              <w:spacing w:line="360" w:lineRule="auto"/>
              <w:contextualSpacing/>
              <w:jc w:val="both"/>
              <w:rPr>
                <w:color w:val="000000"/>
                <w:sz w:val="18"/>
                <w:szCs w:val="18"/>
              </w:rPr>
            </w:pPr>
            <w:r>
              <w:rPr>
                <w:color w:val="000000"/>
                <w:sz w:val="18"/>
                <w:szCs w:val="18"/>
              </w:rPr>
              <w:t>Integrated score (high vs low)</w:t>
            </w:r>
          </w:p>
        </w:tc>
        <w:tc>
          <w:tcPr>
            <w:tcW w:w="1098" w:type="dxa"/>
            <w:tcBorders>
              <w:top w:val="nil"/>
              <w:left w:val="nil"/>
              <w:bottom w:val="single" w:sz="4" w:space="0" w:color="auto"/>
              <w:right w:val="single" w:sz="4" w:space="0" w:color="auto"/>
            </w:tcBorders>
            <w:shd w:val="clear" w:color="auto" w:fill="auto"/>
            <w:noWrap/>
            <w:vAlign w:val="bottom"/>
            <w:hideMark/>
          </w:tcPr>
          <w:p w14:paraId="6CF6A6B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2.33</w:t>
            </w:r>
          </w:p>
        </w:tc>
        <w:tc>
          <w:tcPr>
            <w:tcW w:w="1620" w:type="dxa"/>
            <w:tcBorders>
              <w:top w:val="nil"/>
              <w:left w:val="nil"/>
              <w:bottom w:val="single" w:sz="4" w:space="0" w:color="auto"/>
              <w:right w:val="single" w:sz="4" w:space="0" w:color="auto"/>
            </w:tcBorders>
            <w:shd w:val="clear" w:color="auto" w:fill="auto"/>
            <w:noWrap/>
            <w:vAlign w:val="bottom"/>
            <w:hideMark/>
          </w:tcPr>
          <w:p w14:paraId="4D67E48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0.88</w:t>
            </w:r>
          </w:p>
        </w:tc>
        <w:tc>
          <w:tcPr>
            <w:tcW w:w="1530" w:type="dxa"/>
            <w:tcBorders>
              <w:top w:val="nil"/>
              <w:left w:val="nil"/>
              <w:bottom w:val="single" w:sz="4" w:space="0" w:color="auto"/>
              <w:right w:val="single" w:sz="4" w:space="0" w:color="auto"/>
            </w:tcBorders>
            <w:shd w:val="clear" w:color="auto" w:fill="auto"/>
            <w:noWrap/>
            <w:vAlign w:val="bottom"/>
            <w:hideMark/>
          </w:tcPr>
          <w:p w14:paraId="25B6BB5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6.17</w:t>
            </w:r>
          </w:p>
        </w:tc>
        <w:tc>
          <w:tcPr>
            <w:tcW w:w="1080" w:type="dxa"/>
            <w:tcBorders>
              <w:top w:val="nil"/>
              <w:left w:val="nil"/>
              <w:bottom w:val="single" w:sz="4" w:space="0" w:color="auto"/>
              <w:right w:val="single" w:sz="4" w:space="0" w:color="auto"/>
            </w:tcBorders>
            <w:shd w:val="clear" w:color="auto" w:fill="auto"/>
            <w:noWrap/>
            <w:vAlign w:val="bottom"/>
            <w:hideMark/>
          </w:tcPr>
          <w:p w14:paraId="6E3D466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0.087968</w:t>
            </w:r>
          </w:p>
        </w:tc>
      </w:tr>
      <w:tr w:rsidR="0067349A" w:rsidRPr="00CE4E1F" w14:paraId="3CA03499"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92AFACA" w14:textId="55FC9E24"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019EBCB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1.41</w:t>
            </w:r>
          </w:p>
        </w:tc>
        <w:tc>
          <w:tcPr>
            <w:tcW w:w="1620" w:type="dxa"/>
            <w:tcBorders>
              <w:top w:val="nil"/>
              <w:left w:val="nil"/>
              <w:bottom w:val="single" w:sz="4" w:space="0" w:color="auto"/>
              <w:right w:val="single" w:sz="4" w:space="0" w:color="auto"/>
            </w:tcBorders>
            <w:shd w:val="clear" w:color="auto" w:fill="auto"/>
            <w:noWrap/>
            <w:vAlign w:val="bottom"/>
            <w:hideMark/>
          </w:tcPr>
          <w:p w14:paraId="41BB090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0.81</w:t>
            </w:r>
          </w:p>
        </w:tc>
        <w:tc>
          <w:tcPr>
            <w:tcW w:w="1530" w:type="dxa"/>
            <w:tcBorders>
              <w:top w:val="nil"/>
              <w:left w:val="nil"/>
              <w:bottom w:val="single" w:sz="4" w:space="0" w:color="auto"/>
              <w:right w:val="single" w:sz="4" w:space="0" w:color="auto"/>
            </w:tcBorders>
            <w:shd w:val="clear" w:color="auto" w:fill="auto"/>
            <w:noWrap/>
            <w:vAlign w:val="bottom"/>
            <w:hideMark/>
          </w:tcPr>
          <w:p w14:paraId="3F55589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2.47</w:t>
            </w:r>
          </w:p>
        </w:tc>
        <w:tc>
          <w:tcPr>
            <w:tcW w:w="1080" w:type="dxa"/>
            <w:tcBorders>
              <w:top w:val="nil"/>
              <w:left w:val="nil"/>
              <w:bottom w:val="single" w:sz="4" w:space="0" w:color="auto"/>
              <w:right w:val="single" w:sz="4" w:space="0" w:color="auto"/>
            </w:tcBorders>
            <w:shd w:val="clear" w:color="auto" w:fill="auto"/>
            <w:noWrap/>
            <w:vAlign w:val="bottom"/>
            <w:hideMark/>
          </w:tcPr>
          <w:p w14:paraId="4835378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0.226345</w:t>
            </w:r>
          </w:p>
        </w:tc>
      </w:tr>
      <w:tr w:rsidR="0067349A" w:rsidRPr="00CE4E1F" w14:paraId="6F0AD4C7"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1B2E004" w14:textId="574BB793"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719F8DB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2.46</w:t>
            </w:r>
          </w:p>
        </w:tc>
        <w:tc>
          <w:tcPr>
            <w:tcW w:w="1620" w:type="dxa"/>
            <w:tcBorders>
              <w:top w:val="nil"/>
              <w:left w:val="nil"/>
              <w:bottom w:val="single" w:sz="4" w:space="0" w:color="auto"/>
              <w:right w:val="single" w:sz="4" w:space="0" w:color="auto"/>
            </w:tcBorders>
            <w:shd w:val="clear" w:color="auto" w:fill="auto"/>
            <w:noWrap/>
            <w:vAlign w:val="bottom"/>
            <w:hideMark/>
          </w:tcPr>
          <w:p w14:paraId="110D9E5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1.36</w:t>
            </w:r>
          </w:p>
        </w:tc>
        <w:tc>
          <w:tcPr>
            <w:tcW w:w="1530" w:type="dxa"/>
            <w:tcBorders>
              <w:top w:val="nil"/>
              <w:left w:val="nil"/>
              <w:bottom w:val="single" w:sz="4" w:space="0" w:color="auto"/>
              <w:right w:val="single" w:sz="4" w:space="0" w:color="auto"/>
            </w:tcBorders>
            <w:shd w:val="clear" w:color="auto" w:fill="auto"/>
            <w:noWrap/>
            <w:vAlign w:val="bottom"/>
            <w:hideMark/>
          </w:tcPr>
          <w:p w14:paraId="52816F2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4.44</w:t>
            </w:r>
          </w:p>
        </w:tc>
        <w:tc>
          <w:tcPr>
            <w:tcW w:w="1080" w:type="dxa"/>
            <w:tcBorders>
              <w:top w:val="nil"/>
              <w:left w:val="nil"/>
              <w:bottom w:val="single" w:sz="4" w:space="0" w:color="auto"/>
              <w:right w:val="single" w:sz="4" w:space="0" w:color="auto"/>
            </w:tcBorders>
            <w:shd w:val="clear" w:color="auto" w:fill="auto"/>
            <w:noWrap/>
            <w:vAlign w:val="bottom"/>
            <w:hideMark/>
          </w:tcPr>
          <w:p w14:paraId="4A92712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0.002912</w:t>
            </w:r>
          </w:p>
        </w:tc>
      </w:tr>
      <w:tr w:rsidR="0067349A" w:rsidRPr="00CE4E1F" w14:paraId="73D4CC7A"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BE5A63A" w14:textId="0ECE5CD8"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2EBEF93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1.48</w:t>
            </w:r>
          </w:p>
        </w:tc>
        <w:tc>
          <w:tcPr>
            <w:tcW w:w="1620" w:type="dxa"/>
            <w:tcBorders>
              <w:top w:val="nil"/>
              <w:left w:val="nil"/>
              <w:bottom w:val="single" w:sz="4" w:space="0" w:color="auto"/>
              <w:right w:val="single" w:sz="4" w:space="0" w:color="auto"/>
            </w:tcBorders>
            <w:shd w:val="clear" w:color="auto" w:fill="auto"/>
            <w:noWrap/>
            <w:vAlign w:val="bottom"/>
            <w:hideMark/>
          </w:tcPr>
          <w:p w14:paraId="6F6C2CC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0.78</w:t>
            </w:r>
          </w:p>
        </w:tc>
        <w:tc>
          <w:tcPr>
            <w:tcW w:w="1530" w:type="dxa"/>
            <w:tcBorders>
              <w:top w:val="nil"/>
              <w:left w:val="nil"/>
              <w:bottom w:val="single" w:sz="4" w:space="0" w:color="auto"/>
              <w:right w:val="single" w:sz="4" w:space="0" w:color="auto"/>
            </w:tcBorders>
            <w:shd w:val="clear" w:color="auto" w:fill="auto"/>
            <w:noWrap/>
            <w:vAlign w:val="bottom"/>
            <w:hideMark/>
          </w:tcPr>
          <w:p w14:paraId="23FF31D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2.81</w:t>
            </w:r>
          </w:p>
        </w:tc>
        <w:tc>
          <w:tcPr>
            <w:tcW w:w="1080" w:type="dxa"/>
            <w:tcBorders>
              <w:top w:val="nil"/>
              <w:left w:val="nil"/>
              <w:bottom w:val="single" w:sz="4" w:space="0" w:color="auto"/>
              <w:right w:val="single" w:sz="4" w:space="0" w:color="auto"/>
            </w:tcBorders>
            <w:shd w:val="clear" w:color="auto" w:fill="auto"/>
            <w:noWrap/>
            <w:vAlign w:val="bottom"/>
            <w:hideMark/>
          </w:tcPr>
          <w:p w14:paraId="1028446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0.231732</w:t>
            </w:r>
          </w:p>
        </w:tc>
      </w:tr>
      <w:tr w:rsidR="0067349A" w:rsidRPr="00CE4E1F" w14:paraId="3D8E7674"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55E6625" w14:textId="1DCC872A"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5837D8F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3.32</w:t>
            </w:r>
          </w:p>
        </w:tc>
        <w:tc>
          <w:tcPr>
            <w:tcW w:w="1620" w:type="dxa"/>
            <w:tcBorders>
              <w:top w:val="nil"/>
              <w:left w:val="nil"/>
              <w:bottom w:val="single" w:sz="4" w:space="0" w:color="auto"/>
              <w:right w:val="single" w:sz="4" w:space="0" w:color="auto"/>
            </w:tcBorders>
            <w:shd w:val="clear" w:color="auto" w:fill="auto"/>
            <w:noWrap/>
            <w:vAlign w:val="bottom"/>
            <w:hideMark/>
          </w:tcPr>
          <w:p w14:paraId="718AA9C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0.77</w:t>
            </w:r>
          </w:p>
        </w:tc>
        <w:tc>
          <w:tcPr>
            <w:tcW w:w="1530" w:type="dxa"/>
            <w:tcBorders>
              <w:top w:val="nil"/>
              <w:left w:val="nil"/>
              <w:bottom w:val="single" w:sz="4" w:space="0" w:color="auto"/>
              <w:right w:val="single" w:sz="4" w:space="0" w:color="auto"/>
            </w:tcBorders>
            <w:shd w:val="clear" w:color="auto" w:fill="auto"/>
            <w:noWrap/>
            <w:vAlign w:val="bottom"/>
            <w:hideMark/>
          </w:tcPr>
          <w:p w14:paraId="6F9F5C4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14.28</w:t>
            </w:r>
          </w:p>
        </w:tc>
        <w:tc>
          <w:tcPr>
            <w:tcW w:w="1080" w:type="dxa"/>
            <w:tcBorders>
              <w:top w:val="nil"/>
              <w:left w:val="nil"/>
              <w:bottom w:val="single" w:sz="4" w:space="0" w:color="auto"/>
              <w:right w:val="single" w:sz="4" w:space="0" w:color="auto"/>
            </w:tcBorders>
            <w:shd w:val="clear" w:color="auto" w:fill="auto"/>
            <w:noWrap/>
            <w:vAlign w:val="bottom"/>
            <w:hideMark/>
          </w:tcPr>
          <w:p w14:paraId="4FA30F4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0.106861</w:t>
            </w:r>
          </w:p>
        </w:tc>
      </w:tr>
      <w:tr w:rsidR="0067349A" w:rsidRPr="00CE4E1F" w14:paraId="29AE8FB6"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01DC588B" w14:textId="4A6A0EAE"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7F0AD6C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5DDF08E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50657A2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600B39A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4EC5A644"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A972E50" w14:textId="61C1FA6E"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 xml:space="preserve">MVR </w:t>
            </w:r>
            <w:r>
              <w:rPr>
                <w:b/>
                <w:bCs/>
                <w:color w:val="000000"/>
                <w:sz w:val="18"/>
                <w:szCs w:val="18"/>
              </w:rPr>
              <w:t xml:space="preserve">model </w:t>
            </w:r>
            <w:r w:rsidRPr="00CE4E1F">
              <w:rPr>
                <w:b/>
                <w:bCs/>
                <w:color w:val="000000"/>
                <w:sz w:val="18"/>
                <w:szCs w:val="18"/>
              </w:rPr>
              <w:t>3, N=452</w:t>
            </w:r>
          </w:p>
        </w:tc>
        <w:tc>
          <w:tcPr>
            <w:tcW w:w="1098" w:type="dxa"/>
            <w:tcBorders>
              <w:top w:val="nil"/>
              <w:left w:val="nil"/>
              <w:bottom w:val="single" w:sz="4" w:space="0" w:color="auto"/>
              <w:right w:val="single" w:sz="4" w:space="0" w:color="auto"/>
            </w:tcBorders>
            <w:shd w:val="clear" w:color="auto" w:fill="auto"/>
            <w:noWrap/>
            <w:vAlign w:val="bottom"/>
            <w:hideMark/>
          </w:tcPr>
          <w:p w14:paraId="3306ABF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220012A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77D9388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635BAB4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6221F836"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3DE7D5E" w14:textId="69B14A44"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7FE7199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1.44</w:t>
            </w:r>
          </w:p>
        </w:tc>
        <w:tc>
          <w:tcPr>
            <w:tcW w:w="1620" w:type="dxa"/>
            <w:tcBorders>
              <w:top w:val="nil"/>
              <w:left w:val="nil"/>
              <w:bottom w:val="single" w:sz="4" w:space="0" w:color="auto"/>
              <w:right w:val="single" w:sz="4" w:space="0" w:color="auto"/>
            </w:tcBorders>
            <w:shd w:val="clear" w:color="auto" w:fill="auto"/>
            <w:noWrap/>
            <w:vAlign w:val="bottom"/>
            <w:hideMark/>
          </w:tcPr>
          <w:p w14:paraId="5FCCC01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1.23</w:t>
            </w:r>
          </w:p>
        </w:tc>
        <w:tc>
          <w:tcPr>
            <w:tcW w:w="1530" w:type="dxa"/>
            <w:tcBorders>
              <w:top w:val="nil"/>
              <w:left w:val="nil"/>
              <w:bottom w:val="single" w:sz="4" w:space="0" w:color="auto"/>
              <w:right w:val="single" w:sz="4" w:space="0" w:color="auto"/>
            </w:tcBorders>
            <w:shd w:val="clear" w:color="auto" w:fill="auto"/>
            <w:noWrap/>
            <w:vAlign w:val="bottom"/>
            <w:hideMark/>
          </w:tcPr>
          <w:p w14:paraId="4CF137B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1.68</w:t>
            </w:r>
          </w:p>
        </w:tc>
        <w:tc>
          <w:tcPr>
            <w:tcW w:w="1080" w:type="dxa"/>
            <w:tcBorders>
              <w:top w:val="nil"/>
              <w:left w:val="nil"/>
              <w:bottom w:val="single" w:sz="4" w:space="0" w:color="auto"/>
              <w:right w:val="single" w:sz="4" w:space="0" w:color="auto"/>
            </w:tcBorders>
            <w:shd w:val="clear" w:color="auto" w:fill="auto"/>
            <w:noWrap/>
            <w:vAlign w:val="bottom"/>
            <w:hideMark/>
          </w:tcPr>
          <w:p w14:paraId="5CF29A9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4.42E-06</w:t>
            </w:r>
          </w:p>
        </w:tc>
      </w:tr>
      <w:tr w:rsidR="0067349A" w:rsidRPr="00CE4E1F" w14:paraId="72CEE53A"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0DABEA6B" w14:textId="5FA338BE"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Integrated </w:t>
            </w:r>
            <w:r>
              <w:rPr>
                <w:color w:val="000000"/>
                <w:sz w:val="18"/>
                <w:szCs w:val="18"/>
              </w:rPr>
              <w:t>grade</w:t>
            </w:r>
            <w:r>
              <w:rPr>
                <w:color w:val="000000"/>
                <w:sz w:val="18"/>
                <w:szCs w:val="18"/>
              </w:rPr>
              <w:fldChar w:fldCharType="begin" w:fldLock="1"/>
            </w:r>
            <w:r w:rsidR="000F4EF5">
              <w:rPr>
                <w:color w:val="000000"/>
                <w:sz w:val="18"/>
                <w:szCs w:val="18"/>
              </w:rPr>
              <w:instrText>ADDIN CSL_CITATION {"citationItems":[{"id":"ITEM-1","itemData":{"DOI":"10.1093/neuonc/noab213","ISSN":"15235866","PMID":"34508644","abstract":"Background: Meningiomas are the most common primary intracranial tumor in adults. Clinical care is currently guided by the World Health Organization (WHO) grade assigned to meningiomas, a 3-tiered grading system based on histopathology features, as well as extent of surgical resection. Clinical behavior, however, often fails to conform to the WHO grade. Additional prognostic information is needed to optimize patient management. Methods: We evaluated whether chromosomal copy-number data improved prediction of time-to-recurrence for patients with meningioma who were treated with surgery, relative to the WHO schema. The models were developed using Cox proportional hazards, random survival forest, and gradient boosting in a discovery cohort of 527 meningioma patients and validated in 2 independent cohorts of 172 meningioma patients characterized by orthogonal genomic platforms. Results: We developed a 3-tiered grading scheme (Integrated Grades 1-3), which incorporated mitotic count and loss of chromosome 1p, 3p, 4, 6, 10, 14q, 18, 19, or CDKN2A. 32% of meningiomas reclassified to either a lower-risk or higher-risk Integrated Grade compared to their assigned WHO grade. The Integrated Grade more accurately identified meningioma patients at risk for recurrence, relative to the WHO grade, as determined by time-dependent area under the curve, average precision, and the Brier score. Conclusion: We propose a molecularly integrated grading scheme for meningiomas that significantly improves upon the current WHO grading system in prediction of progression-free survival. This framework can be broadly adopted by clinicians with relative ease using widely available genomic technologies and presents an advance in the care of meningioma patients.","author":[{"dropping-particle":"","family":"Driver","given":"Joseph","non-dropping-particle":"","parse-names":false,"suffix":""},{"dropping-particle":"","family":"Hoffman","given":"Samantha E.","non-dropping-particle":"","parse-names":false,"suffix":""},{"dropping-particle":"","family":"Tavakol","given":"Sherwin","non-dropping-particle":"","parse-names":false,"suffix":""},{"dropping-particle":"","family":"Woodward","given":"Eleanor","non-dropping-particle":"","parse-names":false,"suffix":""},{"dropping-particle":"","family":"Maury","given":"Eduardo A.","non-dropping-particle":"","parse-names":false,"suffix":""},{"dropping-particle":"","family":"Bhave","given":"Varun","non-dropping-particle":"","parse-names":false,"suffix":""},{"dropping-particle":"","family":"Greenwald","given":"Noah F.","non-dropping-particle":"","parse-names":false,"suffix":""},{"dropping-particle":"","family":"Nassiri","given":"Farshad","non-dropping-particle":"","parse-names":false,"suffix":""},{"dropping-particle":"","family":"Aldape","given":"Kenneth","non-dropping-particle":"","parse-names":false,"suffix":""},{"dropping-particle":"","family":"Zadeh","given":"Gelareh","non-dropping-particle":"","parse-names":false,"suffix":""},{"dropping-particle":"","family":"Choudhury","given":"Abrar","non-dropping-particle":"","parse-names":false,"suffix":""},{"dropping-particle":"","family":"Vasudevan","given":"Harish N.","non-dropping-particle":"","parse-names":false,"suffix":""},{"dropping-particle":"","family":"Magill","given":"Stephen T.","non-dropping-particle":"","parse-names":false,"suffix":""},{"dropping-particle":"","family":"Raleigh","given":"David R.","non-dropping-particle":"","parse-names":false,"suffix":""},{"dropping-particle":"","family":"Abedalthagafi","given":"Malak","non-dropping-particle":"","parse-names":false,"suffix":""},{"dropping-particle":"","family":"Aizer","given":"Ayal A.","non-dropping-particle":"","parse-names":false,"suffix":""},{"dropping-particle":"","family":"Alexander","given":"Brian M.","non-dropping-particle":"","parse-names":false,"suffix":""},{"dropping-particle":"","family":"Ligon","given":"Keith L.","non-dropping-particle":"","parse-names":false,"suffix":""},{"dropping-particle":"","family":"Reardon","given":"David A.","non-dropping-particle":"","parse-names":false,"suffix":""},{"dropping-particle":"","family":"Wen","given":"Patrick Y.","non-dropping-particle":"","parse-names":false,"suffix":""},{"dropping-particle":"","family":"Al-Mefty","given":"Ossama","non-dropping-particle":"","parse-names":false,"suffix":""},{"dropping-particle":"","family":"Ligon","given":"Azra H.","non-dropping-particle":"","parse-names":false,"suffix":""},{"dropping-particle":"","family":"Dubuc","given":"Adrian M.","non-dropping-particle":"","parse-names":false,"suffix":""},{"dropping-particle":"","family":"Beroukhim","given":"Rameen","non-dropping-particle":"","parse-names":false,"suffix":""},{"dropping-particle":"","family":"Claus","given":"Elizabeth B.","non-dropping-particle":"","parse-names":false,"suffix":""},{"dropping-particle":"","family":"Dunn","given":"Ian F.","non-dropping-particle":"","parse-names":false,"suffix":""},{"dropping-particle":"","family":"Santagata","given":"Sandro","non-dropping-particle":"","parse-names":false,"suffix":""},{"dropping-particle":"","family":"Linda Bi","given":"Wenya","non-dropping-particle":"","parse-names":false,"suffix":""}],"container-title":"Neuro-Oncology","id":"ITEM-1","issue":"5","issued":{"date-parts":[["2022"]]},"page":"796-808","title":"A molecularly integrated grade for meningioma","type":"article-journal","volume":"24"},"uris":["http://www.mendeley.com/documents/?uuid=f72755aa-a178-497c-a922-146804374b2e"]}],"mendeley":{"formattedCitation":"&lt;sup&gt;18&lt;/sup&gt;","plainTextFormattedCitation":"18","previouslyFormattedCitation":"&lt;sup&gt;18&lt;/sup&gt;"},"properties":{"noteIndex":0},"schema":"https://github.com/citation-style-language/schema/raw/master/csl-citation.json"}</w:instrText>
            </w:r>
            <w:r>
              <w:rPr>
                <w:color w:val="000000"/>
                <w:sz w:val="18"/>
                <w:szCs w:val="18"/>
              </w:rPr>
              <w:fldChar w:fldCharType="separate"/>
            </w:r>
            <w:r w:rsidR="000F4EF5" w:rsidRPr="000F4EF5">
              <w:rPr>
                <w:noProof/>
                <w:color w:val="000000"/>
                <w:sz w:val="18"/>
                <w:szCs w:val="18"/>
                <w:vertAlign w:val="superscript"/>
              </w:rPr>
              <w:t>18</w:t>
            </w:r>
            <w:r>
              <w:rPr>
                <w:color w:val="000000"/>
                <w:sz w:val="18"/>
                <w:szCs w:val="18"/>
              </w:rPr>
              <w:fldChar w:fldCharType="end"/>
            </w:r>
          </w:p>
        </w:tc>
        <w:tc>
          <w:tcPr>
            <w:tcW w:w="1098" w:type="dxa"/>
            <w:tcBorders>
              <w:top w:val="nil"/>
              <w:left w:val="nil"/>
              <w:bottom w:val="single" w:sz="4" w:space="0" w:color="auto"/>
              <w:right w:val="single" w:sz="4" w:space="0" w:color="auto"/>
            </w:tcBorders>
            <w:shd w:val="clear" w:color="auto" w:fill="auto"/>
            <w:noWrap/>
            <w:vAlign w:val="bottom"/>
            <w:hideMark/>
          </w:tcPr>
          <w:p w14:paraId="36467F0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1.12</w:t>
            </w:r>
          </w:p>
        </w:tc>
        <w:tc>
          <w:tcPr>
            <w:tcW w:w="1620" w:type="dxa"/>
            <w:tcBorders>
              <w:top w:val="nil"/>
              <w:left w:val="nil"/>
              <w:bottom w:val="single" w:sz="4" w:space="0" w:color="auto"/>
              <w:right w:val="single" w:sz="4" w:space="0" w:color="auto"/>
            </w:tcBorders>
            <w:shd w:val="clear" w:color="auto" w:fill="auto"/>
            <w:noWrap/>
            <w:vAlign w:val="bottom"/>
            <w:hideMark/>
          </w:tcPr>
          <w:p w14:paraId="4984C4A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1.03</w:t>
            </w:r>
          </w:p>
        </w:tc>
        <w:tc>
          <w:tcPr>
            <w:tcW w:w="1530" w:type="dxa"/>
            <w:tcBorders>
              <w:top w:val="nil"/>
              <w:left w:val="nil"/>
              <w:bottom w:val="single" w:sz="4" w:space="0" w:color="auto"/>
              <w:right w:val="single" w:sz="4" w:space="0" w:color="auto"/>
            </w:tcBorders>
            <w:shd w:val="clear" w:color="auto" w:fill="auto"/>
            <w:noWrap/>
            <w:vAlign w:val="bottom"/>
            <w:hideMark/>
          </w:tcPr>
          <w:p w14:paraId="0578231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1.21</w:t>
            </w:r>
          </w:p>
        </w:tc>
        <w:tc>
          <w:tcPr>
            <w:tcW w:w="1080" w:type="dxa"/>
            <w:tcBorders>
              <w:top w:val="nil"/>
              <w:left w:val="nil"/>
              <w:bottom w:val="single" w:sz="4" w:space="0" w:color="auto"/>
              <w:right w:val="single" w:sz="4" w:space="0" w:color="auto"/>
            </w:tcBorders>
            <w:shd w:val="clear" w:color="auto" w:fill="auto"/>
            <w:noWrap/>
            <w:vAlign w:val="bottom"/>
            <w:hideMark/>
          </w:tcPr>
          <w:p w14:paraId="6CE6F19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0.00916</w:t>
            </w:r>
          </w:p>
        </w:tc>
      </w:tr>
      <w:tr w:rsidR="0067349A" w:rsidRPr="00CE4E1F" w14:paraId="158352DC"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942CA91" w14:textId="75C86B88"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645A9BD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1.40</w:t>
            </w:r>
          </w:p>
        </w:tc>
        <w:tc>
          <w:tcPr>
            <w:tcW w:w="1620" w:type="dxa"/>
            <w:tcBorders>
              <w:top w:val="nil"/>
              <w:left w:val="nil"/>
              <w:bottom w:val="single" w:sz="4" w:space="0" w:color="auto"/>
              <w:right w:val="single" w:sz="4" w:space="0" w:color="auto"/>
            </w:tcBorders>
            <w:shd w:val="clear" w:color="auto" w:fill="auto"/>
            <w:noWrap/>
            <w:vAlign w:val="bottom"/>
            <w:hideMark/>
          </w:tcPr>
          <w:p w14:paraId="031A9E9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0.96</w:t>
            </w:r>
          </w:p>
        </w:tc>
        <w:tc>
          <w:tcPr>
            <w:tcW w:w="1530" w:type="dxa"/>
            <w:tcBorders>
              <w:top w:val="nil"/>
              <w:left w:val="nil"/>
              <w:bottom w:val="single" w:sz="4" w:space="0" w:color="auto"/>
              <w:right w:val="single" w:sz="4" w:space="0" w:color="auto"/>
            </w:tcBorders>
            <w:shd w:val="clear" w:color="auto" w:fill="auto"/>
            <w:noWrap/>
            <w:vAlign w:val="bottom"/>
            <w:hideMark/>
          </w:tcPr>
          <w:p w14:paraId="2F41F16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2.04</w:t>
            </w:r>
          </w:p>
        </w:tc>
        <w:tc>
          <w:tcPr>
            <w:tcW w:w="1080" w:type="dxa"/>
            <w:tcBorders>
              <w:top w:val="nil"/>
              <w:left w:val="nil"/>
              <w:bottom w:val="single" w:sz="4" w:space="0" w:color="auto"/>
              <w:right w:val="single" w:sz="4" w:space="0" w:color="auto"/>
            </w:tcBorders>
            <w:shd w:val="clear" w:color="auto" w:fill="auto"/>
            <w:noWrap/>
            <w:vAlign w:val="bottom"/>
            <w:hideMark/>
          </w:tcPr>
          <w:p w14:paraId="0FD5BB6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0.07789</w:t>
            </w:r>
          </w:p>
        </w:tc>
      </w:tr>
      <w:tr w:rsidR="0067349A" w:rsidRPr="00CE4E1F" w14:paraId="63699D85"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66B52F8" w14:textId="24D247E1"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494749E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2.81</w:t>
            </w:r>
          </w:p>
        </w:tc>
        <w:tc>
          <w:tcPr>
            <w:tcW w:w="1620" w:type="dxa"/>
            <w:tcBorders>
              <w:top w:val="nil"/>
              <w:left w:val="nil"/>
              <w:bottom w:val="single" w:sz="4" w:space="0" w:color="auto"/>
              <w:right w:val="single" w:sz="4" w:space="0" w:color="auto"/>
            </w:tcBorders>
            <w:shd w:val="clear" w:color="auto" w:fill="auto"/>
            <w:noWrap/>
            <w:vAlign w:val="bottom"/>
            <w:hideMark/>
          </w:tcPr>
          <w:p w14:paraId="4EEA1CD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1.80</w:t>
            </w:r>
          </w:p>
        </w:tc>
        <w:tc>
          <w:tcPr>
            <w:tcW w:w="1530" w:type="dxa"/>
            <w:tcBorders>
              <w:top w:val="nil"/>
              <w:left w:val="nil"/>
              <w:bottom w:val="single" w:sz="4" w:space="0" w:color="auto"/>
              <w:right w:val="single" w:sz="4" w:space="0" w:color="auto"/>
            </w:tcBorders>
            <w:shd w:val="clear" w:color="auto" w:fill="auto"/>
            <w:noWrap/>
            <w:vAlign w:val="bottom"/>
            <w:hideMark/>
          </w:tcPr>
          <w:p w14:paraId="0662729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4.38</w:t>
            </w:r>
          </w:p>
        </w:tc>
        <w:tc>
          <w:tcPr>
            <w:tcW w:w="1080" w:type="dxa"/>
            <w:tcBorders>
              <w:top w:val="nil"/>
              <w:left w:val="nil"/>
              <w:bottom w:val="single" w:sz="4" w:space="0" w:color="auto"/>
              <w:right w:val="single" w:sz="4" w:space="0" w:color="auto"/>
            </w:tcBorders>
            <w:shd w:val="clear" w:color="auto" w:fill="auto"/>
            <w:noWrap/>
            <w:vAlign w:val="bottom"/>
            <w:hideMark/>
          </w:tcPr>
          <w:p w14:paraId="09D249E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4.93E-06</w:t>
            </w:r>
          </w:p>
        </w:tc>
      </w:tr>
      <w:tr w:rsidR="0067349A" w:rsidRPr="00CE4E1F" w14:paraId="56C0CB2C"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0698FA8" w14:textId="321C45CD"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02CD802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1.02</w:t>
            </w:r>
          </w:p>
        </w:tc>
        <w:tc>
          <w:tcPr>
            <w:tcW w:w="1620" w:type="dxa"/>
            <w:tcBorders>
              <w:top w:val="nil"/>
              <w:left w:val="nil"/>
              <w:bottom w:val="single" w:sz="4" w:space="0" w:color="auto"/>
              <w:right w:val="single" w:sz="4" w:space="0" w:color="auto"/>
            </w:tcBorders>
            <w:shd w:val="clear" w:color="auto" w:fill="auto"/>
            <w:noWrap/>
            <w:vAlign w:val="bottom"/>
            <w:hideMark/>
          </w:tcPr>
          <w:p w14:paraId="20BA89A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0.64</w:t>
            </w:r>
          </w:p>
        </w:tc>
        <w:tc>
          <w:tcPr>
            <w:tcW w:w="1530" w:type="dxa"/>
            <w:tcBorders>
              <w:top w:val="nil"/>
              <w:left w:val="nil"/>
              <w:bottom w:val="single" w:sz="4" w:space="0" w:color="auto"/>
              <w:right w:val="single" w:sz="4" w:space="0" w:color="auto"/>
            </w:tcBorders>
            <w:shd w:val="clear" w:color="auto" w:fill="auto"/>
            <w:noWrap/>
            <w:vAlign w:val="bottom"/>
            <w:hideMark/>
          </w:tcPr>
          <w:p w14:paraId="2F40711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1.62</w:t>
            </w:r>
          </w:p>
        </w:tc>
        <w:tc>
          <w:tcPr>
            <w:tcW w:w="1080" w:type="dxa"/>
            <w:tcBorders>
              <w:top w:val="nil"/>
              <w:left w:val="nil"/>
              <w:bottom w:val="single" w:sz="4" w:space="0" w:color="auto"/>
              <w:right w:val="single" w:sz="4" w:space="0" w:color="auto"/>
            </w:tcBorders>
            <w:shd w:val="clear" w:color="auto" w:fill="auto"/>
            <w:noWrap/>
            <w:vAlign w:val="bottom"/>
            <w:hideMark/>
          </w:tcPr>
          <w:p w14:paraId="563F558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0.93776</w:t>
            </w:r>
          </w:p>
        </w:tc>
      </w:tr>
      <w:tr w:rsidR="0067349A" w:rsidRPr="00CE4E1F" w14:paraId="36A8D347"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CE40DE1" w14:textId="01AE92C2"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3DB3AFA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1.93</w:t>
            </w:r>
          </w:p>
        </w:tc>
        <w:tc>
          <w:tcPr>
            <w:tcW w:w="1620" w:type="dxa"/>
            <w:tcBorders>
              <w:top w:val="nil"/>
              <w:left w:val="nil"/>
              <w:bottom w:val="single" w:sz="4" w:space="0" w:color="auto"/>
              <w:right w:val="single" w:sz="4" w:space="0" w:color="auto"/>
            </w:tcBorders>
            <w:shd w:val="clear" w:color="auto" w:fill="auto"/>
            <w:noWrap/>
            <w:vAlign w:val="bottom"/>
            <w:hideMark/>
          </w:tcPr>
          <w:p w14:paraId="3166057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1.18</w:t>
            </w:r>
          </w:p>
        </w:tc>
        <w:tc>
          <w:tcPr>
            <w:tcW w:w="1530" w:type="dxa"/>
            <w:tcBorders>
              <w:top w:val="nil"/>
              <w:left w:val="nil"/>
              <w:bottom w:val="single" w:sz="4" w:space="0" w:color="auto"/>
              <w:right w:val="single" w:sz="4" w:space="0" w:color="auto"/>
            </w:tcBorders>
            <w:shd w:val="clear" w:color="auto" w:fill="auto"/>
            <w:noWrap/>
            <w:vAlign w:val="bottom"/>
            <w:hideMark/>
          </w:tcPr>
          <w:p w14:paraId="31EB71E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3.15</w:t>
            </w:r>
          </w:p>
        </w:tc>
        <w:tc>
          <w:tcPr>
            <w:tcW w:w="1080" w:type="dxa"/>
            <w:tcBorders>
              <w:top w:val="nil"/>
              <w:left w:val="nil"/>
              <w:bottom w:val="single" w:sz="4" w:space="0" w:color="auto"/>
              <w:right w:val="single" w:sz="4" w:space="0" w:color="auto"/>
            </w:tcBorders>
            <w:shd w:val="clear" w:color="auto" w:fill="auto"/>
            <w:noWrap/>
            <w:vAlign w:val="bottom"/>
            <w:hideMark/>
          </w:tcPr>
          <w:p w14:paraId="307C969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0.00906</w:t>
            </w:r>
          </w:p>
        </w:tc>
      </w:tr>
      <w:tr w:rsidR="0067349A" w:rsidRPr="00CE4E1F" w14:paraId="678B94C6"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0D108C1" w14:textId="2140C251"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67966EC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11254D0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5F097D0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0A0E742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74F8E7E3"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99812D9" w14:textId="4C6B6CDA"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4, N=324</w:t>
            </w:r>
          </w:p>
        </w:tc>
        <w:tc>
          <w:tcPr>
            <w:tcW w:w="1098" w:type="dxa"/>
            <w:tcBorders>
              <w:top w:val="nil"/>
              <w:left w:val="nil"/>
              <w:bottom w:val="single" w:sz="4" w:space="0" w:color="auto"/>
              <w:right w:val="single" w:sz="4" w:space="0" w:color="auto"/>
            </w:tcBorders>
            <w:shd w:val="clear" w:color="auto" w:fill="auto"/>
            <w:noWrap/>
            <w:vAlign w:val="bottom"/>
            <w:hideMark/>
          </w:tcPr>
          <w:p w14:paraId="0F9D2C1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1BB09DF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61A89DA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1CB55E8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201F4433"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55F3C76" w14:textId="503BC65B"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69EAB7E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1.39</w:t>
            </w:r>
          </w:p>
        </w:tc>
        <w:tc>
          <w:tcPr>
            <w:tcW w:w="1620" w:type="dxa"/>
            <w:tcBorders>
              <w:top w:val="nil"/>
              <w:left w:val="nil"/>
              <w:bottom w:val="single" w:sz="4" w:space="0" w:color="auto"/>
              <w:right w:val="single" w:sz="4" w:space="0" w:color="auto"/>
            </w:tcBorders>
            <w:shd w:val="clear" w:color="auto" w:fill="auto"/>
            <w:noWrap/>
            <w:vAlign w:val="bottom"/>
            <w:hideMark/>
          </w:tcPr>
          <w:p w14:paraId="6C9F361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1.10</w:t>
            </w:r>
          </w:p>
        </w:tc>
        <w:tc>
          <w:tcPr>
            <w:tcW w:w="1530" w:type="dxa"/>
            <w:tcBorders>
              <w:top w:val="nil"/>
              <w:left w:val="nil"/>
              <w:bottom w:val="single" w:sz="4" w:space="0" w:color="auto"/>
              <w:right w:val="single" w:sz="4" w:space="0" w:color="auto"/>
            </w:tcBorders>
            <w:shd w:val="clear" w:color="auto" w:fill="auto"/>
            <w:noWrap/>
            <w:vAlign w:val="bottom"/>
            <w:hideMark/>
          </w:tcPr>
          <w:p w14:paraId="32EA401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1.75</w:t>
            </w:r>
          </w:p>
        </w:tc>
        <w:tc>
          <w:tcPr>
            <w:tcW w:w="1080" w:type="dxa"/>
            <w:tcBorders>
              <w:top w:val="nil"/>
              <w:left w:val="nil"/>
              <w:bottom w:val="single" w:sz="4" w:space="0" w:color="auto"/>
              <w:right w:val="single" w:sz="4" w:space="0" w:color="auto"/>
            </w:tcBorders>
            <w:shd w:val="clear" w:color="auto" w:fill="auto"/>
            <w:noWrap/>
            <w:vAlign w:val="bottom"/>
            <w:hideMark/>
          </w:tcPr>
          <w:p w14:paraId="5FAA377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0.00652</w:t>
            </w:r>
          </w:p>
        </w:tc>
      </w:tr>
      <w:tr w:rsidR="0067349A" w:rsidRPr="00CE4E1F" w14:paraId="698B99F6"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0A759EED" w14:textId="1C7FDB97" w:rsidR="0067349A" w:rsidRDefault="0067349A" w:rsidP="00742F09">
            <w:pPr>
              <w:spacing w:line="360" w:lineRule="auto"/>
              <w:contextualSpacing/>
              <w:jc w:val="both"/>
              <w:rPr>
                <w:color w:val="000000"/>
                <w:sz w:val="18"/>
                <w:szCs w:val="18"/>
              </w:rPr>
            </w:pPr>
            <w:r>
              <w:rPr>
                <w:color w:val="000000"/>
                <w:sz w:val="18"/>
                <w:szCs w:val="18"/>
              </w:rPr>
              <w:t>DNA methylation families</w:t>
            </w:r>
            <w:r>
              <w:rPr>
                <w:color w:val="000000"/>
                <w:sz w:val="18"/>
                <w:szCs w:val="18"/>
              </w:rPr>
              <w:fldChar w:fldCharType="begin" w:fldLock="1"/>
            </w:r>
            <w:r w:rsidR="000F4EF5">
              <w:rPr>
                <w:color w:val="000000"/>
                <w:sz w:val="18"/>
                <w:szCs w:val="18"/>
              </w:rPr>
              <w:instrText>ADDIN CSL_CITATION {"citationItems":[{"id":"ITEM-1","itemData":{"DOI":"10.1016/S1470-2045(17)30155-9","ISBN":"1470-2045","ISSN":"14745488","PMID":"28314689","abstract":"Background The WHO classification of brain tumours describes 15 subtypes of meningioma. Nine of these subtypes are allotted to WHO grade I, and three each to grade II and grade III. Grading is based solely on histology, with an absence of molecular markers. Although the existing classification and grading approach is of prognostic value, it harbours shortcomings such as ill-defined parameters for subtypes and grading criteria prone to arbitrary judgment. In this study, we aimed for a comprehensive characterisation of the entire molecular genetic landscape of meningioma to identify biologically and clinically relevant subgroups. Methods In this multicentre, retrospective analysis, we investigated genome-wide DNA methylation patterns of meningiomas from ten European academic neuro-oncology centres to identify distinct methylation classes of meningiomas. The methylation classes were further characterised by DNA copy number analysis, mutational profiling, and RNA sequencing. Methylation classes were analysed for progression-free survival outcomes by the Kaplan-Meier method. The DNA methylation-based and WHO classification schema were compared using the Brier prediction score, analysed in an independent cohort with WHO grading, progression-free survival, and disease-specific survival data available, collected at the Medical University Vienna (Vienna, Austria), assessing methylation patterns with an alternative methylation chip. Findings We retrospectively collected 497 meningiomas along with 309 samples of other extra-axial skull tumours that might histologically mimic meningioma variants. Unsupervised clustering of DNA methylation data clearly segregated all meningiomas from other skull tumours. We generated genome-wide DNA methylation profiles from all 497 meningioma samples. DNA methylation profiling distinguished six distinct clinically relevant methylation classes associated with typical mutational, cytogenetic, and gene expression patterns. Compared with WHO grading, classification by individual and combined methylation classes more accurately identifies patients at high risk of disease progression in tumours with WHO grade I histology, and patients at lower risk of recurrence among WHO grade II tumours (p=0·0096) from the Brier prediction test). We validated this finding in our independent cohort of 140 patients with meningioma. Interpretation DNA methylation-based meningioma classification captures clinically more homogenous groups and has a higher p…","author":[{"dropping-particle":"","family":"Sahm","given":"Felix","non-dropping-particle":"","parse-names":false,"suffix":""},{"dropping-particle":"","family":"Schrimpf","given":"Daniel","non-dropping-particle":"","parse-names":false,"suffix":""},{"dropping-particle":"","family":"Stichel","given":"Damian","non-dropping-particle":"","parse-names":false,"suffix":""},{"dropping-particle":"","family":"Jones","given":"David T.W.","non-dropping-particle":"","parse-names":false,"suffix":""},{"dropping-particle":"","family":"Hielscher","given":"Thomas","non-dropping-particle":"","parse-names":false,"suffix":""},{"dropping-particle":"","family":"Schefzyk","given":"Sebastian","non-dropping-particle":"","parse-names":false,"suffix":""},{"dropping-particle":"","family":"Okonechnikov","given":"Konstantin","non-dropping-particle":"","parse-names":false,"suffix":""},{"dropping-particle":"","family":"Koelsche","given":"Christian","non-dropping-particle":"","parse-names":false,"suffix":""},{"dropping-particle":"","family":"Reuss","given":"David E.","non-dropping-particle":"","parse-names":false,"suffix":""},{"dropping-particle":"","family":"Capper","given":"David","non-dropping-particle":"","parse-names":false,"suffix":""},{"dropping-particle":"","family":"Sturm","given":"Dominik","non-dropping-particle":"","parse-names":false,"suffix":""},{"dropping-particle":"","family":"Wirsching","given":"Hans Georg","non-dropping-particle":"","parse-names":false,"suffix":""},{"dropping-particle":"","family":"Berghoff","given":"Anna Sophie","non-dropping-particle":"","parse-names":false,"suffix":""},{"dropping-particle":"","family":"Baumgarten","given":"Peter","non-dropping-particle":"","parse-names":false,"suffix":""},{"dropping-particle":"","family":"Kratz","given":"Annekathrin","non-dropping-particle":"","parse-names":false,"suffix":""},{"dropping-particle":"","family":"Huang","given":"Kristin","non-dropping-particle":"","parse-names":false,"suffix":""},{"dropping-particle":"","family":"Wefers","given":"Annika K.","non-dropping-particle":"","parse-names":false,"suffix":""},{"dropping-particle":"","family":"Hovestadt","given":"Volker","non-dropping-particle":"","parse-names":false,"suffix":""},{"dropping-particle":"","family":"Sill","given":"Martin","non-dropping-particle":"","parse-names":false,"suffix":""},{"dropping-particle":"","family":"Ellis","given":"Hayley P.","non-dropping-particle":"","parse-names":false,"suffix":""},{"dropping-particle":"","family":"Kurian","given":"Kathreena M.","non-dropping-particle":"","parse-names":false,"suffix":""},{"dropping-particle":"","family":"Okuducu","given":"Ali Fuat","non-dropping-particle":"","parse-names":false,"suffix":""},{"dropping-particle":"","family":"Jungk","given":"Christine","non-dropping-particle":"","parse-names":false,"suffix":""},{"dropping-particle":"","family":"Drueschler","given":"Katharina","non-dropping-particle":"","parse-names":false,"suffix":""},{"dropping-particle":"","family":"Schick","given":"Matthias","non-dropping-particle":"","parse-names":false,"suffix":""},{"dropping-particle":"","family":"Bewerunge-Hudler","given":"Melanie","non-dropping-particle":"","parse-names":false,"suffix":""},{"dropping-particle":"","family":"Mawrin","given":"Christian","non-dropping-particle":"","parse-names":false,"suffix":""},{"dropping-particle":"","family":"Seiz-Rosenhagen","given":"Marcel","non-dropping-particle":"","parse-names":false,"suffix":""},{"dropping-particle":"","family":"Ketter","given":"Ralf","non-dropping-particle":"","parse-names":false,"suffix":""},{"dropping-particle":"","family":"Simon","given":"Matthias","non-dropping-particle":"","parse-names":false,"suffix":""},{"dropping-particle":"","family":"Westphal","given":"Manfred","non-dropping-particle":"","parse-names":false,"suffix":""},{"dropping-particle":"","family":"Lamszus","given":"Katrin","non-dropping-particle":"","parse-names":false,"suffix":""},{"dropping-particle":"","family":"Becker","given":"Albert","non-dropping-particle":"","parse-names":false,"suffix":""},{"dropping-particle":"","family":"Koch","given":"Arend","non-dropping-particle":"","parse-names":false,"suffix":""},{"dropping-particle":"","family":"Schittenhelm","given":"Jens","non-dropping-particle":"","parse-names":false,"suffix":""},{"dropping-particle":"","family":"Rushing","given":"Elisabeth J.","non-dropping-particle":"","parse-names":false,"suffix":""},{"dropping-particle":"","family":"Collins","given":"V. Peter","non-dropping-particle":"","parse-names":false,"suffix":""},{"dropping-particle":"","family":"Brehmer","given":"Stefanie","non-dropping-particle":"","parse-names":false,"suffix":""},{"dropping-particle":"","family":"Chavez","given":"Lukas","non-dropping-particle":"","parse-names":false,"suffix":""},{"dropping-particle":"","family":"Platten","given":"Michael","non-dropping-particle":"","parse-names":false,"suffix":""},{"dropping-particle":"","family":"Hänggi","given":"Daniel","non-dropping-particle":"","parse-names":false,"suffix":""},{"dropping-particle":"","family":"Unterberg","given":"Andreas","non-dropping-particle":"","parse-names":false,"suffix":""},{"dropping-particle":"","family":"Paulus","given":"Werner","non-dropping-particle":"","parse-names":false,"suffix":""},{"dropping-particle":"","family":"Wick","given":"Wolfgang","non-dropping-particle":"","parse-names":false,"suffix":""},{"dropping-particle":"","family":"Pfister","given":"Stefan M.","non-dropping-particle":"","parse-names":false,"suffix":""},{"dropping-particle":"","family":"Mittelbronn","given":"Michel","non-dropping-particle":"","parse-names":false,"suffix":""},{"dropping-particle":"","family":"Preusser","given":"Matthias","non-dropping-particle":"","parse-names":false,"suffix":""},{"dropping-particle":"","family":"Herold-Mende","given":"Christel","non-dropping-particle":"","parse-names":false,"suffix":""},{"dropping-particle":"","family":"Weller","given":"Michael","non-dropping-particle":"","parse-names":false,"suffix":""},{"dropping-particle":"","family":"Deimling","given":"Andreas","non-dropping-particle":"von","parse-names":false,"suffix":""}],"container-title":"The Lancet Oncology","id":"ITEM-1","issue":"5","issued":{"date-parts":[["2017"]]},"page":"682-694","title":"DNA methylation-based classification and grading system for meningioma: a multicentre, retrospective analysis","type":"article-journal","volume":"18"},"uris":["http://www.mendeley.com/documents/?uuid=b1eebdea-c9de-4a56-96fb-5329a3405c3d"]}],"mendeley":{"formattedCitation":"&lt;sup&gt;16&lt;/sup&gt;","plainTextFormattedCitation":"16","previouslyFormattedCitation":"&lt;sup&gt;16&lt;/sup&gt;"},"properties":{"noteIndex":0},"schema":"https://github.com/citation-style-language/schema/raw/master/csl-citation.json"}</w:instrText>
            </w:r>
            <w:r>
              <w:rPr>
                <w:color w:val="000000"/>
                <w:sz w:val="18"/>
                <w:szCs w:val="18"/>
              </w:rPr>
              <w:fldChar w:fldCharType="separate"/>
            </w:r>
            <w:r w:rsidR="000F4EF5" w:rsidRPr="000F4EF5">
              <w:rPr>
                <w:noProof/>
                <w:color w:val="000000"/>
                <w:sz w:val="18"/>
                <w:szCs w:val="18"/>
                <w:vertAlign w:val="superscript"/>
              </w:rPr>
              <w:t>16</w:t>
            </w:r>
            <w:r>
              <w:rPr>
                <w:color w:val="000000"/>
                <w:sz w:val="18"/>
                <w:szCs w:val="18"/>
              </w:rPr>
              <w:fldChar w:fldCharType="end"/>
            </w:r>
            <w:r w:rsidRPr="00CE4E1F">
              <w:rPr>
                <w:color w:val="000000"/>
                <w:sz w:val="18"/>
                <w:szCs w:val="18"/>
              </w:rPr>
              <w:t xml:space="preserve"> </w:t>
            </w:r>
            <w:r>
              <w:rPr>
                <w:color w:val="000000"/>
                <w:sz w:val="18"/>
                <w:szCs w:val="18"/>
              </w:rPr>
              <w:t>(i</w:t>
            </w:r>
            <w:r w:rsidRPr="00CE4E1F">
              <w:rPr>
                <w:color w:val="000000"/>
                <w:sz w:val="18"/>
                <w:szCs w:val="18"/>
              </w:rPr>
              <w:t xml:space="preserve">ntermediate vs </w:t>
            </w:r>
            <w:r>
              <w:rPr>
                <w:color w:val="000000"/>
                <w:sz w:val="18"/>
                <w:szCs w:val="18"/>
              </w:rPr>
              <w:t>b</w:t>
            </w:r>
            <w:r w:rsidRPr="00CE4E1F">
              <w:rPr>
                <w:color w:val="000000"/>
                <w:sz w:val="18"/>
                <w:szCs w:val="18"/>
              </w:rPr>
              <w:t>enign</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02AE381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2.00</w:t>
            </w:r>
          </w:p>
        </w:tc>
        <w:tc>
          <w:tcPr>
            <w:tcW w:w="1620" w:type="dxa"/>
            <w:tcBorders>
              <w:top w:val="nil"/>
              <w:left w:val="nil"/>
              <w:bottom w:val="single" w:sz="4" w:space="0" w:color="auto"/>
              <w:right w:val="single" w:sz="4" w:space="0" w:color="auto"/>
            </w:tcBorders>
            <w:shd w:val="clear" w:color="auto" w:fill="auto"/>
            <w:noWrap/>
            <w:vAlign w:val="bottom"/>
            <w:hideMark/>
          </w:tcPr>
          <w:p w14:paraId="70AB0F0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1.05</w:t>
            </w:r>
          </w:p>
        </w:tc>
        <w:tc>
          <w:tcPr>
            <w:tcW w:w="1530" w:type="dxa"/>
            <w:tcBorders>
              <w:top w:val="nil"/>
              <w:left w:val="nil"/>
              <w:bottom w:val="single" w:sz="4" w:space="0" w:color="auto"/>
              <w:right w:val="single" w:sz="4" w:space="0" w:color="auto"/>
            </w:tcBorders>
            <w:shd w:val="clear" w:color="auto" w:fill="auto"/>
            <w:noWrap/>
            <w:vAlign w:val="bottom"/>
            <w:hideMark/>
          </w:tcPr>
          <w:p w14:paraId="6D6CEB6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3.81</w:t>
            </w:r>
          </w:p>
        </w:tc>
        <w:tc>
          <w:tcPr>
            <w:tcW w:w="1080" w:type="dxa"/>
            <w:tcBorders>
              <w:top w:val="nil"/>
              <w:left w:val="nil"/>
              <w:bottom w:val="single" w:sz="4" w:space="0" w:color="auto"/>
              <w:right w:val="single" w:sz="4" w:space="0" w:color="auto"/>
            </w:tcBorders>
            <w:shd w:val="clear" w:color="auto" w:fill="auto"/>
            <w:noWrap/>
            <w:vAlign w:val="bottom"/>
            <w:hideMark/>
          </w:tcPr>
          <w:p w14:paraId="0690514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0.03565</w:t>
            </w:r>
          </w:p>
        </w:tc>
      </w:tr>
      <w:tr w:rsidR="0067349A" w:rsidRPr="00CE4E1F" w14:paraId="60DDFB7E"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384CE6B" w14:textId="3A81202E" w:rsidR="0067349A" w:rsidRDefault="0067349A" w:rsidP="00742F09">
            <w:pPr>
              <w:spacing w:line="360" w:lineRule="auto"/>
              <w:contextualSpacing/>
              <w:jc w:val="both"/>
              <w:rPr>
                <w:color w:val="000000"/>
                <w:sz w:val="18"/>
                <w:szCs w:val="18"/>
              </w:rPr>
            </w:pPr>
            <w:r>
              <w:rPr>
                <w:color w:val="000000"/>
                <w:sz w:val="18"/>
                <w:szCs w:val="18"/>
              </w:rPr>
              <w:t>DNA methylation families</w:t>
            </w:r>
            <w:r w:rsidRPr="00CE4E1F">
              <w:rPr>
                <w:color w:val="000000"/>
                <w:sz w:val="18"/>
                <w:szCs w:val="18"/>
              </w:rPr>
              <w:t xml:space="preserve"> </w:t>
            </w:r>
            <w:r>
              <w:rPr>
                <w:color w:val="000000"/>
                <w:sz w:val="18"/>
                <w:szCs w:val="18"/>
              </w:rPr>
              <w:t>(malignant</w:t>
            </w:r>
            <w:r w:rsidRPr="00CE4E1F">
              <w:rPr>
                <w:color w:val="000000"/>
                <w:sz w:val="18"/>
                <w:szCs w:val="18"/>
              </w:rPr>
              <w:t xml:space="preserve"> vs </w:t>
            </w:r>
            <w:r>
              <w:rPr>
                <w:color w:val="000000"/>
                <w:sz w:val="18"/>
                <w:szCs w:val="18"/>
              </w:rPr>
              <w:t>b</w:t>
            </w:r>
            <w:r w:rsidRPr="00CE4E1F">
              <w:rPr>
                <w:color w:val="000000"/>
                <w:sz w:val="18"/>
                <w:szCs w:val="18"/>
              </w:rPr>
              <w:t>enign</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779E483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1.92</w:t>
            </w:r>
          </w:p>
        </w:tc>
        <w:tc>
          <w:tcPr>
            <w:tcW w:w="1620" w:type="dxa"/>
            <w:tcBorders>
              <w:top w:val="nil"/>
              <w:left w:val="nil"/>
              <w:bottom w:val="single" w:sz="4" w:space="0" w:color="auto"/>
              <w:right w:val="single" w:sz="4" w:space="0" w:color="auto"/>
            </w:tcBorders>
            <w:shd w:val="clear" w:color="auto" w:fill="auto"/>
            <w:noWrap/>
            <w:vAlign w:val="bottom"/>
            <w:hideMark/>
          </w:tcPr>
          <w:p w14:paraId="0E457B3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0.63</w:t>
            </w:r>
          </w:p>
        </w:tc>
        <w:tc>
          <w:tcPr>
            <w:tcW w:w="1530" w:type="dxa"/>
            <w:tcBorders>
              <w:top w:val="nil"/>
              <w:left w:val="nil"/>
              <w:bottom w:val="single" w:sz="4" w:space="0" w:color="auto"/>
              <w:right w:val="single" w:sz="4" w:space="0" w:color="auto"/>
            </w:tcBorders>
            <w:shd w:val="clear" w:color="auto" w:fill="auto"/>
            <w:noWrap/>
            <w:vAlign w:val="bottom"/>
            <w:hideMark/>
          </w:tcPr>
          <w:p w14:paraId="1A95A66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5.85</w:t>
            </w:r>
          </w:p>
        </w:tc>
        <w:tc>
          <w:tcPr>
            <w:tcW w:w="1080" w:type="dxa"/>
            <w:tcBorders>
              <w:top w:val="nil"/>
              <w:left w:val="nil"/>
              <w:bottom w:val="single" w:sz="4" w:space="0" w:color="auto"/>
              <w:right w:val="single" w:sz="4" w:space="0" w:color="auto"/>
            </w:tcBorders>
            <w:shd w:val="clear" w:color="auto" w:fill="auto"/>
            <w:noWrap/>
            <w:vAlign w:val="bottom"/>
            <w:hideMark/>
          </w:tcPr>
          <w:p w14:paraId="7A1DB60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0.25034</w:t>
            </w:r>
          </w:p>
        </w:tc>
      </w:tr>
      <w:tr w:rsidR="0067349A" w:rsidRPr="00CE4E1F" w14:paraId="7D9BD631"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D99C64B" w14:textId="06BC472D"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65DA631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1.37</w:t>
            </w:r>
          </w:p>
        </w:tc>
        <w:tc>
          <w:tcPr>
            <w:tcW w:w="1620" w:type="dxa"/>
            <w:tcBorders>
              <w:top w:val="nil"/>
              <w:left w:val="nil"/>
              <w:bottom w:val="single" w:sz="4" w:space="0" w:color="auto"/>
              <w:right w:val="single" w:sz="4" w:space="0" w:color="auto"/>
            </w:tcBorders>
            <w:shd w:val="clear" w:color="auto" w:fill="auto"/>
            <w:noWrap/>
            <w:vAlign w:val="bottom"/>
            <w:hideMark/>
          </w:tcPr>
          <w:p w14:paraId="0618882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0.76</w:t>
            </w:r>
          </w:p>
        </w:tc>
        <w:tc>
          <w:tcPr>
            <w:tcW w:w="1530" w:type="dxa"/>
            <w:tcBorders>
              <w:top w:val="nil"/>
              <w:left w:val="nil"/>
              <w:bottom w:val="single" w:sz="4" w:space="0" w:color="auto"/>
              <w:right w:val="single" w:sz="4" w:space="0" w:color="auto"/>
            </w:tcBorders>
            <w:shd w:val="clear" w:color="auto" w:fill="auto"/>
            <w:noWrap/>
            <w:vAlign w:val="bottom"/>
            <w:hideMark/>
          </w:tcPr>
          <w:p w14:paraId="762B2FD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2.47</w:t>
            </w:r>
          </w:p>
        </w:tc>
        <w:tc>
          <w:tcPr>
            <w:tcW w:w="1080" w:type="dxa"/>
            <w:tcBorders>
              <w:top w:val="nil"/>
              <w:left w:val="nil"/>
              <w:bottom w:val="single" w:sz="4" w:space="0" w:color="auto"/>
              <w:right w:val="single" w:sz="4" w:space="0" w:color="auto"/>
            </w:tcBorders>
            <w:shd w:val="clear" w:color="auto" w:fill="auto"/>
            <w:noWrap/>
            <w:vAlign w:val="bottom"/>
            <w:hideMark/>
          </w:tcPr>
          <w:p w14:paraId="71D7C48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0.30241</w:t>
            </w:r>
          </w:p>
        </w:tc>
      </w:tr>
      <w:tr w:rsidR="0067349A" w:rsidRPr="00CE4E1F" w14:paraId="228863C5"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34D83E0" w14:textId="00034140"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4EF09E0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2.39</w:t>
            </w:r>
          </w:p>
        </w:tc>
        <w:tc>
          <w:tcPr>
            <w:tcW w:w="1620" w:type="dxa"/>
            <w:tcBorders>
              <w:top w:val="nil"/>
              <w:left w:val="nil"/>
              <w:bottom w:val="single" w:sz="4" w:space="0" w:color="auto"/>
              <w:right w:val="single" w:sz="4" w:space="0" w:color="auto"/>
            </w:tcBorders>
            <w:shd w:val="clear" w:color="auto" w:fill="auto"/>
            <w:noWrap/>
            <w:vAlign w:val="bottom"/>
            <w:hideMark/>
          </w:tcPr>
          <w:p w14:paraId="7FEC603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1.30</w:t>
            </w:r>
          </w:p>
        </w:tc>
        <w:tc>
          <w:tcPr>
            <w:tcW w:w="1530" w:type="dxa"/>
            <w:tcBorders>
              <w:top w:val="nil"/>
              <w:left w:val="nil"/>
              <w:bottom w:val="single" w:sz="4" w:space="0" w:color="auto"/>
              <w:right w:val="single" w:sz="4" w:space="0" w:color="auto"/>
            </w:tcBorders>
            <w:shd w:val="clear" w:color="auto" w:fill="auto"/>
            <w:noWrap/>
            <w:vAlign w:val="bottom"/>
            <w:hideMark/>
          </w:tcPr>
          <w:p w14:paraId="2A33213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4.39</w:t>
            </w:r>
          </w:p>
        </w:tc>
        <w:tc>
          <w:tcPr>
            <w:tcW w:w="1080" w:type="dxa"/>
            <w:tcBorders>
              <w:top w:val="nil"/>
              <w:left w:val="nil"/>
              <w:bottom w:val="single" w:sz="4" w:space="0" w:color="auto"/>
              <w:right w:val="single" w:sz="4" w:space="0" w:color="auto"/>
            </w:tcBorders>
            <w:shd w:val="clear" w:color="auto" w:fill="auto"/>
            <w:noWrap/>
            <w:vAlign w:val="bottom"/>
            <w:hideMark/>
          </w:tcPr>
          <w:p w14:paraId="068E776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0.00485</w:t>
            </w:r>
          </w:p>
        </w:tc>
      </w:tr>
      <w:tr w:rsidR="0067349A" w:rsidRPr="00CE4E1F" w14:paraId="11E2E947"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B2223C7" w14:textId="17EAD4B2"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6C99FE8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1.74</w:t>
            </w:r>
          </w:p>
        </w:tc>
        <w:tc>
          <w:tcPr>
            <w:tcW w:w="1620" w:type="dxa"/>
            <w:tcBorders>
              <w:top w:val="nil"/>
              <w:left w:val="nil"/>
              <w:bottom w:val="single" w:sz="4" w:space="0" w:color="auto"/>
              <w:right w:val="single" w:sz="4" w:space="0" w:color="auto"/>
            </w:tcBorders>
            <w:shd w:val="clear" w:color="auto" w:fill="auto"/>
            <w:noWrap/>
            <w:vAlign w:val="bottom"/>
            <w:hideMark/>
          </w:tcPr>
          <w:p w14:paraId="6AC6EDB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0.95</w:t>
            </w:r>
          </w:p>
        </w:tc>
        <w:tc>
          <w:tcPr>
            <w:tcW w:w="1530" w:type="dxa"/>
            <w:tcBorders>
              <w:top w:val="nil"/>
              <w:left w:val="nil"/>
              <w:bottom w:val="single" w:sz="4" w:space="0" w:color="auto"/>
              <w:right w:val="single" w:sz="4" w:space="0" w:color="auto"/>
            </w:tcBorders>
            <w:shd w:val="clear" w:color="auto" w:fill="auto"/>
            <w:noWrap/>
            <w:vAlign w:val="bottom"/>
            <w:hideMark/>
          </w:tcPr>
          <w:p w14:paraId="6C9B645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3.16</w:t>
            </w:r>
          </w:p>
        </w:tc>
        <w:tc>
          <w:tcPr>
            <w:tcW w:w="1080" w:type="dxa"/>
            <w:tcBorders>
              <w:top w:val="nil"/>
              <w:left w:val="nil"/>
              <w:bottom w:val="single" w:sz="4" w:space="0" w:color="auto"/>
              <w:right w:val="single" w:sz="4" w:space="0" w:color="auto"/>
            </w:tcBorders>
            <w:shd w:val="clear" w:color="auto" w:fill="auto"/>
            <w:noWrap/>
            <w:vAlign w:val="bottom"/>
            <w:hideMark/>
          </w:tcPr>
          <w:p w14:paraId="20665BF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0.07123</w:t>
            </w:r>
          </w:p>
        </w:tc>
      </w:tr>
      <w:tr w:rsidR="0067349A" w:rsidRPr="00CE4E1F" w14:paraId="637BBBDB"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BF2F5B7" w14:textId="26EE7D18"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507BE25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3.25</w:t>
            </w:r>
          </w:p>
        </w:tc>
        <w:tc>
          <w:tcPr>
            <w:tcW w:w="1620" w:type="dxa"/>
            <w:tcBorders>
              <w:top w:val="nil"/>
              <w:left w:val="nil"/>
              <w:bottom w:val="single" w:sz="4" w:space="0" w:color="auto"/>
              <w:right w:val="single" w:sz="4" w:space="0" w:color="auto"/>
            </w:tcBorders>
            <w:shd w:val="clear" w:color="auto" w:fill="auto"/>
            <w:noWrap/>
            <w:vAlign w:val="bottom"/>
            <w:hideMark/>
          </w:tcPr>
          <w:p w14:paraId="3BA6218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0.58</w:t>
            </w:r>
          </w:p>
        </w:tc>
        <w:tc>
          <w:tcPr>
            <w:tcW w:w="1530" w:type="dxa"/>
            <w:tcBorders>
              <w:top w:val="nil"/>
              <w:left w:val="nil"/>
              <w:bottom w:val="single" w:sz="4" w:space="0" w:color="auto"/>
              <w:right w:val="single" w:sz="4" w:space="0" w:color="auto"/>
            </w:tcBorders>
            <w:shd w:val="clear" w:color="auto" w:fill="auto"/>
            <w:noWrap/>
            <w:vAlign w:val="bottom"/>
            <w:hideMark/>
          </w:tcPr>
          <w:p w14:paraId="6F612BA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18.12</w:t>
            </w:r>
          </w:p>
        </w:tc>
        <w:tc>
          <w:tcPr>
            <w:tcW w:w="1080" w:type="dxa"/>
            <w:tcBorders>
              <w:top w:val="nil"/>
              <w:left w:val="nil"/>
              <w:bottom w:val="single" w:sz="4" w:space="0" w:color="auto"/>
              <w:right w:val="single" w:sz="4" w:space="0" w:color="auto"/>
            </w:tcBorders>
            <w:shd w:val="clear" w:color="auto" w:fill="auto"/>
            <w:noWrap/>
            <w:vAlign w:val="bottom"/>
            <w:hideMark/>
          </w:tcPr>
          <w:p w14:paraId="7DD4B04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0.17844</w:t>
            </w:r>
          </w:p>
        </w:tc>
      </w:tr>
      <w:tr w:rsidR="0067349A" w:rsidRPr="00CE4E1F" w14:paraId="72244139"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FC49AE5" w14:textId="2641CD83"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3EB6F0C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0B406D5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41AF9B6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08E91DA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37D61A32"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B844C58" w14:textId="4575D6DF"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5, N=375</w:t>
            </w:r>
          </w:p>
        </w:tc>
        <w:tc>
          <w:tcPr>
            <w:tcW w:w="1098" w:type="dxa"/>
            <w:tcBorders>
              <w:top w:val="nil"/>
              <w:left w:val="nil"/>
              <w:bottom w:val="single" w:sz="4" w:space="0" w:color="auto"/>
              <w:right w:val="single" w:sz="4" w:space="0" w:color="auto"/>
            </w:tcBorders>
            <w:shd w:val="clear" w:color="auto" w:fill="auto"/>
            <w:noWrap/>
            <w:vAlign w:val="bottom"/>
            <w:hideMark/>
          </w:tcPr>
          <w:p w14:paraId="0466393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60AEB2D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291018E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99441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46FC22BA"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86390DD" w14:textId="54C0F4A7"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43BF263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1.60</w:t>
            </w:r>
          </w:p>
        </w:tc>
        <w:tc>
          <w:tcPr>
            <w:tcW w:w="1620" w:type="dxa"/>
            <w:tcBorders>
              <w:top w:val="nil"/>
              <w:left w:val="nil"/>
              <w:bottom w:val="single" w:sz="4" w:space="0" w:color="auto"/>
              <w:right w:val="single" w:sz="4" w:space="0" w:color="auto"/>
            </w:tcBorders>
            <w:shd w:val="clear" w:color="auto" w:fill="auto"/>
            <w:noWrap/>
            <w:vAlign w:val="bottom"/>
            <w:hideMark/>
          </w:tcPr>
          <w:p w14:paraId="172902F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1.25</w:t>
            </w:r>
          </w:p>
        </w:tc>
        <w:tc>
          <w:tcPr>
            <w:tcW w:w="1530" w:type="dxa"/>
            <w:tcBorders>
              <w:top w:val="nil"/>
              <w:left w:val="nil"/>
              <w:bottom w:val="single" w:sz="4" w:space="0" w:color="auto"/>
              <w:right w:val="single" w:sz="4" w:space="0" w:color="auto"/>
            </w:tcBorders>
            <w:shd w:val="clear" w:color="auto" w:fill="auto"/>
            <w:noWrap/>
            <w:vAlign w:val="bottom"/>
            <w:hideMark/>
          </w:tcPr>
          <w:p w14:paraId="1B62829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2.06</w:t>
            </w:r>
          </w:p>
        </w:tc>
        <w:tc>
          <w:tcPr>
            <w:tcW w:w="1080" w:type="dxa"/>
            <w:tcBorders>
              <w:top w:val="nil"/>
              <w:left w:val="nil"/>
              <w:bottom w:val="single" w:sz="4" w:space="0" w:color="auto"/>
              <w:right w:val="single" w:sz="4" w:space="0" w:color="auto"/>
            </w:tcBorders>
            <w:shd w:val="clear" w:color="auto" w:fill="auto"/>
            <w:noWrap/>
            <w:vAlign w:val="bottom"/>
            <w:hideMark/>
          </w:tcPr>
          <w:p w14:paraId="2D378BD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0.000229</w:t>
            </w:r>
          </w:p>
        </w:tc>
      </w:tr>
      <w:tr w:rsidR="0067349A" w:rsidRPr="00CE4E1F" w14:paraId="39BFACAC"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B0CE05E" w14:textId="538A207E" w:rsidR="0067349A" w:rsidRDefault="0067349A" w:rsidP="00742F09">
            <w:pPr>
              <w:spacing w:line="360" w:lineRule="auto"/>
              <w:contextualSpacing/>
              <w:jc w:val="both"/>
              <w:rPr>
                <w:color w:val="000000"/>
                <w:sz w:val="18"/>
                <w:szCs w:val="18"/>
              </w:rPr>
            </w:pPr>
            <w:r>
              <w:rPr>
                <w:color w:val="000000"/>
                <w:sz w:val="18"/>
                <w:szCs w:val="18"/>
              </w:rPr>
              <w:t>Gene expression types</w:t>
            </w:r>
            <w:r>
              <w:rPr>
                <w:color w:val="000000"/>
                <w:sz w:val="18"/>
                <w:szCs w:val="18"/>
              </w:rPr>
              <w:fldChar w:fldCharType="begin" w:fldLock="1"/>
            </w:r>
            <w:r w:rsidR="000F4EF5">
              <w:rPr>
                <w:color w:val="000000"/>
                <w:sz w:val="18"/>
                <w:szCs w:val="18"/>
              </w:rPr>
              <w:instrText>ADDIN CSL_CITATION {"citationItems":[{"id":"ITEM-1","itemData":{"DOI":"10.1073/pnas.1912858116","ISSN":"10916490","PMID":"31591222","abstract":"Meningiomas account for one-third of all primary brain tumors. Although typically benign, about 20% of meningiomas are aggressive, and despite the rigor of the current histopathological classification system there remains considerable uncertainty in predicting tumor behavior. Here, we analyzed 160 tumors from all 3 World Health Organization (WHO) grades (I through III) using clinical, gene expression, and sequencing data. Unsupervised clustering analysis identified 3 molecular types (A, B, and C) that reliably predicted recurrence. These groups did not directly correlate with the WHO grading system, which classifies more than half of the tumors in the most aggressive molecular type as benign. Transcriptional and biochemical analyses revealed that aggressive meningiomas involve loss of the repressor function of the DREAM complex, which results in cell-cycle activation; only tumors in this category tend to recur after full resection. These findings should improve our ability to predict recurrence and develop targeted treatments for these clinically challenging tumors.","author":[{"dropping-particle":"","family":"Patel","given":"Akash J.","non-dropping-particle":"","parse-names":false,"suffix":""},{"dropping-particle":"","family":"Wan","given":"Ying Wooi","non-dropping-particle":"","parse-names":false,"suffix":""},{"dropping-particle":"","family":"Al-Ouran","given":"Rami","non-dropping-particle":"","parse-names":false,"suffix":""},{"dropping-particle":"","family":"Revelli","given":"Jean Pierre","non-dropping-particle":"","parse-names":false,"suffix":""},{"dropping-particle":"","family":"Cardenas","given":"Maria F.","non-dropping-particle":"","parse-names":false,"suffix":""},{"dropping-particle":"","family":"Oneissi","given":"Mazen","non-dropping-particle":"","parse-names":false,"suffix":""},{"dropping-particle":"","family":"Xi","given":"Liu","non-dropping-particle":"","parse-names":false,"suffix":""},{"dropping-particle":"","family":"Jalali","given":"Ali","non-dropping-particle":"","parse-names":false,"suffix":""},{"dropping-particle":"","family":"Magnotti","given":"John F.","non-dropping-particle":"","parse-names":false,"suffix":""},{"dropping-particle":"","family":"Muzny","given":"Donna M.","non-dropping-particle":"","parse-names":false,"suffix":""},{"dropping-particle":"","family":"Doddapaneni","given":"Harsha Vardhan","non-dropping-particle":"","parse-names":false,"suffix":""},{"dropping-particle":"","family":"Sebastian","given":"Sherly","non-dropping-particle":"","parse-names":false,"suffix":""},{"dropping-particle":"","family":"Heck","given":"Kent A.","non-dropping-particle":"","parse-names":false,"suffix":""},{"dropping-particle":"","family":"Clay Goodman","given":"J.","non-dropping-particle":"","parse-names":false,"suffix":""},{"dropping-particle":"","family":"Gopinath","given":"Shankar P.","non-dropping-particle":"","parse-names":false,"suffix":""},{"dropping-particle":"","family":"Liu","given":"Zhandong","non-dropping-particle":"","parse-names":false,"suffix":""},{"dropping-particle":"","family":"Rao","given":"Ganesh","non-dropping-particle":"","parse-names":false,"suffix":""},{"dropping-particle":"","family":"Plon","given":"Sharon E.","non-dropping-particle":"","parse-names":false,"suffix":""},{"dropping-particle":"","family":"Yoshor","given":"Daniel","non-dropping-particle":"","parse-names":false,"suffix":""},{"dropping-particle":"","family":"Wheeler","given":"David A.","non-dropping-particle":"","parse-names":false,"suffix":""},{"dropping-particle":"","family":"Zoghbi","given":"Huda Y.","non-dropping-particle":"","parse-names":false,"suffix":""},{"dropping-particle":"","family":"Klisch","given":"Tiemo J.","non-dropping-particle":"","parse-names":false,"suffix":""}],"container-title":"Proceedings of the National Academy of Sciences of the United States of America","id":"ITEM-1","issue":"43","issued":{"date-parts":[["2019"]]},"page":"21715-21726","title":"Molecular profiling predicts meningioma recurrence and reveals loss of DREAM complex repression in aggressive tumors","type":"article-journal","volume":"116"},"uris":["http://www.mendeley.com/documents/?uuid=1b4206bc-8c3c-450b-8aa6-392bbc4800d8"]}],"mendeley":{"formattedCitation":"&lt;sup&gt;15&lt;/sup&gt;","plainTextFormattedCitation":"15","previouslyFormattedCitation":"&lt;sup&gt;15&lt;/sup&gt;"},"properties":{"noteIndex":0},"schema":"https://github.com/citation-style-language/schema/raw/master/csl-citation.json"}</w:instrText>
            </w:r>
            <w:r>
              <w:rPr>
                <w:color w:val="000000"/>
                <w:sz w:val="18"/>
                <w:szCs w:val="18"/>
              </w:rPr>
              <w:fldChar w:fldCharType="separate"/>
            </w:r>
            <w:r w:rsidR="000F4EF5" w:rsidRPr="000F4EF5">
              <w:rPr>
                <w:noProof/>
                <w:color w:val="000000"/>
                <w:sz w:val="18"/>
                <w:szCs w:val="18"/>
                <w:vertAlign w:val="superscript"/>
              </w:rPr>
              <w:t>15</w:t>
            </w:r>
            <w:r>
              <w:rPr>
                <w:color w:val="000000"/>
                <w:sz w:val="18"/>
                <w:szCs w:val="18"/>
              </w:rPr>
              <w:fldChar w:fldCharType="end"/>
            </w:r>
            <w:r w:rsidRPr="00CE4E1F">
              <w:rPr>
                <w:color w:val="000000"/>
                <w:sz w:val="18"/>
                <w:szCs w:val="18"/>
              </w:rPr>
              <w:t xml:space="preserve"> </w:t>
            </w:r>
            <w:r>
              <w:rPr>
                <w:color w:val="000000"/>
                <w:sz w:val="18"/>
                <w:szCs w:val="18"/>
              </w:rPr>
              <w:t>(</w:t>
            </w:r>
            <w:r w:rsidRPr="00CE4E1F">
              <w:rPr>
                <w:color w:val="000000"/>
                <w:sz w:val="18"/>
                <w:szCs w:val="18"/>
              </w:rPr>
              <w:t>B vs A</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41188FB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0.62</w:t>
            </w:r>
          </w:p>
        </w:tc>
        <w:tc>
          <w:tcPr>
            <w:tcW w:w="1620" w:type="dxa"/>
            <w:tcBorders>
              <w:top w:val="nil"/>
              <w:left w:val="nil"/>
              <w:bottom w:val="single" w:sz="4" w:space="0" w:color="auto"/>
              <w:right w:val="single" w:sz="4" w:space="0" w:color="auto"/>
            </w:tcBorders>
            <w:shd w:val="clear" w:color="auto" w:fill="auto"/>
            <w:noWrap/>
            <w:vAlign w:val="bottom"/>
            <w:hideMark/>
          </w:tcPr>
          <w:p w14:paraId="664E460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0.25</w:t>
            </w:r>
          </w:p>
        </w:tc>
        <w:tc>
          <w:tcPr>
            <w:tcW w:w="1530" w:type="dxa"/>
            <w:tcBorders>
              <w:top w:val="nil"/>
              <w:left w:val="nil"/>
              <w:bottom w:val="single" w:sz="4" w:space="0" w:color="auto"/>
              <w:right w:val="single" w:sz="4" w:space="0" w:color="auto"/>
            </w:tcBorders>
            <w:shd w:val="clear" w:color="auto" w:fill="auto"/>
            <w:noWrap/>
            <w:vAlign w:val="bottom"/>
            <w:hideMark/>
          </w:tcPr>
          <w:p w14:paraId="63E27A7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1.53</w:t>
            </w:r>
          </w:p>
        </w:tc>
        <w:tc>
          <w:tcPr>
            <w:tcW w:w="1080" w:type="dxa"/>
            <w:tcBorders>
              <w:top w:val="nil"/>
              <w:left w:val="nil"/>
              <w:bottom w:val="single" w:sz="4" w:space="0" w:color="auto"/>
              <w:right w:val="single" w:sz="4" w:space="0" w:color="auto"/>
            </w:tcBorders>
            <w:shd w:val="clear" w:color="auto" w:fill="auto"/>
            <w:noWrap/>
            <w:vAlign w:val="bottom"/>
            <w:hideMark/>
          </w:tcPr>
          <w:p w14:paraId="028169A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0.29646</w:t>
            </w:r>
          </w:p>
        </w:tc>
      </w:tr>
      <w:tr w:rsidR="0067349A" w:rsidRPr="00CE4E1F" w14:paraId="0D3710D2"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067A04C" w14:textId="21FFE9D3" w:rsidR="0067349A" w:rsidRDefault="0067349A" w:rsidP="00742F09">
            <w:pPr>
              <w:spacing w:line="360" w:lineRule="auto"/>
              <w:contextualSpacing/>
              <w:jc w:val="both"/>
              <w:rPr>
                <w:color w:val="000000"/>
                <w:sz w:val="18"/>
                <w:szCs w:val="18"/>
              </w:rPr>
            </w:pPr>
            <w:r>
              <w:rPr>
                <w:color w:val="000000"/>
                <w:sz w:val="18"/>
                <w:szCs w:val="18"/>
              </w:rPr>
              <w:t>Gene expression types</w:t>
            </w:r>
            <w:r w:rsidRPr="00CE4E1F">
              <w:rPr>
                <w:color w:val="000000"/>
                <w:sz w:val="18"/>
                <w:szCs w:val="18"/>
              </w:rPr>
              <w:t xml:space="preserve"> </w:t>
            </w:r>
            <w:r>
              <w:rPr>
                <w:color w:val="000000"/>
                <w:sz w:val="18"/>
                <w:szCs w:val="18"/>
              </w:rPr>
              <w:t>(C</w:t>
            </w:r>
            <w:r w:rsidRPr="00CE4E1F">
              <w:rPr>
                <w:color w:val="000000"/>
                <w:sz w:val="18"/>
                <w:szCs w:val="18"/>
              </w:rPr>
              <w:t xml:space="preserve"> vs A</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6183C30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1.08</w:t>
            </w:r>
          </w:p>
        </w:tc>
        <w:tc>
          <w:tcPr>
            <w:tcW w:w="1620" w:type="dxa"/>
            <w:tcBorders>
              <w:top w:val="nil"/>
              <w:left w:val="nil"/>
              <w:bottom w:val="single" w:sz="4" w:space="0" w:color="auto"/>
              <w:right w:val="single" w:sz="4" w:space="0" w:color="auto"/>
            </w:tcBorders>
            <w:shd w:val="clear" w:color="auto" w:fill="auto"/>
            <w:noWrap/>
            <w:vAlign w:val="bottom"/>
            <w:hideMark/>
          </w:tcPr>
          <w:p w14:paraId="16DD53D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0.50</w:t>
            </w:r>
          </w:p>
        </w:tc>
        <w:tc>
          <w:tcPr>
            <w:tcW w:w="1530" w:type="dxa"/>
            <w:tcBorders>
              <w:top w:val="nil"/>
              <w:left w:val="nil"/>
              <w:bottom w:val="single" w:sz="4" w:space="0" w:color="auto"/>
              <w:right w:val="single" w:sz="4" w:space="0" w:color="auto"/>
            </w:tcBorders>
            <w:shd w:val="clear" w:color="auto" w:fill="auto"/>
            <w:noWrap/>
            <w:vAlign w:val="bottom"/>
            <w:hideMark/>
          </w:tcPr>
          <w:p w14:paraId="43E5007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2.33</w:t>
            </w:r>
          </w:p>
        </w:tc>
        <w:tc>
          <w:tcPr>
            <w:tcW w:w="1080" w:type="dxa"/>
            <w:tcBorders>
              <w:top w:val="nil"/>
              <w:left w:val="nil"/>
              <w:bottom w:val="single" w:sz="4" w:space="0" w:color="auto"/>
              <w:right w:val="single" w:sz="4" w:space="0" w:color="auto"/>
            </w:tcBorders>
            <w:shd w:val="clear" w:color="auto" w:fill="auto"/>
            <w:noWrap/>
            <w:vAlign w:val="bottom"/>
            <w:hideMark/>
          </w:tcPr>
          <w:p w14:paraId="4350C8E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0.842969</w:t>
            </w:r>
          </w:p>
        </w:tc>
      </w:tr>
      <w:tr w:rsidR="0067349A" w:rsidRPr="00CE4E1F" w14:paraId="22CB93AD"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28767B6" w14:textId="71BA067C" w:rsidR="0067349A" w:rsidRPr="00CE4E1F" w:rsidRDefault="0067349A" w:rsidP="00742F09">
            <w:pPr>
              <w:spacing w:line="360" w:lineRule="auto"/>
              <w:contextualSpacing/>
              <w:jc w:val="both"/>
              <w:rPr>
                <w:color w:val="000000"/>
                <w:sz w:val="18"/>
                <w:szCs w:val="18"/>
              </w:rPr>
            </w:pPr>
            <w:r w:rsidRPr="00CE4E1F">
              <w:rPr>
                <w:color w:val="000000"/>
                <w:sz w:val="18"/>
                <w:szCs w:val="18"/>
              </w:rPr>
              <w:lastRenderedPageBreak/>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7F7E018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1.49</w:t>
            </w:r>
          </w:p>
        </w:tc>
        <w:tc>
          <w:tcPr>
            <w:tcW w:w="1620" w:type="dxa"/>
            <w:tcBorders>
              <w:top w:val="nil"/>
              <w:left w:val="nil"/>
              <w:bottom w:val="single" w:sz="4" w:space="0" w:color="auto"/>
              <w:right w:val="single" w:sz="4" w:space="0" w:color="auto"/>
            </w:tcBorders>
            <w:shd w:val="clear" w:color="auto" w:fill="auto"/>
            <w:noWrap/>
            <w:vAlign w:val="bottom"/>
            <w:hideMark/>
          </w:tcPr>
          <w:p w14:paraId="200E8D3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0.83</w:t>
            </w:r>
          </w:p>
        </w:tc>
        <w:tc>
          <w:tcPr>
            <w:tcW w:w="1530" w:type="dxa"/>
            <w:tcBorders>
              <w:top w:val="nil"/>
              <w:left w:val="nil"/>
              <w:bottom w:val="single" w:sz="4" w:space="0" w:color="auto"/>
              <w:right w:val="single" w:sz="4" w:space="0" w:color="auto"/>
            </w:tcBorders>
            <w:shd w:val="clear" w:color="auto" w:fill="auto"/>
            <w:noWrap/>
            <w:vAlign w:val="bottom"/>
            <w:hideMark/>
          </w:tcPr>
          <w:p w14:paraId="694B33C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2.67</w:t>
            </w:r>
          </w:p>
        </w:tc>
        <w:tc>
          <w:tcPr>
            <w:tcW w:w="1080" w:type="dxa"/>
            <w:tcBorders>
              <w:top w:val="nil"/>
              <w:left w:val="nil"/>
              <w:bottom w:val="single" w:sz="4" w:space="0" w:color="auto"/>
              <w:right w:val="single" w:sz="4" w:space="0" w:color="auto"/>
            </w:tcBorders>
            <w:shd w:val="clear" w:color="auto" w:fill="auto"/>
            <w:noWrap/>
            <w:vAlign w:val="bottom"/>
            <w:hideMark/>
          </w:tcPr>
          <w:p w14:paraId="050EC5E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0.181939</w:t>
            </w:r>
          </w:p>
        </w:tc>
      </w:tr>
      <w:tr w:rsidR="0067349A" w:rsidRPr="00CE4E1F" w14:paraId="12DA3DF9"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59ABA23" w14:textId="0897C427"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0166887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2.24</w:t>
            </w:r>
          </w:p>
        </w:tc>
        <w:tc>
          <w:tcPr>
            <w:tcW w:w="1620" w:type="dxa"/>
            <w:tcBorders>
              <w:top w:val="nil"/>
              <w:left w:val="nil"/>
              <w:bottom w:val="single" w:sz="4" w:space="0" w:color="auto"/>
              <w:right w:val="single" w:sz="4" w:space="0" w:color="auto"/>
            </w:tcBorders>
            <w:shd w:val="clear" w:color="auto" w:fill="auto"/>
            <w:noWrap/>
            <w:vAlign w:val="bottom"/>
            <w:hideMark/>
          </w:tcPr>
          <w:p w14:paraId="558ECF6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1.21</w:t>
            </w:r>
          </w:p>
        </w:tc>
        <w:tc>
          <w:tcPr>
            <w:tcW w:w="1530" w:type="dxa"/>
            <w:tcBorders>
              <w:top w:val="nil"/>
              <w:left w:val="nil"/>
              <w:bottom w:val="single" w:sz="4" w:space="0" w:color="auto"/>
              <w:right w:val="single" w:sz="4" w:space="0" w:color="auto"/>
            </w:tcBorders>
            <w:shd w:val="clear" w:color="auto" w:fill="auto"/>
            <w:noWrap/>
            <w:vAlign w:val="bottom"/>
            <w:hideMark/>
          </w:tcPr>
          <w:p w14:paraId="62B7211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4.12</w:t>
            </w:r>
          </w:p>
        </w:tc>
        <w:tc>
          <w:tcPr>
            <w:tcW w:w="1080" w:type="dxa"/>
            <w:tcBorders>
              <w:top w:val="nil"/>
              <w:left w:val="nil"/>
              <w:bottom w:val="single" w:sz="4" w:space="0" w:color="auto"/>
              <w:right w:val="single" w:sz="4" w:space="0" w:color="auto"/>
            </w:tcBorders>
            <w:shd w:val="clear" w:color="auto" w:fill="auto"/>
            <w:noWrap/>
            <w:vAlign w:val="bottom"/>
            <w:hideMark/>
          </w:tcPr>
          <w:p w14:paraId="267C8A8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0.009754</w:t>
            </w:r>
          </w:p>
        </w:tc>
      </w:tr>
      <w:tr w:rsidR="0067349A" w:rsidRPr="00CE4E1F" w14:paraId="0FFA6315"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A715FF8" w14:textId="414CBE72"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5A5B658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1.61</w:t>
            </w:r>
          </w:p>
        </w:tc>
        <w:tc>
          <w:tcPr>
            <w:tcW w:w="1620" w:type="dxa"/>
            <w:tcBorders>
              <w:top w:val="nil"/>
              <w:left w:val="nil"/>
              <w:bottom w:val="single" w:sz="4" w:space="0" w:color="auto"/>
              <w:right w:val="single" w:sz="4" w:space="0" w:color="auto"/>
            </w:tcBorders>
            <w:shd w:val="clear" w:color="auto" w:fill="auto"/>
            <w:noWrap/>
            <w:vAlign w:val="bottom"/>
            <w:hideMark/>
          </w:tcPr>
          <w:p w14:paraId="7F531C6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0.91</w:t>
            </w:r>
          </w:p>
        </w:tc>
        <w:tc>
          <w:tcPr>
            <w:tcW w:w="1530" w:type="dxa"/>
            <w:tcBorders>
              <w:top w:val="nil"/>
              <w:left w:val="nil"/>
              <w:bottom w:val="single" w:sz="4" w:space="0" w:color="auto"/>
              <w:right w:val="single" w:sz="4" w:space="0" w:color="auto"/>
            </w:tcBorders>
            <w:shd w:val="clear" w:color="auto" w:fill="auto"/>
            <w:noWrap/>
            <w:vAlign w:val="bottom"/>
            <w:hideMark/>
          </w:tcPr>
          <w:p w14:paraId="32764B6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2.85</w:t>
            </w:r>
          </w:p>
        </w:tc>
        <w:tc>
          <w:tcPr>
            <w:tcW w:w="1080" w:type="dxa"/>
            <w:tcBorders>
              <w:top w:val="nil"/>
              <w:left w:val="nil"/>
              <w:bottom w:val="single" w:sz="4" w:space="0" w:color="auto"/>
              <w:right w:val="single" w:sz="4" w:space="0" w:color="auto"/>
            </w:tcBorders>
            <w:shd w:val="clear" w:color="auto" w:fill="auto"/>
            <w:noWrap/>
            <w:vAlign w:val="bottom"/>
            <w:hideMark/>
          </w:tcPr>
          <w:p w14:paraId="7F37851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0.098931</w:t>
            </w:r>
          </w:p>
        </w:tc>
      </w:tr>
      <w:tr w:rsidR="0067349A" w:rsidRPr="00CE4E1F" w14:paraId="4EF85A0D"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1D17B08" w14:textId="3832F0AF"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10974C6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6.10</w:t>
            </w:r>
          </w:p>
        </w:tc>
        <w:tc>
          <w:tcPr>
            <w:tcW w:w="1620" w:type="dxa"/>
            <w:tcBorders>
              <w:top w:val="nil"/>
              <w:left w:val="nil"/>
              <w:bottom w:val="single" w:sz="4" w:space="0" w:color="auto"/>
              <w:right w:val="single" w:sz="4" w:space="0" w:color="auto"/>
            </w:tcBorders>
            <w:shd w:val="clear" w:color="auto" w:fill="auto"/>
            <w:noWrap/>
            <w:vAlign w:val="bottom"/>
            <w:hideMark/>
          </w:tcPr>
          <w:p w14:paraId="1759C51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1.70</w:t>
            </w:r>
          </w:p>
        </w:tc>
        <w:tc>
          <w:tcPr>
            <w:tcW w:w="1530" w:type="dxa"/>
            <w:tcBorders>
              <w:top w:val="nil"/>
              <w:left w:val="nil"/>
              <w:bottom w:val="single" w:sz="4" w:space="0" w:color="auto"/>
              <w:right w:val="single" w:sz="4" w:space="0" w:color="auto"/>
            </w:tcBorders>
            <w:shd w:val="clear" w:color="auto" w:fill="auto"/>
            <w:noWrap/>
            <w:vAlign w:val="bottom"/>
            <w:hideMark/>
          </w:tcPr>
          <w:p w14:paraId="69EA980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21.91</w:t>
            </w:r>
          </w:p>
        </w:tc>
        <w:tc>
          <w:tcPr>
            <w:tcW w:w="1080" w:type="dxa"/>
            <w:tcBorders>
              <w:top w:val="nil"/>
              <w:left w:val="nil"/>
              <w:bottom w:val="single" w:sz="4" w:space="0" w:color="auto"/>
              <w:right w:val="single" w:sz="4" w:space="0" w:color="auto"/>
            </w:tcBorders>
            <w:shd w:val="clear" w:color="auto" w:fill="auto"/>
            <w:noWrap/>
            <w:vAlign w:val="bottom"/>
            <w:hideMark/>
          </w:tcPr>
          <w:p w14:paraId="67D7703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0.00561</w:t>
            </w:r>
          </w:p>
        </w:tc>
      </w:tr>
      <w:tr w:rsidR="0067349A" w:rsidRPr="00CE4E1F" w14:paraId="52D38979"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A7A97ED" w14:textId="1548382D"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216980F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678439A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A4739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7DF2487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53CB2287"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090C6BC" w14:textId="0E9FDE95"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6, N=447</w:t>
            </w:r>
          </w:p>
        </w:tc>
        <w:tc>
          <w:tcPr>
            <w:tcW w:w="1098" w:type="dxa"/>
            <w:tcBorders>
              <w:top w:val="nil"/>
              <w:left w:val="nil"/>
              <w:bottom w:val="single" w:sz="4" w:space="0" w:color="auto"/>
              <w:right w:val="single" w:sz="4" w:space="0" w:color="auto"/>
            </w:tcBorders>
            <w:shd w:val="clear" w:color="auto" w:fill="auto"/>
            <w:noWrap/>
            <w:vAlign w:val="bottom"/>
            <w:hideMark/>
          </w:tcPr>
          <w:p w14:paraId="7B7C91A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74ED71B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54313C0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D970D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5CB089DD"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0F602153" w14:textId="262AB181"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7F4FAAF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1.48</w:t>
            </w:r>
          </w:p>
        </w:tc>
        <w:tc>
          <w:tcPr>
            <w:tcW w:w="1620" w:type="dxa"/>
            <w:tcBorders>
              <w:top w:val="nil"/>
              <w:left w:val="nil"/>
              <w:bottom w:val="single" w:sz="4" w:space="0" w:color="auto"/>
              <w:right w:val="single" w:sz="4" w:space="0" w:color="auto"/>
            </w:tcBorders>
            <w:shd w:val="clear" w:color="auto" w:fill="auto"/>
            <w:noWrap/>
            <w:vAlign w:val="bottom"/>
            <w:hideMark/>
          </w:tcPr>
          <w:p w14:paraId="2E5DEAB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1.25</w:t>
            </w:r>
          </w:p>
        </w:tc>
        <w:tc>
          <w:tcPr>
            <w:tcW w:w="1530" w:type="dxa"/>
            <w:tcBorders>
              <w:top w:val="nil"/>
              <w:left w:val="nil"/>
              <w:bottom w:val="single" w:sz="4" w:space="0" w:color="auto"/>
              <w:right w:val="single" w:sz="4" w:space="0" w:color="auto"/>
            </w:tcBorders>
            <w:shd w:val="clear" w:color="auto" w:fill="auto"/>
            <w:noWrap/>
            <w:vAlign w:val="bottom"/>
            <w:hideMark/>
          </w:tcPr>
          <w:p w14:paraId="64016DF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1.75</w:t>
            </w:r>
          </w:p>
        </w:tc>
        <w:tc>
          <w:tcPr>
            <w:tcW w:w="1080" w:type="dxa"/>
            <w:tcBorders>
              <w:top w:val="nil"/>
              <w:left w:val="nil"/>
              <w:bottom w:val="single" w:sz="4" w:space="0" w:color="auto"/>
              <w:right w:val="single" w:sz="4" w:space="0" w:color="auto"/>
            </w:tcBorders>
            <w:shd w:val="clear" w:color="auto" w:fill="auto"/>
            <w:noWrap/>
            <w:vAlign w:val="bottom"/>
            <w:hideMark/>
          </w:tcPr>
          <w:p w14:paraId="25E4FC5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6.29E-06</w:t>
            </w:r>
          </w:p>
        </w:tc>
      </w:tr>
      <w:tr w:rsidR="0067349A" w:rsidRPr="00CE4E1F" w14:paraId="04DE0154"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9E2000E" w14:textId="4693AB25" w:rsidR="0067349A" w:rsidRDefault="0067349A" w:rsidP="00742F09">
            <w:pPr>
              <w:spacing w:line="360" w:lineRule="auto"/>
              <w:contextualSpacing/>
              <w:jc w:val="both"/>
              <w:rPr>
                <w:color w:val="000000"/>
                <w:sz w:val="18"/>
                <w:szCs w:val="18"/>
              </w:rPr>
            </w:pPr>
            <w:r>
              <w:rPr>
                <w:color w:val="000000"/>
                <w:sz w:val="18"/>
                <w:szCs w:val="18"/>
              </w:rPr>
              <w:t>DNA methylation probe score</w:t>
            </w:r>
            <w:r>
              <w:rPr>
                <w:color w:val="000000"/>
                <w:sz w:val="18"/>
                <w:szCs w:val="18"/>
              </w:rPr>
              <w:fldChar w:fldCharType="begin" w:fldLock="1"/>
            </w:r>
            <w:r w:rsidR="000F4EF5">
              <w:rPr>
                <w:color w:val="000000"/>
                <w:sz w:val="18"/>
                <w:szCs w:val="18"/>
              </w:rPr>
              <w:instrText>ADDIN CSL_CITATION {"citationItems":[{"id":"ITEM-1","itemData":{"DOI":"10.1007/s00401-017-1678-x","ISSN":"14320533","PMID":"28130639","abstract":"Meningioma is the most common primary brain tumor and carries a substantial risk of local recurrence. Methylation profiles of meningioma and their clinical implications are not well understood. We hypothesized that aggressive meningiomas have unique DNA methylation patterns that could be used to better stratify patient management. Samples (n = 140) were profiled using the Illumina HumanMethylation450BeadChip. Unsupervised modeling on a training set (n = 89) identified 2 molecular methylation subgroups of meningioma (MM) with significantly different recurrence-free survival (RFS) times between the groups: a prognostically unfavorable subgroup (MM-UNFAV) and a prognostically favorable subgroup (MM-FAV). This finding was validated in the remaining 51 samples and led to a baseline meningioma methylation classifier (bMMC) defined by 283 CpG loci (283-bMMC). To further optimize a recurrence predictor, probes subsumed within the baseline classifier were subject to additional modeling using a similar training/validation approach, leading to a 64-CpG loci meningioma methylation predictor (64-MMP). After adjustment for relevant clinical variables [WHO grade, mitotic index, Simpson grade, sex, location, and copy number aberrations (CNAs)] multivariable analyses for RFS showed that the baseline methylation classifier was not significant (p = 0.0793). The methylation predictor, however, was significantly associated with tumor recurrence (p &lt; 0.0001). CNAs were extracted from the 450k intensity profiles. Tumor samples in the MM-UNFAV subgroup showed an overall higher proportion of CNAs compared to the MM-FAV subgroup tumors and the CNAs were complex in nature. CNAs in the MM-UNFAV subgroup included recurrent losses of 1p, 6q, 14q and 18q, and gain of 1q, all of which were previously identified as indicators of poor outcome. In conclusion, our analyses demonstrate robust DNA methylation signatures in meningioma that correlate with CNAs and stratify patients by recurrence risk.","author":[{"dropping-particle":"","family":"Olar","given":"Adriana","non-dropping-particle":"","parse-names":false,"suffix":""},{"dropping-particle":"","family":"Wani","given":"Khalida M.","non-dropping-particle":"","parse-names":false,"suffix":""},{"dropping-particle":"","family":"Wilson","given":"Charmaine D.","non-dropping-particle":"","parse-names":false,"suffix":""},{"dropping-particle":"","family":"Zadeh","given":"Gelareh","non-dropping-particle":"","parse-names":false,"suffix":""},{"dropping-particle":"","family":"DeMonte","given":"Franco","non-dropping-particle":"","parse-names":false,"suffix":""},{"dropping-particle":"","family":"Jones","given":"David T.W.","non-dropping-particle":"","parse-names":false,"suffix":""},{"dropping-particle":"","family":"Pfister","given":"Stefan M.","non-dropping-particle":"","parse-names":false,"suffix":""},{"dropping-particle":"","family":"Sulman","given":"Erik P.","non-dropping-particle":"","parse-names":false,"suffix":""},{"dropping-particle":"","family":"Aldape","given":"Kenneth D.","non-dropping-particle":"","parse-names":false,"suffix":""}],"container-title":"Acta Neuropathologica","id":"ITEM-1","issue":"3","issued":{"date-parts":[["2017"]]},"page":"431-444","title":"Global epigenetic profiling identifies methylation subgroups associated with recurrence-free survival in meningioma","type":"article-journal","volume":"133"},"uris":["http://www.mendeley.com/documents/?uuid=b111c76e-f8e4-42d8-9fd2-23b50e32f97d"]}],"mendeley":{"formattedCitation":"&lt;sup&gt;24&lt;/sup&gt;","plainTextFormattedCitation":"24","previouslyFormattedCitation":"&lt;sup&gt;24&lt;/sup&gt;"},"properties":{"noteIndex":0},"schema":"https://github.com/citation-style-language/schema/raw/master/csl-citation.json"}</w:instrText>
            </w:r>
            <w:r>
              <w:rPr>
                <w:color w:val="000000"/>
                <w:sz w:val="18"/>
                <w:szCs w:val="18"/>
              </w:rPr>
              <w:fldChar w:fldCharType="separate"/>
            </w:r>
            <w:r w:rsidR="000F4EF5" w:rsidRPr="000F4EF5">
              <w:rPr>
                <w:noProof/>
                <w:color w:val="000000"/>
                <w:sz w:val="18"/>
                <w:szCs w:val="18"/>
                <w:vertAlign w:val="superscript"/>
              </w:rPr>
              <w:t>24</w:t>
            </w:r>
            <w:r>
              <w:rPr>
                <w:color w:val="000000"/>
                <w:sz w:val="18"/>
                <w:szCs w:val="18"/>
              </w:rPr>
              <w:fldChar w:fldCharType="end"/>
            </w:r>
          </w:p>
        </w:tc>
        <w:tc>
          <w:tcPr>
            <w:tcW w:w="1098" w:type="dxa"/>
            <w:tcBorders>
              <w:top w:val="nil"/>
              <w:left w:val="nil"/>
              <w:bottom w:val="single" w:sz="4" w:space="0" w:color="auto"/>
              <w:right w:val="single" w:sz="4" w:space="0" w:color="auto"/>
            </w:tcBorders>
            <w:shd w:val="clear" w:color="auto" w:fill="auto"/>
            <w:noWrap/>
            <w:vAlign w:val="bottom"/>
            <w:hideMark/>
          </w:tcPr>
          <w:p w14:paraId="21B6D66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1.11</w:t>
            </w:r>
          </w:p>
        </w:tc>
        <w:tc>
          <w:tcPr>
            <w:tcW w:w="1620" w:type="dxa"/>
            <w:tcBorders>
              <w:top w:val="nil"/>
              <w:left w:val="nil"/>
              <w:bottom w:val="single" w:sz="4" w:space="0" w:color="auto"/>
              <w:right w:val="single" w:sz="4" w:space="0" w:color="auto"/>
            </w:tcBorders>
            <w:shd w:val="clear" w:color="auto" w:fill="auto"/>
            <w:noWrap/>
            <w:vAlign w:val="bottom"/>
            <w:hideMark/>
          </w:tcPr>
          <w:p w14:paraId="7E4B8B9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0.95</w:t>
            </w:r>
          </w:p>
        </w:tc>
        <w:tc>
          <w:tcPr>
            <w:tcW w:w="1530" w:type="dxa"/>
            <w:tcBorders>
              <w:top w:val="nil"/>
              <w:left w:val="nil"/>
              <w:bottom w:val="single" w:sz="4" w:space="0" w:color="auto"/>
              <w:right w:val="single" w:sz="4" w:space="0" w:color="auto"/>
            </w:tcBorders>
            <w:shd w:val="clear" w:color="auto" w:fill="auto"/>
            <w:noWrap/>
            <w:vAlign w:val="bottom"/>
            <w:hideMark/>
          </w:tcPr>
          <w:p w14:paraId="3338560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1.30</w:t>
            </w:r>
          </w:p>
        </w:tc>
        <w:tc>
          <w:tcPr>
            <w:tcW w:w="1080" w:type="dxa"/>
            <w:tcBorders>
              <w:top w:val="nil"/>
              <w:left w:val="nil"/>
              <w:bottom w:val="single" w:sz="4" w:space="0" w:color="auto"/>
              <w:right w:val="single" w:sz="4" w:space="0" w:color="auto"/>
            </w:tcBorders>
            <w:shd w:val="clear" w:color="auto" w:fill="auto"/>
            <w:noWrap/>
            <w:vAlign w:val="bottom"/>
            <w:hideMark/>
          </w:tcPr>
          <w:p w14:paraId="13497A1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0.17615</w:t>
            </w:r>
          </w:p>
        </w:tc>
      </w:tr>
      <w:tr w:rsidR="0067349A" w:rsidRPr="00CE4E1F" w14:paraId="52372779"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3B742E0" w14:textId="4374CCE3"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2CD3E97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1.31</w:t>
            </w:r>
          </w:p>
        </w:tc>
        <w:tc>
          <w:tcPr>
            <w:tcW w:w="1620" w:type="dxa"/>
            <w:tcBorders>
              <w:top w:val="nil"/>
              <w:left w:val="nil"/>
              <w:bottom w:val="single" w:sz="4" w:space="0" w:color="auto"/>
              <w:right w:val="single" w:sz="4" w:space="0" w:color="auto"/>
            </w:tcBorders>
            <w:shd w:val="clear" w:color="auto" w:fill="auto"/>
            <w:noWrap/>
            <w:vAlign w:val="bottom"/>
            <w:hideMark/>
          </w:tcPr>
          <w:p w14:paraId="58B0DED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0.90</w:t>
            </w:r>
          </w:p>
        </w:tc>
        <w:tc>
          <w:tcPr>
            <w:tcW w:w="1530" w:type="dxa"/>
            <w:tcBorders>
              <w:top w:val="nil"/>
              <w:left w:val="nil"/>
              <w:bottom w:val="single" w:sz="4" w:space="0" w:color="auto"/>
              <w:right w:val="single" w:sz="4" w:space="0" w:color="auto"/>
            </w:tcBorders>
            <w:shd w:val="clear" w:color="auto" w:fill="auto"/>
            <w:noWrap/>
            <w:vAlign w:val="bottom"/>
            <w:hideMark/>
          </w:tcPr>
          <w:p w14:paraId="146198B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7F2BE68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0.1648</w:t>
            </w:r>
          </w:p>
        </w:tc>
      </w:tr>
      <w:tr w:rsidR="0067349A" w:rsidRPr="00CE4E1F" w14:paraId="32C9BBD1"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0F29D5C" w14:textId="72E5022B"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705F086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2.86</w:t>
            </w:r>
          </w:p>
        </w:tc>
        <w:tc>
          <w:tcPr>
            <w:tcW w:w="1620" w:type="dxa"/>
            <w:tcBorders>
              <w:top w:val="nil"/>
              <w:left w:val="nil"/>
              <w:bottom w:val="single" w:sz="4" w:space="0" w:color="auto"/>
              <w:right w:val="single" w:sz="4" w:space="0" w:color="auto"/>
            </w:tcBorders>
            <w:shd w:val="clear" w:color="auto" w:fill="auto"/>
            <w:noWrap/>
            <w:vAlign w:val="bottom"/>
            <w:hideMark/>
          </w:tcPr>
          <w:p w14:paraId="08D1FC1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1.83</w:t>
            </w:r>
          </w:p>
        </w:tc>
        <w:tc>
          <w:tcPr>
            <w:tcW w:w="1530" w:type="dxa"/>
            <w:tcBorders>
              <w:top w:val="nil"/>
              <w:left w:val="nil"/>
              <w:bottom w:val="single" w:sz="4" w:space="0" w:color="auto"/>
              <w:right w:val="single" w:sz="4" w:space="0" w:color="auto"/>
            </w:tcBorders>
            <w:shd w:val="clear" w:color="auto" w:fill="auto"/>
            <w:noWrap/>
            <w:vAlign w:val="bottom"/>
            <w:hideMark/>
          </w:tcPr>
          <w:p w14:paraId="7ABF9E8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4.47</w:t>
            </w:r>
          </w:p>
        </w:tc>
        <w:tc>
          <w:tcPr>
            <w:tcW w:w="1080" w:type="dxa"/>
            <w:tcBorders>
              <w:top w:val="nil"/>
              <w:left w:val="nil"/>
              <w:bottom w:val="single" w:sz="4" w:space="0" w:color="auto"/>
              <w:right w:val="single" w:sz="4" w:space="0" w:color="auto"/>
            </w:tcBorders>
            <w:shd w:val="clear" w:color="auto" w:fill="auto"/>
            <w:noWrap/>
            <w:vAlign w:val="bottom"/>
            <w:hideMark/>
          </w:tcPr>
          <w:p w14:paraId="2432253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4.22E-06</w:t>
            </w:r>
          </w:p>
        </w:tc>
      </w:tr>
      <w:tr w:rsidR="0067349A" w:rsidRPr="00CE4E1F" w14:paraId="64EBA91C"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C2AA0A9" w14:textId="5691266D"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5BFF4EE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1.25</w:t>
            </w:r>
          </w:p>
        </w:tc>
        <w:tc>
          <w:tcPr>
            <w:tcW w:w="1620" w:type="dxa"/>
            <w:tcBorders>
              <w:top w:val="nil"/>
              <w:left w:val="nil"/>
              <w:bottom w:val="single" w:sz="4" w:space="0" w:color="auto"/>
              <w:right w:val="single" w:sz="4" w:space="0" w:color="auto"/>
            </w:tcBorders>
            <w:shd w:val="clear" w:color="auto" w:fill="auto"/>
            <w:noWrap/>
            <w:vAlign w:val="bottom"/>
            <w:hideMark/>
          </w:tcPr>
          <w:p w14:paraId="6C82CCE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0.81</w:t>
            </w:r>
          </w:p>
        </w:tc>
        <w:tc>
          <w:tcPr>
            <w:tcW w:w="1530" w:type="dxa"/>
            <w:tcBorders>
              <w:top w:val="nil"/>
              <w:left w:val="nil"/>
              <w:bottom w:val="single" w:sz="4" w:space="0" w:color="auto"/>
              <w:right w:val="single" w:sz="4" w:space="0" w:color="auto"/>
            </w:tcBorders>
            <w:shd w:val="clear" w:color="auto" w:fill="auto"/>
            <w:noWrap/>
            <w:vAlign w:val="bottom"/>
            <w:hideMark/>
          </w:tcPr>
          <w:p w14:paraId="70FCCCF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1.95</w:t>
            </w:r>
          </w:p>
        </w:tc>
        <w:tc>
          <w:tcPr>
            <w:tcW w:w="1080" w:type="dxa"/>
            <w:tcBorders>
              <w:top w:val="nil"/>
              <w:left w:val="nil"/>
              <w:bottom w:val="single" w:sz="4" w:space="0" w:color="auto"/>
              <w:right w:val="single" w:sz="4" w:space="0" w:color="auto"/>
            </w:tcBorders>
            <w:shd w:val="clear" w:color="auto" w:fill="auto"/>
            <w:noWrap/>
            <w:vAlign w:val="bottom"/>
            <w:hideMark/>
          </w:tcPr>
          <w:p w14:paraId="2D4FAEA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0.31455</w:t>
            </w:r>
          </w:p>
        </w:tc>
      </w:tr>
      <w:tr w:rsidR="0067349A" w:rsidRPr="00CE4E1F" w14:paraId="305CF996"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84B07B1" w14:textId="197C18B7"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4B3A4A9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2.06</w:t>
            </w:r>
          </w:p>
        </w:tc>
        <w:tc>
          <w:tcPr>
            <w:tcW w:w="1620" w:type="dxa"/>
            <w:tcBorders>
              <w:top w:val="nil"/>
              <w:left w:val="nil"/>
              <w:bottom w:val="single" w:sz="4" w:space="0" w:color="auto"/>
              <w:right w:val="single" w:sz="4" w:space="0" w:color="auto"/>
            </w:tcBorders>
            <w:shd w:val="clear" w:color="auto" w:fill="auto"/>
            <w:noWrap/>
            <w:vAlign w:val="bottom"/>
            <w:hideMark/>
          </w:tcPr>
          <w:p w14:paraId="164BD41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1.27</w:t>
            </w:r>
          </w:p>
        </w:tc>
        <w:tc>
          <w:tcPr>
            <w:tcW w:w="1530" w:type="dxa"/>
            <w:tcBorders>
              <w:top w:val="nil"/>
              <w:left w:val="nil"/>
              <w:bottom w:val="single" w:sz="4" w:space="0" w:color="auto"/>
              <w:right w:val="single" w:sz="4" w:space="0" w:color="auto"/>
            </w:tcBorders>
            <w:shd w:val="clear" w:color="auto" w:fill="auto"/>
            <w:noWrap/>
            <w:vAlign w:val="bottom"/>
            <w:hideMark/>
          </w:tcPr>
          <w:p w14:paraId="7614B61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3.35</w:t>
            </w:r>
          </w:p>
        </w:tc>
        <w:tc>
          <w:tcPr>
            <w:tcW w:w="1080" w:type="dxa"/>
            <w:tcBorders>
              <w:top w:val="nil"/>
              <w:left w:val="nil"/>
              <w:bottom w:val="single" w:sz="4" w:space="0" w:color="auto"/>
              <w:right w:val="single" w:sz="4" w:space="0" w:color="auto"/>
            </w:tcBorders>
            <w:shd w:val="clear" w:color="auto" w:fill="auto"/>
            <w:noWrap/>
            <w:vAlign w:val="bottom"/>
            <w:hideMark/>
          </w:tcPr>
          <w:p w14:paraId="139AAFF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0.00366</w:t>
            </w:r>
          </w:p>
        </w:tc>
      </w:tr>
      <w:tr w:rsidR="0067349A" w:rsidRPr="00CE4E1F" w14:paraId="2AD8016E"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2AD7EFD" w14:textId="48CCD449"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1572DF2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72E6FC8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2272DDC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2BB3C6A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7B786C30"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843227D" w14:textId="74F8CA03"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7, N=452</w:t>
            </w:r>
          </w:p>
        </w:tc>
        <w:tc>
          <w:tcPr>
            <w:tcW w:w="1098" w:type="dxa"/>
            <w:tcBorders>
              <w:top w:val="nil"/>
              <w:left w:val="nil"/>
              <w:bottom w:val="single" w:sz="4" w:space="0" w:color="auto"/>
              <w:right w:val="single" w:sz="4" w:space="0" w:color="auto"/>
            </w:tcBorders>
            <w:shd w:val="clear" w:color="auto" w:fill="auto"/>
            <w:noWrap/>
            <w:vAlign w:val="bottom"/>
            <w:hideMark/>
          </w:tcPr>
          <w:p w14:paraId="28B08C3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17FF592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3A0C9BE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C5486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62E35456"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56B2325" w14:textId="076AB899"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5E9F779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1.49</w:t>
            </w:r>
          </w:p>
        </w:tc>
        <w:tc>
          <w:tcPr>
            <w:tcW w:w="1620" w:type="dxa"/>
            <w:tcBorders>
              <w:top w:val="nil"/>
              <w:left w:val="nil"/>
              <w:bottom w:val="single" w:sz="4" w:space="0" w:color="auto"/>
              <w:right w:val="single" w:sz="4" w:space="0" w:color="auto"/>
            </w:tcBorders>
            <w:shd w:val="clear" w:color="auto" w:fill="auto"/>
            <w:noWrap/>
            <w:vAlign w:val="bottom"/>
            <w:hideMark/>
          </w:tcPr>
          <w:p w14:paraId="26BC18D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1.27</w:t>
            </w:r>
          </w:p>
        </w:tc>
        <w:tc>
          <w:tcPr>
            <w:tcW w:w="1530" w:type="dxa"/>
            <w:tcBorders>
              <w:top w:val="nil"/>
              <w:left w:val="nil"/>
              <w:bottom w:val="single" w:sz="4" w:space="0" w:color="auto"/>
              <w:right w:val="single" w:sz="4" w:space="0" w:color="auto"/>
            </w:tcBorders>
            <w:shd w:val="clear" w:color="auto" w:fill="auto"/>
            <w:noWrap/>
            <w:vAlign w:val="bottom"/>
            <w:hideMark/>
          </w:tcPr>
          <w:p w14:paraId="1911343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1.75</w:t>
            </w:r>
          </w:p>
        </w:tc>
        <w:tc>
          <w:tcPr>
            <w:tcW w:w="1080" w:type="dxa"/>
            <w:tcBorders>
              <w:top w:val="nil"/>
              <w:left w:val="nil"/>
              <w:bottom w:val="single" w:sz="4" w:space="0" w:color="auto"/>
              <w:right w:val="single" w:sz="4" w:space="0" w:color="auto"/>
            </w:tcBorders>
            <w:shd w:val="clear" w:color="auto" w:fill="auto"/>
            <w:noWrap/>
            <w:vAlign w:val="bottom"/>
            <w:hideMark/>
          </w:tcPr>
          <w:p w14:paraId="440DDCF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6.72E-07</w:t>
            </w:r>
          </w:p>
        </w:tc>
      </w:tr>
      <w:tr w:rsidR="0067349A" w:rsidRPr="00CE4E1F" w14:paraId="12B77590"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78250D0" w14:textId="24388174" w:rsidR="0067349A" w:rsidRDefault="0067349A" w:rsidP="00742F09">
            <w:pPr>
              <w:spacing w:line="360" w:lineRule="auto"/>
              <w:contextualSpacing/>
              <w:jc w:val="both"/>
              <w:rPr>
                <w:color w:val="000000"/>
                <w:sz w:val="18"/>
                <w:szCs w:val="18"/>
              </w:rPr>
            </w:pPr>
            <w:r>
              <w:rPr>
                <w:color w:val="000000"/>
                <w:sz w:val="18"/>
                <w:szCs w:val="18"/>
              </w:rPr>
              <w:t>DNA methylation groups</w:t>
            </w:r>
            <w:r>
              <w:rPr>
                <w:color w:val="000000"/>
                <w:sz w:val="18"/>
                <w:szCs w:val="18"/>
              </w:rPr>
              <w:fldChar w:fldCharType="begin" w:fldLock="1"/>
            </w:r>
            <w:r>
              <w:rPr>
                <w:color w:val="000000"/>
                <w:sz w:val="18"/>
                <w:szCs w:val="18"/>
              </w:rPr>
              <w:instrText>ADDIN CSL_CITATION {"citationItems":[{"id":"ITEM-1","itemData":{"DOI":"10.1038/s41588-022-01061-8","ISSN":"15461718","PMID":"35534562","abstract":"Meningiomas are the most common primary intracranial tumors. There are no effective medical therapies for meningioma patients, and new treatments have been encumbered by limited understanding of meningioma biology. Here, we use DNA methylation profiling on 565 meningiomas integrated with genetic, transcriptomic, biochemical, proteomic and single-cell approaches to show meningiomas are composed of three DNA methylation groups with distinct clinical outcomes, biological drivers and therapeutic vulnerabilities. Merlin-intact meningiomas (34%) have the best outcomes and are distinguished by NF2/Merlin regulation of susceptibility to cytotoxic therapy. Immune-enriched meningiomas (38%) have intermediate outcomes and are distinguished by immune infiltration, HLA expression and lymphatic vessels. Hypermitotic meningiomas (28%) have the worst outcomes and are distinguished by convergent genetic and epigenetic mechanisms driving the cell cycle and resistance to cytotoxic therapy. To translate these findings into clinical practice, we show cytostatic cell cycle inhibitors attenuate meningioma growth in cell culture, organoids, xenografts and patients.","author":[{"dropping-particle":"","family":"Choudhury","given":"Abrar","non-dropping-particle":"","parse-names":false,"suffix":""},{"dropping-particle":"","family":"Magill","given":"Stephen T.","non-dropping-particle":"","parse-names":false,"suffix":""},{"dropping-particle":"","family":"Eaton","given":"Charlotte D.","non-dropping-particle":"","parse-names":false,"suffix":""},{"dropping-particle":"","family":"Prager","given":"Briana C.","non-dropping-particle":"","parse-names":false,"suffix":""},{"dropping-particle":"","family":"Chen","given":"William C.","non-dropping-particle":"","parse-names":false,"suffix":""},{"dropping-particle":"","family":"Cady","given":"Martha A.","non-dropping-particle":"","parse-names":false,"suffix":""},{"dropping-particle":"","family":"Seo","given":"Kyounghee","non-dropping-particle":"","parse-names":false,"suffix":""},{"dropping-particle":"","family":"Lucas","given":"Calixto Hope G.","non-dropping-particle":"","parse-names":false,"suffix":""},{"dropping-particle":"","family":"Casey-Clyde","given":"Tim J.","non-dropping-particle":"","parse-names":false,"suffix":""},{"dropping-particle":"","family":"Vasudevan","given":"Harish N.","non-dropping-particle":"","parse-names":false,"suffix":""},{"dropping-particle":"","family":"Liu","given":"S. John","non-dropping-particle":"","parse-names":false,"suffix":""},{"dropping-particle":"","family":"Villanueva-Meyer","given":"Javier E.","non-dropping-particle":"","parse-names":false,"suffix":""},{"dropping-particle":"","family":"Lam","given":"Tai Chung","non-dropping-particle":"","parse-names":false,"suffix":""},{"dropping-particle":"","family":"Pu","given":"Jenny Kan Suen","non-dropping-particle":"","parse-names":false,"suffix":""},{"dropping-particle":"","family":"Li","given":"Lai Fung","non-dropping-particle":"","parse-names":false,"suffix":""},{"dropping-particle":"","family":"Leung","given":"Gilberto Ka Kit","non-dropping-particle":"","parse-names":false,"suffix":""},{"dropping-particle":"","family":"Swaney","given":"Danielle L.","non-dropping-particle":"","parse-names":false,"suffix":""},{"dropping-particle":"","family":"Zhang","given":"Michael Y.","non-dropping-particle":"","parse-names":false,"suffix":""},{"dropping-particle":"","family":"Chan","given":"Jason W.","non-dropping-particle":"","parse-names":false,"suffix":""},{"dropping-particle":"","family":"Qiu","given":"Zhixin","non-dropping-particle":"","parse-names":false,"suffix":""},{"dropping-particle":"V.","family":"Martin","given":"Michael","non-dropping-particle":"","parse-names":false,"suffix":""},{"dropping-particle":"","family":"Susko","given":"Matthew S.","non-dropping-particle":"","parse-names":false,"suffix":""},{"dropping-particle":"","family":"Braunstein","given":"Steve E.","non-dropping-particle":"","parse-names":false,"suffix":""},{"dropping-particle":"","family":"Bush","given":"Nancy Ann Oberheim","non-dropping-particle":"","parse-names":false,"suffix":""},{"dropping-particle":"","family":"Schulte","given":"Jessica D.","non-dropping-particle":"","parse-names":false,"suffix":""},{"dropping-particle":"","family":"Butowski","given":"Nicholas","non-dropping-particle":"","parse-names":false,"suffix":""},{"dropping-particle":"","family":"Sneed","given":"Penny K.","non-dropping-particle":"","parse-names":false,"suffix":""},{"dropping-particle":"","family":"Berger","given":"Mitchel S.","non-dropping-particle":"","parse-names":false,"suffix":""},{"dropping-particle":"","family":"Krogan","given":"Nevan J.","non-dropping-particle":"","parse-names":false,"suffix":""},{"dropping-particle":"","family":"Perry","given":"Arie","non-dropping-particle":"","parse-names":false,"suffix":""},{"dropping-particle":"","family":"Phillips","given":"Joanna J.","non-dropping-particle":"","parse-names":false,"suffix":""},{"dropping-particle":"","family":"Solomon","given":"David A.","non-dropping-particle":"","parse-names":false,"suffix":""},{"dropping-particle":"","family":"Costello","given":"Joseph F.","non-dropping-particle":"","parse-names":false,"suffix":""},{"dropping-particle":"","family":"McDermott","given":"Michael W.","non-dropping-particle":"","parse-names":false,"suffix":""},{"dropping-particle":"","family":"Rich","given":"Jeremy N.","non-dropping-particle":"","parse-names":false,"suffix":""},{"dropping-particle":"","family":"Raleigh","given":"David R.","non-dropping-particle":"","parse-names":false,"suffix":""}],"container-title":"Nature Genetics","id":"ITEM-1","issue":"5","issued":{"date-parts":[["2022","5","9"]]},"page":"649-659","title":"Meningioma DNA methylation groups identify biological drivers and therapeutic vulnerabilities","type":"article-journal","volume":"54"},"uris":["http://www.mendeley.com/documents/?uuid=703cdae5-1236-49c4-bdb8-590c06b07bcf"]}],"mendeley":{"formattedCitation":"&lt;sup&gt;1&lt;/sup&gt;","plainTextFormattedCitation":"1","previouslyFormattedCitation":"&lt;sup&gt;1&lt;/sup&gt;"},"properties":{"noteIndex":0},"schema":"https://github.com/citation-style-language/schema/raw/master/csl-citation.json"}</w:instrText>
            </w:r>
            <w:r>
              <w:rPr>
                <w:color w:val="000000"/>
                <w:sz w:val="18"/>
                <w:szCs w:val="18"/>
              </w:rPr>
              <w:fldChar w:fldCharType="separate"/>
            </w:r>
            <w:r w:rsidRPr="003C7905">
              <w:rPr>
                <w:noProof/>
                <w:color w:val="000000"/>
                <w:sz w:val="18"/>
                <w:szCs w:val="18"/>
                <w:vertAlign w:val="superscript"/>
              </w:rPr>
              <w:t>1</w:t>
            </w:r>
            <w:r>
              <w:rPr>
                <w:color w:val="000000"/>
                <w:sz w:val="18"/>
                <w:szCs w:val="18"/>
              </w:rPr>
              <w:fldChar w:fldCharType="end"/>
            </w:r>
            <w:r>
              <w:rPr>
                <w:color w:val="000000"/>
                <w:sz w:val="18"/>
                <w:szCs w:val="18"/>
              </w:rPr>
              <w:t xml:space="preserve"> (</w:t>
            </w:r>
            <w:r w:rsidRPr="00CE4E1F">
              <w:rPr>
                <w:color w:val="000000"/>
                <w:sz w:val="18"/>
                <w:szCs w:val="18"/>
              </w:rPr>
              <w:t>Immune-enriched vs Merlin-intact</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6C09A80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0.65</w:t>
            </w:r>
          </w:p>
        </w:tc>
        <w:tc>
          <w:tcPr>
            <w:tcW w:w="1620" w:type="dxa"/>
            <w:tcBorders>
              <w:top w:val="nil"/>
              <w:left w:val="nil"/>
              <w:bottom w:val="single" w:sz="4" w:space="0" w:color="auto"/>
              <w:right w:val="single" w:sz="4" w:space="0" w:color="auto"/>
            </w:tcBorders>
            <w:shd w:val="clear" w:color="auto" w:fill="auto"/>
            <w:noWrap/>
            <w:vAlign w:val="bottom"/>
            <w:hideMark/>
          </w:tcPr>
          <w:p w14:paraId="497F72F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0.41</w:t>
            </w:r>
          </w:p>
        </w:tc>
        <w:tc>
          <w:tcPr>
            <w:tcW w:w="1530" w:type="dxa"/>
            <w:tcBorders>
              <w:top w:val="nil"/>
              <w:left w:val="nil"/>
              <w:bottom w:val="single" w:sz="4" w:space="0" w:color="auto"/>
              <w:right w:val="single" w:sz="4" w:space="0" w:color="auto"/>
            </w:tcBorders>
            <w:shd w:val="clear" w:color="auto" w:fill="auto"/>
            <w:noWrap/>
            <w:vAlign w:val="bottom"/>
            <w:hideMark/>
          </w:tcPr>
          <w:p w14:paraId="396AAC4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1.03</w:t>
            </w:r>
          </w:p>
        </w:tc>
        <w:tc>
          <w:tcPr>
            <w:tcW w:w="1080" w:type="dxa"/>
            <w:tcBorders>
              <w:top w:val="nil"/>
              <w:left w:val="nil"/>
              <w:bottom w:val="single" w:sz="4" w:space="0" w:color="auto"/>
              <w:right w:val="single" w:sz="4" w:space="0" w:color="auto"/>
            </w:tcBorders>
            <w:shd w:val="clear" w:color="auto" w:fill="auto"/>
            <w:noWrap/>
            <w:vAlign w:val="bottom"/>
            <w:hideMark/>
          </w:tcPr>
          <w:p w14:paraId="4C5FCFE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0.0659</w:t>
            </w:r>
          </w:p>
        </w:tc>
      </w:tr>
      <w:tr w:rsidR="0067349A" w:rsidRPr="00CE4E1F" w14:paraId="0A4A3B50"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9D1E946" w14:textId="26CAF7A3" w:rsidR="0067349A" w:rsidRDefault="0067349A" w:rsidP="00742F09">
            <w:pPr>
              <w:spacing w:line="360" w:lineRule="auto"/>
              <w:contextualSpacing/>
              <w:jc w:val="both"/>
              <w:rPr>
                <w:color w:val="000000"/>
                <w:sz w:val="18"/>
                <w:szCs w:val="18"/>
              </w:rPr>
            </w:pPr>
            <w:r>
              <w:rPr>
                <w:color w:val="000000"/>
                <w:sz w:val="18"/>
                <w:szCs w:val="18"/>
              </w:rPr>
              <w:t>DNA methylation groups (</w:t>
            </w:r>
            <w:r w:rsidRPr="00CE4E1F">
              <w:rPr>
                <w:color w:val="000000"/>
                <w:sz w:val="18"/>
                <w:szCs w:val="18"/>
              </w:rPr>
              <w:t>Hypermitotic vs Merlin-intact</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7A8F2AD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0.83</w:t>
            </w:r>
          </w:p>
        </w:tc>
        <w:tc>
          <w:tcPr>
            <w:tcW w:w="1620" w:type="dxa"/>
            <w:tcBorders>
              <w:top w:val="nil"/>
              <w:left w:val="nil"/>
              <w:bottom w:val="single" w:sz="4" w:space="0" w:color="auto"/>
              <w:right w:val="single" w:sz="4" w:space="0" w:color="auto"/>
            </w:tcBorders>
            <w:shd w:val="clear" w:color="auto" w:fill="auto"/>
            <w:noWrap/>
            <w:vAlign w:val="bottom"/>
            <w:hideMark/>
          </w:tcPr>
          <w:p w14:paraId="616AB16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0.46</w:t>
            </w:r>
          </w:p>
        </w:tc>
        <w:tc>
          <w:tcPr>
            <w:tcW w:w="1530" w:type="dxa"/>
            <w:tcBorders>
              <w:top w:val="nil"/>
              <w:left w:val="nil"/>
              <w:bottom w:val="single" w:sz="4" w:space="0" w:color="auto"/>
              <w:right w:val="single" w:sz="4" w:space="0" w:color="auto"/>
            </w:tcBorders>
            <w:shd w:val="clear" w:color="auto" w:fill="auto"/>
            <w:noWrap/>
            <w:vAlign w:val="bottom"/>
            <w:hideMark/>
          </w:tcPr>
          <w:p w14:paraId="5525753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190FB2C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0.52353</w:t>
            </w:r>
          </w:p>
        </w:tc>
      </w:tr>
      <w:tr w:rsidR="0067349A" w:rsidRPr="00CE4E1F" w14:paraId="4F28D291"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26A110B" w14:textId="538B0068"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02AF32B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1.36</w:t>
            </w:r>
          </w:p>
        </w:tc>
        <w:tc>
          <w:tcPr>
            <w:tcW w:w="1620" w:type="dxa"/>
            <w:tcBorders>
              <w:top w:val="nil"/>
              <w:left w:val="nil"/>
              <w:bottom w:val="single" w:sz="4" w:space="0" w:color="auto"/>
              <w:right w:val="single" w:sz="4" w:space="0" w:color="auto"/>
            </w:tcBorders>
            <w:shd w:val="clear" w:color="auto" w:fill="auto"/>
            <w:noWrap/>
            <w:vAlign w:val="bottom"/>
            <w:hideMark/>
          </w:tcPr>
          <w:p w14:paraId="163951A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0.93</w:t>
            </w:r>
          </w:p>
        </w:tc>
        <w:tc>
          <w:tcPr>
            <w:tcW w:w="1530" w:type="dxa"/>
            <w:tcBorders>
              <w:top w:val="nil"/>
              <w:left w:val="nil"/>
              <w:bottom w:val="single" w:sz="4" w:space="0" w:color="auto"/>
              <w:right w:val="single" w:sz="4" w:space="0" w:color="auto"/>
            </w:tcBorders>
            <w:shd w:val="clear" w:color="auto" w:fill="auto"/>
            <w:noWrap/>
            <w:vAlign w:val="bottom"/>
            <w:hideMark/>
          </w:tcPr>
          <w:p w14:paraId="2FFF205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1.99</w:t>
            </w:r>
          </w:p>
        </w:tc>
        <w:tc>
          <w:tcPr>
            <w:tcW w:w="1080" w:type="dxa"/>
            <w:tcBorders>
              <w:top w:val="nil"/>
              <w:left w:val="nil"/>
              <w:bottom w:val="single" w:sz="4" w:space="0" w:color="auto"/>
              <w:right w:val="single" w:sz="4" w:space="0" w:color="auto"/>
            </w:tcBorders>
            <w:shd w:val="clear" w:color="auto" w:fill="auto"/>
            <w:noWrap/>
            <w:vAlign w:val="bottom"/>
            <w:hideMark/>
          </w:tcPr>
          <w:p w14:paraId="698930F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0.1089</w:t>
            </w:r>
          </w:p>
        </w:tc>
      </w:tr>
      <w:tr w:rsidR="0067349A" w:rsidRPr="00CE4E1F" w14:paraId="2F838DAB"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B1388E9" w14:textId="169B679B"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11E4727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2.89</w:t>
            </w:r>
          </w:p>
        </w:tc>
        <w:tc>
          <w:tcPr>
            <w:tcW w:w="1620" w:type="dxa"/>
            <w:tcBorders>
              <w:top w:val="nil"/>
              <w:left w:val="nil"/>
              <w:bottom w:val="single" w:sz="4" w:space="0" w:color="auto"/>
              <w:right w:val="single" w:sz="4" w:space="0" w:color="auto"/>
            </w:tcBorders>
            <w:shd w:val="clear" w:color="auto" w:fill="auto"/>
            <w:noWrap/>
            <w:vAlign w:val="bottom"/>
            <w:hideMark/>
          </w:tcPr>
          <w:p w14:paraId="0406E75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1.85</w:t>
            </w:r>
          </w:p>
        </w:tc>
        <w:tc>
          <w:tcPr>
            <w:tcW w:w="1530" w:type="dxa"/>
            <w:tcBorders>
              <w:top w:val="nil"/>
              <w:left w:val="nil"/>
              <w:bottom w:val="single" w:sz="4" w:space="0" w:color="auto"/>
              <w:right w:val="single" w:sz="4" w:space="0" w:color="auto"/>
            </w:tcBorders>
            <w:shd w:val="clear" w:color="auto" w:fill="auto"/>
            <w:noWrap/>
            <w:vAlign w:val="bottom"/>
            <w:hideMark/>
          </w:tcPr>
          <w:p w14:paraId="17E6A8D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4.52</w:t>
            </w:r>
          </w:p>
        </w:tc>
        <w:tc>
          <w:tcPr>
            <w:tcW w:w="1080" w:type="dxa"/>
            <w:tcBorders>
              <w:top w:val="nil"/>
              <w:left w:val="nil"/>
              <w:bottom w:val="single" w:sz="4" w:space="0" w:color="auto"/>
              <w:right w:val="single" w:sz="4" w:space="0" w:color="auto"/>
            </w:tcBorders>
            <w:shd w:val="clear" w:color="auto" w:fill="auto"/>
            <w:noWrap/>
            <w:vAlign w:val="bottom"/>
            <w:hideMark/>
          </w:tcPr>
          <w:p w14:paraId="06E8E41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2.90E-06</w:t>
            </w:r>
          </w:p>
        </w:tc>
      </w:tr>
      <w:tr w:rsidR="0067349A" w:rsidRPr="00CE4E1F" w14:paraId="59306ECA"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A044F0F" w14:textId="62E26645"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49B6106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1.19</w:t>
            </w:r>
          </w:p>
        </w:tc>
        <w:tc>
          <w:tcPr>
            <w:tcW w:w="1620" w:type="dxa"/>
            <w:tcBorders>
              <w:top w:val="nil"/>
              <w:left w:val="nil"/>
              <w:bottom w:val="single" w:sz="4" w:space="0" w:color="auto"/>
              <w:right w:val="single" w:sz="4" w:space="0" w:color="auto"/>
            </w:tcBorders>
            <w:shd w:val="clear" w:color="auto" w:fill="auto"/>
            <w:noWrap/>
            <w:vAlign w:val="bottom"/>
            <w:hideMark/>
          </w:tcPr>
          <w:p w14:paraId="689FA4D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0.76</w:t>
            </w:r>
          </w:p>
        </w:tc>
        <w:tc>
          <w:tcPr>
            <w:tcW w:w="1530" w:type="dxa"/>
            <w:tcBorders>
              <w:top w:val="nil"/>
              <w:left w:val="nil"/>
              <w:bottom w:val="single" w:sz="4" w:space="0" w:color="auto"/>
              <w:right w:val="single" w:sz="4" w:space="0" w:color="auto"/>
            </w:tcBorders>
            <w:shd w:val="clear" w:color="auto" w:fill="auto"/>
            <w:noWrap/>
            <w:vAlign w:val="bottom"/>
            <w:hideMark/>
          </w:tcPr>
          <w:p w14:paraId="4F82D39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1.84</w:t>
            </w:r>
          </w:p>
        </w:tc>
        <w:tc>
          <w:tcPr>
            <w:tcW w:w="1080" w:type="dxa"/>
            <w:tcBorders>
              <w:top w:val="nil"/>
              <w:left w:val="nil"/>
              <w:bottom w:val="single" w:sz="4" w:space="0" w:color="auto"/>
              <w:right w:val="single" w:sz="4" w:space="0" w:color="auto"/>
            </w:tcBorders>
            <w:shd w:val="clear" w:color="auto" w:fill="auto"/>
            <w:noWrap/>
            <w:vAlign w:val="bottom"/>
            <w:hideMark/>
          </w:tcPr>
          <w:p w14:paraId="68FD519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0.45179</w:t>
            </w:r>
          </w:p>
        </w:tc>
      </w:tr>
      <w:tr w:rsidR="0067349A" w:rsidRPr="00CE4E1F" w14:paraId="60609F1D"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DD05895" w14:textId="227A516A"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3C39AA7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2.21</w:t>
            </w:r>
          </w:p>
        </w:tc>
        <w:tc>
          <w:tcPr>
            <w:tcW w:w="1620" w:type="dxa"/>
            <w:tcBorders>
              <w:top w:val="nil"/>
              <w:left w:val="nil"/>
              <w:bottom w:val="single" w:sz="4" w:space="0" w:color="auto"/>
              <w:right w:val="single" w:sz="4" w:space="0" w:color="auto"/>
            </w:tcBorders>
            <w:shd w:val="clear" w:color="auto" w:fill="auto"/>
            <w:noWrap/>
            <w:vAlign w:val="bottom"/>
            <w:hideMark/>
          </w:tcPr>
          <w:p w14:paraId="0B4EAFA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1.37</w:t>
            </w:r>
          </w:p>
        </w:tc>
        <w:tc>
          <w:tcPr>
            <w:tcW w:w="1530" w:type="dxa"/>
            <w:tcBorders>
              <w:top w:val="nil"/>
              <w:left w:val="nil"/>
              <w:bottom w:val="single" w:sz="4" w:space="0" w:color="auto"/>
              <w:right w:val="single" w:sz="4" w:space="0" w:color="auto"/>
            </w:tcBorders>
            <w:shd w:val="clear" w:color="auto" w:fill="auto"/>
            <w:noWrap/>
            <w:vAlign w:val="bottom"/>
            <w:hideMark/>
          </w:tcPr>
          <w:p w14:paraId="64B5EB5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3.59</w:t>
            </w:r>
          </w:p>
        </w:tc>
        <w:tc>
          <w:tcPr>
            <w:tcW w:w="1080" w:type="dxa"/>
            <w:tcBorders>
              <w:top w:val="nil"/>
              <w:left w:val="nil"/>
              <w:bottom w:val="single" w:sz="4" w:space="0" w:color="auto"/>
              <w:right w:val="single" w:sz="4" w:space="0" w:color="auto"/>
            </w:tcBorders>
            <w:shd w:val="clear" w:color="auto" w:fill="auto"/>
            <w:noWrap/>
            <w:vAlign w:val="bottom"/>
            <w:hideMark/>
          </w:tcPr>
          <w:p w14:paraId="3211651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0.00126</w:t>
            </w:r>
          </w:p>
        </w:tc>
      </w:tr>
      <w:tr w:rsidR="0067349A" w:rsidRPr="00CE4E1F" w14:paraId="76A81050"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3E64DCD" w14:textId="49921C02"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21D220D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154343E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5090E6A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61EDB0E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0965AD50"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D805425" w14:textId="05496407"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8, N=452</w:t>
            </w:r>
          </w:p>
        </w:tc>
        <w:tc>
          <w:tcPr>
            <w:tcW w:w="1098" w:type="dxa"/>
            <w:tcBorders>
              <w:top w:val="nil"/>
              <w:left w:val="nil"/>
              <w:bottom w:val="single" w:sz="4" w:space="0" w:color="auto"/>
              <w:right w:val="single" w:sz="4" w:space="0" w:color="auto"/>
            </w:tcBorders>
            <w:shd w:val="clear" w:color="auto" w:fill="auto"/>
            <w:noWrap/>
            <w:vAlign w:val="bottom"/>
            <w:hideMark/>
          </w:tcPr>
          <w:p w14:paraId="556987D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4C8E15A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01E0B45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2473CBF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67656101"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1524A073" w14:textId="6B8F1836"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24FD5FD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1.43</w:t>
            </w:r>
          </w:p>
        </w:tc>
        <w:tc>
          <w:tcPr>
            <w:tcW w:w="1620" w:type="dxa"/>
            <w:tcBorders>
              <w:top w:val="nil"/>
              <w:left w:val="nil"/>
              <w:bottom w:val="single" w:sz="4" w:space="0" w:color="auto"/>
              <w:right w:val="single" w:sz="4" w:space="0" w:color="auto"/>
            </w:tcBorders>
            <w:shd w:val="clear" w:color="auto" w:fill="auto"/>
            <w:noWrap/>
            <w:vAlign w:val="bottom"/>
            <w:hideMark/>
          </w:tcPr>
          <w:p w14:paraId="2751B8F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1.21</w:t>
            </w:r>
          </w:p>
        </w:tc>
        <w:tc>
          <w:tcPr>
            <w:tcW w:w="1530" w:type="dxa"/>
            <w:tcBorders>
              <w:top w:val="nil"/>
              <w:left w:val="nil"/>
              <w:bottom w:val="single" w:sz="4" w:space="0" w:color="auto"/>
              <w:right w:val="single" w:sz="4" w:space="0" w:color="auto"/>
            </w:tcBorders>
            <w:shd w:val="clear" w:color="auto" w:fill="auto"/>
            <w:noWrap/>
            <w:vAlign w:val="bottom"/>
            <w:hideMark/>
          </w:tcPr>
          <w:p w14:paraId="0531554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1.70</w:t>
            </w:r>
          </w:p>
        </w:tc>
        <w:tc>
          <w:tcPr>
            <w:tcW w:w="1080" w:type="dxa"/>
            <w:tcBorders>
              <w:top w:val="nil"/>
              <w:left w:val="nil"/>
              <w:bottom w:val="single" w:sz="4" w:space="0" w:color="auto"/>
              <w:right w:val="single" w:sz="4" w:space="0" w:color="auto"/>
            </w:tcBorders>
            <w:shd w:val="clear" w:color="auto" w:fill="auto"/>
            <w:noWrap/>
            <w:vAlign w:val="bottom"/>
            <w:hideMark/>
          </w:tcPr>
          <w:p w14:paraId="50A1B9E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3.53E-05</w:t>
            </w:r>
          </w:p>
        </w:tc>
      </w:tr>
      <w:tr w:rsidR="0067349A" w:rsidRPr="00CE4E1F" w14:paraId="26F5AB1D"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8E212D6" w14:textId="6BA0CE3E" w:rsidR="0067349A" w:rsidRDefault="0067349A" w:rsidP="00742F09">
            <w:pPr>
              <w:spacing w:line="360" w:lineRule="auto"/>
              <w:contextualSpacing/>
              <w:jc w:val="both"/>
              <w:rPr>
                <w:color w:val="000000"/>
                <w:sz w:val="18"/>
                <w:szCs w:val="18"/>
              </w:rPr>
            </w:pPr>
            <w:r>
              <w:rPr>
                <w:color w:val="000000"/>
                <w:sz w:val="18"/>
                <w:szCs w:val="18"/>
              </w:rPr>
              <w:t>DNA methylation groups (</w:t>
            </w:r>
            <w:r w:rsidRPr="00CE4E1F">
              <w:rPr>
                <w:color w:val="000000"/>
                <w:sz w:val="18"/>
                <w:szCs w:val="18"/>
              </w:rPr>
              <w:t>Immune-enriched vs Merlin-intact</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43DE3BB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0.79</w:t>
            </w:r>
          </w:p>
        </w:tc>
        <w:tc>
          <w:tcPr>
            <w:tcW w:w="1620" w:type="dxa"/>
            <w:tcBorders>
              <w:top w:val="nil"/>
              <w:left w:val="nil"/>
              <w:bottom w:val="single" w:sz="4" w:space="0" w:color="auto"/>
              <w:right w:val="single" w:sz="4" w:space="0" w:color="auto"/>
            </w:tcBorders>
            <w:shd w:val="clear" w:color="auto" w:fill="auto"/>
            <w:noWrap/>
            <w:vAlign w:val="bottom"/>
            <w:hideMark/>
          </w:tcPr>
          <w:p w14:paraId="3FA66E6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0.48</w:t>
            </w:r>
          </w:p>
        </w:tc>
        <w:tc>
          <w:tcPr>
            <w:tcW w:w="1530" w:type="dxa"/>
            <w:tcBorders>
              <w:top w:val="nil"/>
              <w:left w:val="nil"/>
              <w:bottom w:val="single" w:sz="4" w:space="0" w:color="auto"/>
              <w:right w:val="single" w:sz="4" w:space="0" w:color="auto"/>
            </w:tcBorders>
            <w:shd w:val="clear" w:color="auto" w:fill="auto"/>
            <w:noWrap/>
            <w:vAlign w:val="bottom"/>
            <w:hideMark/>
          </w:tcPr>
          <w:p w14:paraId="6EE5DD0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1.29</w:t>
            </w:r>
          </w:p>
        </w:tc>
        <w:tc>
          <w:tcPr>
            <w:tcW w:w="1080" w:type="dxa"/>
            <w:tcBorders>
              <w:top w:val="nil"/>
              <w:left w:val="nil"/>
              <w:bottom w:val="single" w:sz="4" w:space="0" w:color="auto"/>
              <w:right w:val="single" w:sz="4" w:space="0" w:color="auto"/>
            </w:tcBorders>
            <w:shd w:val="clear" w:color="auto" w:fill="auto"/>
            <w:noWrap/>
            <w:vAlign w:val="bottom"/>
            <w:hideMark/>
          </w:tcPr>
          <w:p w14:paraId="035D223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0.340335</w:t>
            </w:r>
          </w:p>
        </w:tc>
      </w:tr>
      <w:tr w:rsidR="0067349A" w:rsidRPr="00CE4E1F" w14:paraId="25822C23"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85F35EA" w14:textId="494CCAA2" w:rsidR="0067349A" w:rsidRDefault="0067349A" w:rsidP="00742F09">
            <w:pPr>
              <w:spacing w:line="360" w:lineRule="auto"/>
              <w:contextualSpacing/>
              <w:jc w:val="both"/>
              <w:rPr>
                <w:color w:val="000000"/>
                <w:sz w:val="18"/>
                <w:szCs w:val="18"/>
              </w:rPr>
            </w:pPr>
            <w:r>
              <w:rPr>
                <w:color w:val="000000"/>
                <w:sz w:val="18"/>
                <w:szCs w:val="18"/>
              </w:rPr>
              <w:t>DNA methylation subgroups</w:t>
            </w:r>
            <w:r>
              <w:rPr>
                <w:color w:val="000000"/>
                <w:sz w:val="18"/>
                <w:szCs w:val="18"/>
              </w:rPr>
              <w:fldChar w:fldCharType="begin" w:fldLock="1"/>
            </w:r>
            <w:r w:rsidR="000F4EF5">
              <w:rPr>
                <w:color w:val="000000"/>
                <w:sz w:val="18"/>
                <w:szCs w:val="18"/>
              </w:rPr>
              <w:instrText>ADDIN CSL_CITATION {"citationItems":[{"id":"ITEM-1","itemData":{"DOI":"10.1093/neuonc/noac224","ISSN":"1523-5866","PMID":"36227281","abstract":"BACKGROUND Meningiomas, the most common primary intracranial tumors, can be separated into 3 DNA methylation groups with distinct biological drivers, clinical outcomes, and therapeutic vulnerabilities. Alternative meningioma grouping schemes using copy number variants, gene expression profiles, somatic short variants, or integrated molecular models have been proposed. These data suggest meningioma DNA methylation groups may harbor subgroups unifying contrasting theories of meningioma biology. METHODS 565 meningioma DNA methylation profiles from patients with comprehensive clinical follow-up at independent discovery (n=200) or validation (n=365) institutions were re-analyzed and classified into Merlin-intact, Immune-enriched, or Hypermitotic DNA methylation groups. RNA sequencing from the discovery (n=200) or validation (n=302) cohort were analyzed in the context of DNA methylation groups to identify subgroups. Biological features and clinical outcomes were analyzed across meningioma grouping schemes. RESULTS RNA sequencing revealed differential enrichment of FOXM1 target genes across 2 subgroups of Hypermitotic meningiomas. Differential expression and ontology analyses showed the subgroup of Hypermitotic meningiomas without FOXM1 target gene enrichment was distinguished by gene expression programs driving macromolecular metabolism. Analysis of genetic, epigenetic, gene expression, or cellular features revealed Hypermitotic meningioma subgroups were concordant with Proliferative or Hypermetabolic meningiomas, which were previously reported alongside Merlin-intact and Immune-enriched tumors using an integrated molecular model. The addition of DNA methylation subgroups to clinical models refined prediction of postoperative outcomes compared to the addition of DNA methylation groups. CONCLUSIONS Meningiomas can be separated into 3 DNA methylation groups and Hypermitotic meningiomas can be subdivided into Proliferative and Hypermetabolic subgroups, each with distinct biological and clinical features.","author":[{"dropping-particle":"","family":"Choudhury","given":"Abrar","non-dropping-particle":"","parse-names":false,"suffix":""},{"dropping-particle":"","family":"Chen","given":"William C","non-dropping-particle":"","parse-names":false,"suffix":""},{"dropping-particle":"","family":"Lucas","given":"Calixto-Hope G","non-dropping-particle":"","parse-names":false,"suffix":""},{"dropping-particle":"","family":"Bayley","given":"James C","non-dropping-particle":"","parse-names":false,"suffix":""},{"dropping-particle":"","family":"Harmanci","given":"Akdes S","non-dropping-particle":"","parse-names":false,"suffix":""},{"dropping-particle":"","family":"Maas","given":"Sybren L N","non-dropping-particle":"","parse-names":false,"suffix":""},{"dropping-particle":"","family":"Santagata","given":"Sandro","non-dropping-particle":"","parse-names":false,"suffix":""},{"dropping-particle":"","family":"Klisch","given":"Tiemo","non-dropping-particle":"","parse-names":false,"suffix":""},{"dropping-particle":"","family":"Perry","given":"Arie","non-dropping-particle":"","parse-names":false,"suffix":""},{"dropping-particle":"","family":"Bi","given":"Wenya Linda","non-dropping-particle":"","parse-names":false,"suffix":""},{"dropping-particle":"","family":"Sahm","given":"Felix","non-dropping-particle":"","parse-names":false,"suffix":""},{"dropping-particle":"","family":"Patel","given":"Akash","non-dropping-particle":"","parse-names":false,"suffix":""},{"dropping-particle":"","family":"Magill","given":"Stephen T","non-dropping-particle":"","parse-names":false,"suffix":""},{"dropping-particle":"","family":"Raleigh","given":"David R","non-dropping-particle":"","parse-names":false,"suffix":""}],"container-title":"Neuro-oncology","id":"ITEM-1","issued":{"date-parts":[["2022","10","13"]]},"title":"Hypermitotic meningiomas harbor DNA methylation subgroups with distinct biological and clinical features.","type":"article-journal"},"uris":["http://www.mendeley.com/documents/?uuid=12c70f09-e513-4b13-a979-50364f43e66d"]}],"mendeley":{"formattedCitation":"&lt;sup&gt;7&lt;/sup&gt;","plainTextFormattedCitation":"7","previouslyFormattedCitation":"&lt;sup&gt;7&lt;/sup&gt;"},"properties":{"noteIndex":0},"schema":"https://github.com/citation-style-language/schema/raw/master/csl-citation.json"}</w:instrText>
            </w:r>
            <w:r>
              <w:rPr>
                <w:color w:val="000000"/>
                <w:sz w:val="18"/>
                <w:szCs w:val="18"/>
              </w:rPr>
              <w:fldChar w:fldCharType="separate"/>
            </w:r>
            <w:r w:rsidR="000F4EF5" w:rsidRPr="000F4EF5">
              <w:rPr>
                <w:noProof/>
                <w:color w:val="000000"/>
                <w:sz w:val="18"/>
                <w:szCs w:val="18"/>
                <w:vertAlign w:val="superscript"/>
              </w:rPr>
              <w:t>7</w:t>
            </w:r>
            <w:r>
              <w:rPr>
                <w:color w:val="000000"/>
                <w:sz w:val="18"/>
                <w:szCs w:val="18"/>
              </w:rPr>
              <w:fldChar w:fldCharType="end"/>
            </w:r>
            <w:r>
              <w:rPr>
                <w:color w:val="000000"/>
                <w:sz w:val="18"/>
                <w:szCs w:val="18"/>
              </w:rPr>
              <w:t xml:space="preserve"> (</w:t>
            </w:r>
            <w:r w:rsidRPr="00CE4E1F">
              <w:rPr>
                <w:color w:val="000000"/>
                <w:sz w:val="18"/>
                <w:szCs w:val="18"/>
              </w:rPr>
              <w:t>Hypermetabolic vs Merlin-intact</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0398FEB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0.97</w:t>
            </w:r>
          </w:p>
        </w:tc>
        <w:tc>
          <w:tcPr>
            <w:tcW w:w="1620" w:type="dxa"/>
            <w:tcBorders>
              <w:top w:val="nil"/>
              <w:left w:val="nil"/>
              <w:bottom w:val="single" w:sz="4" w:space="0" w:color="auto"/>
              <w:right w:val="single" w:sz="4" w:space="0" w:color="auto"/>
            </w:tcBorders>
            <w:shd w:val="clear" w:color="auto" w:fill="auto"/>
            <w:noWrap/>
            <w:vAlign w:val="bottom"/>
            <w:hideMark/>
          </w:tcPr>
          <w:p w14:paraId="1F70AAF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0.54</w:t>
            </w:r>
          </w:p>
        </w:tc>
        <w:tc>
          <w:tcPr>
            <w:tcW w:w="1530" w:type="dxa"/>
            <w:tcBorders>
              <w:top w:val="nil"/>
              <w:left w:val="nil"/>
              <w:bottom w:val="single" w:sz="4" w:space="0" w:color="auto"/>
              <w:right w:val="single" w:sz="4" w:space="0" w:color="auto"/>
            </w:tcBorders>
            <w:shd w:val="clear" w:color="auto" w:fill="auto"/>
            <w:noWrap/>
            <w:vAlign w:val="bottom"/>
            <w:hideMark/>
          </w:tcPr>
          <w:p w14:paraId="405BA29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1.74</w:t>
            </w:r>
          </w:p>
        </w:tc>
        <w:tc>
          <w:tcPr>
            <w:tcW w:w="1080" w:type="dxa"/>
            <w:tcBorders>
              <w:top w:val="nil"/>
              <w:left w:val="nil"/>
              <w:bottom w:val="single" w:sz="4" w:space="0" w:color="auto"/>
              <w:right w:val="single" w:sz="4" w:space="0" w:color="auto"/>
            </w:tcBorders>
            <w:shd w:val="clear" w:color="auto" w:fill="auto"/>
            <w:noWrap/>
            <w:vAlign w:val="bottom"/>
            <w:hideMark/>
          </w:tcPr>
          <w:p w14:paraId="1678708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0.926411</w:t>
            </w:r>
          </w:p>
        </w:tc>
      </w:tr>
      <w:tr w:rsidR="0067349A" w:rsidRPr="00CE4E1F" w14:paraId="09200AF1"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2665C28" w14:textId="2C72D2DF" w:rsidR="0067349A" w:rsidRDefault="0067349A" w:rsidP="00742F09">
            <w:pPr>
              <w:spacing w:line="360" w:lineRule="auto"/>
              <w:contextualSpacing/>
              <w:jc w:val="both"/>
              <w:rPr>
                <w:color w:val="000000"/>
                <w:sz w:val="18"/>
                <w:szCs w:val="18"/>
              </w:rPr>
            </w:pPr>
            <w:r>
              <w:rPr>
                <w:color w:val="000000"/>
                <w:sz w:val="18"/>
                <w:szCs w:val="18"/>
              </w:rPr>
              <w:t>DNA methylation subgroups (</w:t>
            </w:r>
            <w:r w:rsidRPr="00CE4E1F">
              <w:rPr>
                <w:color w:val="000000"/>
                <w:sz w:val="18"/>
                <w:szCs w:val="18"/>
              </w:rPr>
              <w:t>Proliferative vs Merlin-intact</w:t>
            </w:r>
            <w:r>
              <w:rPr>
                <w:color w:val="000000"/>
                <w:sz w:val="18"/>
                <w:szCs w:val="18"/>
              </w:rPr>
              <w:t>)</w:t>
            </w:r>
          </w:p>
        </w:tc>
        <w:tc>
          <w:tcPr>
            <w:tcW w:w="1098" w:type="dxa"/>
            <w:tcBorders>
              <w:top w:val="nil"/>
              <w:left w:val="nil"/>
              <w:bottom w:val="single" w:sz="4" w:space="0" w:color="auto"/>
              <w:right w:val="single" w:sz="4" w:space="0" w:color="auto"/>
            </w:tcBorders>
            <w:shd w:val="clear" w:color="auto" w:fill="auto"/>
            <w:noWrap/>
            <w:vAlign w:val="bottom"/>
            <w:hideMark/>
          </w:tcPr>
          <w:p w14:paraId="7CB6F9A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1.52</w:t>
            </w:r>
          </w:p>
        </w:tc>
        <w:tc>
          <w:tcPr>
            <w:tcW w:w="1620" w:type="dxa"/>
            <w:tcBorders>
              <w:top w:val="nil"/>
              <w:left w:val="nil"/>
              <w:bottom w:val="single" w:sz="4" w:space="0" w:color="auto"/>
              <w:right w:val="single" w:sz="4" w:space="0" w:color="auto"/>
            </w:tcBorders>
            <w:shd w:val="clear" w:color="auto" w:fill="auto"/>
            <w:noWrap/>
            <w:vAlign w:val="bottom"/>
            <w:hideMark/>
          </w:tcPr>
          <w:p w14:paraId="12945B6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0.89</w:t>
            </w:r>
          </w:p>
        </w:tc>
        <w:tc>
          <w:tcPr>
            <w:tcW w:w="1530" w:type="dxa"/>
            <w:tcBorders>
              <w:top w:val="nil"/>
              <w:left w:val="nil"/>
              <w:bottom w:val="single" w:sz="4" w:space="0" w:color="auto"/>
              <w:right w:val="single" w:sz="4" w:space="0" w:color="auto"/>
            </w:tcBorders>
            <w:shd w:val="clear" w:color="auto" w:fill="auto"/>
            <w:noWrap/>
            <w:vAlign w:val="bottom"/>
            <w:hideMark/>
          </w:tcPr>
          <w:p w14:paraId="608443D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2.61</w:t>
            </w:r>
          </w:p>
        </w:tc>
        <w:tc>
          <w:tcPr>
            <w:tcW w:w="1080" w:type="dxa"/>
            <w:tcBorders>
              <w:top w:val="nil"/>
              <w:left w:val="nil"/>
              <w:bottom w:val="single" w:sz="4" w:space="0" w:color="auto"/>
              <w:right w:val="single" w:sz="4" w:space="0" w:color="auto"/>
            </w:tcBorders>
            <w:shd w:val="clear" w:color="auto" w:fill="auto"/>
            <w:noWrap/>
            <w:vAlign w:val="bottom"/>
            <w:hideMark/>
          </w:tcPr>
          <w:p w14:paraId="4D2B170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0.127766</w:t>
            </w:r>
          </w:p>
        </w:tc>
      </w:tr>
      <w:tr w:rsidR="0067349A" w:rsidRPr="00CE4E1F" w14:paraId="54F52A4E"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24EC0695" w14:textId="4C107A18"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04A6EAB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1.31</w:t>
            </w:r>
          </w:p>
        </w:tc>
        <w:tc>
          <w:tcPr>
            <w:tcW w:w="1620" w:type="dxa"/>
            <w:tcBorders>
              <w:top w:val="nil"/>
              <w:left w:val="nil"/>
              <w:bottom w:val="single" w:sz="4" w:space="0" w:color="auto"/>
              <w:right w:val="single" w:sz="4" w:space="0" w:color="auto"/>
            </w:tcBorders>
            <w:shd w:val="clear" w:color="auto" w:fill="auto"/>
            <w:noWrap/>
            <w:vAlign w:val="bottom"/>
            <w:hideMark/>
          </w:tcPr>
          <w:p w14:paraId="1286D3F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0.90</w:t>
            </w:r>
          </w:p>
        </w:tc>
        <w:tc>
          <w:tcPr>
            <w:tcW w:w="1530" w:type="dxa"/>
            <w:tcBorders>
              <w:top w:val="nil"/>
              <w:left w:val="nil"/>
              <w:bottom w:val="single" w:sz="4" w:space="0" w:color="auto"/>
              <w:right w:val="single" w:sz="4" w:space="0" w:color="auto"/>
            </w:tcBorders>
            <w:shd w:val="clear" w:color="auto" w:fill="auto"/>
            <w:noWrap/>
            <w:vAlign w:val="bottom"/>
            <w:hideMark/>
          </w:tcPr>
          <w:p w14:paraId="597E2C4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1.92</w:t>
            </w:r>
          </w:p>
        </w:tc>
        <w:tc>
          <w:tcPr>
            <w:tcW w:w="1080" w:type="dxa"/>
            <w:tcBorders>
              <w:top w:val="nil"/>
              <w:left w:val="nil"/>
              <w:bottom w:val="single" w:sz="4" w:space="0" w:color="auto"/>
              <w:right w:val="single" w:sz="4" w:space="0" w:color="auto"/>
            </w:tcBorders>
            <w:shd w:val="clear" w:color="auto" w:fill="auto"/>
            <w:noWrap/>
            <w:vAlign w:val="bottom"/>
            <w:hideMark/>
          </w:tcPr>
          <w:p w14:paraId="58767F0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0.160029</w:t>
            </w:r>
          </w:p>
        </w:tc>
      </w:tr>
      <w:tr w:rsidR="0067349A" w:rsidRPr="00CE4E1F" w14:paraId="1FBFE668"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555228F" w14:textId="2F28D6B1"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23163F3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2.93</w:t>
            </w:r>
          </w:p>
        </w:tc>
        <w:tc>
          <w:tcPr>
            <w:tcW w:w="1620" w:type="dxa"/>
            <w:tcBorders>
              <w:top w:val="nil"/>
              <w:left w:val="nil"/>
              <w:bottom w:val="single" w:sz="4" w:space="0" w:color="auto"/>
              <w:right w:val="single" w:sz="4" w:space="0" w:color="auto"/>
            </w:tcBorders>
            <w:shd w:val="clear" w:color="auto" w:fill="auto"/>
            <w:noWrap/>
            <w:vAlign w:val="bottom"/>
            <w:hideMark/>
          </w:tcPr>
          <w:p w14:paraId="2784086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1.86</w:t>
            </w:r>
          </w:p>
        </w:tc>
        <w:tc>
          <w:tcPr>
            <w:tcW w:w="1530" w:type="dxa"/>
            <w:tcBorders>
              <w:top w:val="nil"/>
              <w:left w:val="nil"/>
              <w:bottom w:val="single" w:sz="4" w:space="0" w:color="auto"/>
              <w:right w:val="single" w:sz="4" w:space="0" w:color="auto"/>
            </w:tcBorders>
            <w:shd w:val="clear" w:color="auto" w:fill="auto"/>
            <w:noWrap/>
            <w:vAlign w:val="bottom"/>
            <w:hideMark/>
          </w:tcPr>
          <w:p w14:paraId="0F42648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4.63</w:t>
            </w:r>
          </w:p>
        </w:tc>
        <w:tc>
          <w:tcPr>
            <w:tcW w:w="1080" w:type="dxa"/>
            <w:tcBorders>
              <w:top w:val="nil"/>
              <w:left w:val="nil"/>
              <w:bottom w:val="single" w:sz="4" w:space="0" w:color="auto"/>
              <w:right w:val="single" w:sz="4" w:space="0" w:color="auto"/>
            </w:tcBorders>
            <w:shd w:val="clear" w:color="auto" w:fill="auto"/>
            <w:noWrap/>
            <w:vAlign w:val="bottom"/>
            <w:hideMark/>
          </w:tcPr>
          <w:p w14:paraId="011863F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3.86E-06</w:t>
            </w:r>
          </w:p>
        </w:tc>
      </w:tr>
      <w:tr w:rsidR="0067349A" w:rsidRPr="00CE4E1F" w14:paraId="19BDBD34"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9702222" w14:textId="4CC11453"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5BC6BAF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1.28</w:t>
            </w:r>
          </w:p>
        </w:tc>
        <w:tc>
          <w:tcPr>
            <w:tcW w:w="1620" w:type="dxa"/>
            <w:tcBorders>
              <w:top w:val="nil"/>
              <w:left w:val="nil"/>
              <w:bottom w:val="single" w:sz="4" w:space="0" w:color="auto"/>
              <w:right w:val="single" w:sz="4" w:space="0" w:color="auto"/>
            </w:tcBorders>
            <w:shd w:val="clear" w:color="auto" w:fill="auto"/>
            <w:noWrap/>
            <w:vAlign w:val="bottom"/>
            <w:hideMark/>
          </w:tcPr>
          <w:p w14:paraId="72003ED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0.81</w:t>
            </w:r>
          </w:p>
        </w:tc>
        <w:tc>
          <w:tcPr>
            <w:tcW w:w="1530" w:type="dxa"/>
            <w:tcBorders>
              <w:top w:val="nil"/>
              <w:left w:val="nil"/>
              <w:bottom w:val="single" w:sz="4" w:space="0" w:color="auto"/>
              <w:right w:val="single" w:sz="4" w:space="0" w:color="auto"/>
            </w:tcBorders>
            <w:shd w:val="clear" w:color="auto" w:fill="auto"/>
            <w:noWrap/>
            <w:vAlign w:val="bottom"/>
            <w:hideMark/>
          </w:tcPr>
          <w:p w14:paraId="0E784FE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2.01</w:t>
            </w:r>
          </w:p>
        </w:tc>
        <w:tc>
          <w:tcPr>
            <w:tcW w:w="1080" w:type="dxa"/>
            <w:tcBorders>
              <w:top w:val="nil"/>
              <w:left w:val="nil"/>
              <w:bottom w:val="single" w:sz="4" w:space="0" w:color="auto"/>
              <w:right w:val="single" w:sz="4" w:space="0" w:color="auto"/>
            </w:tcBorders>
            <w:shd w:val="clear" w:color="auto" w:fill="auto"/>
            <w:noWrap/>
            <w:vAlign w:val="bottom"/>
            <w:hideMark/>
          </w:tcPr>
          <w:p w14:paraId="389DD33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0.287587</w:t>
            </w:r>
          </w:p>
        </w:tc>
      </w:tr>
      <w:tr w:rsidR="0067349A" w:rsidRPr="00CE4E1F" w14:paraId="49969736"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DAC22CF" w14:textId="26358DB2"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4C63B48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2.30</w:t>
            </w:r>
          </w:p>
        </w:tc>
        <w:tc>
          <w:tcPr>
            <w:tcW w:w="1620" w:type="dxa"/>
            <w:tcBorders>
              <w:top w:val="nil"/>
              <w:left w:val="nil"/>
              <w:bottom w:val="single" w:sz="4" w:space="0" w:color="auto"/>
              <w:right w:val="single" w:sz="4" w:space="0" w:color="auto"/>
            </w:tcBorders>
            <w:shd w:val="clear" w:color="auto" w:fill="auto"/>
            <w:noWrap/>
            <w:vAlign w:val="bottom"/>
            <w:hideMark/>
          </w:tcPr>
          <w:p w14:paraId="2812A61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1.41</w:t>
            </w:r>
          </w:p>
        </w:tc>
        <w:tc>
          <w:tcPr>
            <w:tcW w:w="1530" w:type="dxa"/>
            <w:tcBorders>
              <w:top w:val="nil"/>
              <w:left w:val="nil"/>
              <w:bottom w:val="single" w:sz="4" w:space="0" w:color="auto"/>
              <w:right w:val="single" w:sz="4" w:space="0" w:color="auto"/>
            </w:tcBorders>
            <w:shd w:val="clear" w:color="auto" w:fill="auto"/>
            <w:noWrap/>
            <w:vAlign w:val="bottom"/>
            <w:hideMark/>
          </w:tcPr>
          <w:p w14:paraId="6E7ABFE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3.76</w:t>
            </w:r>
          </w:p>
        </w:tc>
        <w:tc>
          <w:tcPr>
            <w:tcW w:w="1080" w:type="dxa"/>
            <w:tcBorders>
              <w:top w:val="nil"/>
              <w:left w:val="nil"/>
              <w:bottom w:val="single" w:sz="4" w:space="0" w:color="auto"/>
              <w:right w:val="single" w:sz="4" w:space="0" w:color="auto"/>
            </w:tcBorders>
            <w:shd w:val="clear" w:color="auto" w:fill="auto"/>
            <w:noWrap/>
            <w:vAlign w:val="bottom"/>
            <w:hideMark/>
          </w:tcPr>
          <w:p w14:paraId="762020C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0.000881</w:t>
            </w:r>
          </w:p>
        </w:tc>
      </w:tr>
      <w:tr w:rsidR="0067349A" w:rsidRPr="00CE4E1F" w14:paraId="26A4753D"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233DF6FA" w14:textId="6F899B76"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2A06C3E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60959D5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66C16C6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2568201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0AF893A2"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40AEF2F" w14:textId="0D1DE7BF"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9, N=476</w:t>
            </w:r>
          </w:p>
        </w:tc>
        <w:tc>
          <w:tcPr>
            <w:tcW w:w="1098" w:type="dxa"/>
            <w:tcBorders>
              <w:top w:val="nil"/>
              <w:left w:val="nil"/>
              <w:bottom w:val="single" w:sz="4" w:space="0" w:color="auto"/>
              <w:right w:val="single" w:sz="4" w:space="0" w:color="auto"/>
            </w:tcBorders>
            <w:shd w:val="clear" w:color="auto" w:fill="auto"/>
            <w:noWrap/>
            <w:vAlign w:val="bottom"/>
            <w:hideMark/>
          </w:tcPr>
          <w:p w14:paraId="424A742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3D56EB7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4A92F76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032A5B2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09D8681B"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6E56B2F" w14:textId="4F5030D3"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4584631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1.39</w:t>
            </w:r>
          </w:p>
        </w:tc>
        <w:tc>
          <w:tcPr>
            <w:tcW w:w="1620" w:type="dxa"/>
            <w:tcBorders>
              <w:top w:val="nil"/>
              <w:left w:val="nil"/>
              <w:bottom w:val="single" w:sz="4" w:space="0" w:color="auto"/>
              <w:right w:val="single" w:sz="4" w:space="0" w:color="auto"/>
            </w:tcBorders>
            <w:shd w:val="clear" w:color="auto" w:fill="auto"/>
            <w:noWrap/>
            <w:vAlign w:val="bottom"/>
            <w:hideMark/>
          </w:tcPr>
          <w:p w14:paraId="02DA56F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1.15</w:t>
            </w:r>
          </w:p>
        </w:tc>
        <w:tc>
          <w:tcPr>
            <w:tcW w:w="1530" w:type="dxa"/>
            <w:tcBorders>
              <w:top w:val="nil"/>
              <w:left w:val="nil"/>
              <w:bottom w:val="single" w:sz="4" w:space="0" w:color="auto"/>
              <w:right w:val="single" w:sz="4" w:space="0" w:color="auto"/>
            </w:tcBorders>
            <w:shd w:val="clear" w:color="auto" w:fill="auto"/>
            <w:noWrap/>
            <w:vAlign w:val="bottom"/>
            <w:hideMark/>
          </w:tcPr>
          <w:p w14:paraId="0D4784B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1.66</w:t>
            </w:r>
          </w:p>
        </w:tc>
        <w:tc>
          <w:tcPr>
            <w:tcW w:w="1080" w:type="dxa"/>
            <w:tcBorders>
              <w:top w:val="nil"/>
              <w:left w:val="nil"/>
              <w:bottom w:val="single" w:sz="4" w:space="0" w:color="auto"/>
              <w:right w:val="single" w:sz="4" w:space="0" w:color="auto"/>
            </w:tcBorders>
            <w:shd w:val="clear" w:color="auto" w:fill="auto"/>
            <w:noWrap/>
            <w:vAlign w:val="bottom"/>
            <w:hideMark/>
          </w:tcPr>
          <w:p w14:paraId="0BBA6C4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0.000471</w:t>
            </w:r>
          </w:p>
        </w:tc>
      </w:tr>
      <w:tr w:rsidR="0067349A" w:rsidRPr="00CE4E1F" w14:paraId="6C9D6337"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57FC702A" w14:textId="526DEF75" w:rsidR="0067349A" w:rsidRDefault="0067349A" w:rsidP="00742F09">
            <w:pPr>
              <w:spacing w:line="360" w:lineRule="auto"/>
              <w:contextualSpacing/>
              <w:jc w:val="both"/>
              <w:rPr>
                <w:color w:val="000000"/>
                <w:sz w:val="18"/>
                <w:szCs w:val="18"/>
              </w:rPr>
            </w:pPr>
            <w:r>
              <w:rPr>
                <w:color w:val="000000"/>
                <w:sz w:val="18"/>
                <w:szCs w:val="18"/>
              </w:rPr>
              <w:lastRenderedPageBreak/>
              <w:t>MIB1 labeling index</w:t>
            </w:r>
            <w:r w:rsidRPr="00CE4E1F">
              <w:rPr>
                <w:color w:val="000000"/>
                <w:sz w:val="18"/>
                <w:szCs w:val="18"/>
              </w:rPr>
              <w:t xml:space="preserve"> (per 1% increase)</w:t>
            </w:r>
          </w:p>
        </w:tc>
        <w:tc>
          <w:tcPr>
            <w:tcW w:w="1098" w:type="dxa"/>
            <w:tcBorders>
              <w:top w:val="nil"/>
              <w:left w:val="nil"/>
              <w:bottom w:val="single" w:sz="4" w:space="0" w:color="auto"/>
              <w:right w:val="single" w:sz="4" w:space="0" w:color="auto"/>
            </w:tcBorders>
            <w:shd w:val="clear" w:color="auto" w:fill="auto"/>
            <w:noWrap/>
            <w:vAlign w:val="bottom"/>
            <w:hideMark/>
          </w:tcPr>
          <w:p w14:paraId="02DE10C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1.01</w:t>
            </w:r>
          </w:p>
        </w:tc>
        <w:tc>
          <w:tcPr>
            <w:tcW w:w="1620" w:type="dxa"/>
            <w:tcBorders>
              <w:top w:val="nil"/>
              <w:left w:val="nil"/>
              <w:bottom w:val="single" w:sz="4" w:space="0" w:color="auto"/>
              <w:right w:val="single" w:sz="4" w:space="0" w:color="auto"/>
            </w:tcBorders>
            <w:shd w:val="clear" w:color="auto" w:fill="auto"/>
            <w:noWrap/>
            <w:vAlign w:val="bottom"/>
            <w:hideMark/>
          </w:tcPr>
          <w:p w14:paraId="1C37051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0.99</w:t>
            </w:r>
          </w:p>
        </w:tc>
        <w:tc>
          <w:tcPr>
            <w:tcW w:w="1530" w:type="dxa"/>
            <w:tcBorders>
              <w:top w:val="nil"/>
              <w:left w:val="nil"/>
              <w:bottom w:val="single" w:sz="4" w:space="0" w:color="auto"/>
              <w:right w:val="single" w:sz="4" w:space="0" w:color="auto"/>
            </w:tcBorders>
            <w:shd w:val="clear" w:color="auto" w:fill="auto"/>
            <w:noWrap/>
            <w:vAlign w:val="bottom"/>
            <w:hideMark/>
          </w:tcPr>
          <w:p w14:paraId="05CB899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1.04</w:t>
            </w:r>
          </w:p>
        </w:tc>
        <w:tc>
          <w:tcPr>
            <w:tcW w:w="1080" w:type="dxa"/>
            <w:tcBorders>
              <w:top w:val="nil"/>
              <w:left w:val="nil"/>
              <w:bottom w:val="single" w:sz="4" w:space="0" w:color="auto"/>
              <w:right w:val="single" w:sz="4" w:space="0" w:color="auto"/>
            </w:tcBorders>
            <w:shd w:val="clear" w:color="auto" w:fill="auto"/>
            <w:noWrap/>
            <w:vAlign w:val="bottom"/>
            <w:hideMark/>
          </w:tcPr>
          <w:p w14:paraId="6C6B54B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0.196864</w:t>
            </w:r>
          </w:p>
        </w:tc>
      </w:tr>
      <w:tr w:rsidR="0067349A" w:rsidRPr="00CE4E1F" w14:paraId="21496A17"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F4F7042" w14:textId="5E884F6B"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6ECEA7A6"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1.35</w:t>
            </w:r>
          </w:p>
        </w:tc>
        <w:tc>
          <w:tcPr>
            <w:tcW w:w="1620" w:type="dxa"/>
            <w:tcBorders>
              <w:top w:val="nil"/>
              <w:left w:val="nil"/>
              <w:bottom w:val="single" w:sz="4" w:space="0" w:color="auto"/>
              <w:right w:val="single" w:sz="4" w:space="0" w:color="auto"/>
            </w:tcBorders>
            <w:shd w:val="clear" w:color="auto" w:fill="auto"/>
            <w:noWrap/>
            <w:vAlign w:val="bottom"/>
            <w:hideMark/>
          </w:tcPr>
          <w:p w14:paraId="0902720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0.88</w:t>
            </w:r>
          </w:p>
        </w:tc>
        <w:tc>
          <w:tcPr>
            <w:tcW w:w="1530" w:type="dxa"/>
            <w:tcBorders>
              <w:top w:val="nil"/>
              <w:left w:val="nil"/>
              <w:bottom w:val="single" w:sz="4" w:space="0" w:color="auto"/>
              <w:right w:val="single" w:sz="4" w:space="0" w:color="auto"/>
            </w:tcBorders>
            <w:shd w:val="clear" w:color="auto" w:fill="auto"/>
            <w:noWrap/>
            <w:vAlign w:val="bottom"/>
            <w:hideMark/>
          </w:tcPr>
          <w:p w14:paraId="3DDD77F2"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2.07</w:t>
            </w:r>
          </w:p>
        </w:tc>
        <w:tc>
          <w:tcPr>
            <w:tcW w:w="1080" w:type="dxa"/>
            <w:tcBorders>
              <w:top w:val="nil"/>
              <w:left w:val="nil"/>
              <w:bottom w:val="single" w:sz="4" w:space="0" w:color="auto"/>
              <w:right w:val="single" w:sz="4" w:space="0" w:color="auto"/>
            </w:tcBorders>
            <w:shd w:val="clear" w:color="auto" w:fill="auto"/>
            <w:noWrap/>
            <w:vAlign w:val="bottom"/>
            <w:hideMark/>
          </w:tcPr>
          <w:p w14:paraId="744F4CF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0.167565</w:t>
            </w:r>
          </w:p>
        </w:tc>
      </w:tr>
      <w:tr w:rsidR="0067349A" w:rsidRPr="00CE4E1F" w14:paraId="6A24F9F5"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E80119B" w14:textId="2E5B95A3"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46596F6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3.26</w:t>
            </w:r>
          </w:p>
        </w:tc>
        <w:tc>
          <w:tcPr>
            <w:tcW w:w="1620" w:type="dxa"/>
            <w:tcBorders>
              <w:top w:val="nil"/>
              <w:left w:val="nil"/>
              <w:bottom w:val="single" w:sz="4" w:space="0" w:color="auto"/>
              <w:right w:val="single" w:sz="4" w:space="0" w:color="auto"/>
            </w:tcBorders>
            <w:shd w:val="clear" w:color="auto" w:fill="auto"/>
            <w:noWrap/>
            <w:vAlign w:val="bottom"/>
            <w:hideMark/>
          </w:tcPr>
          <w:p w14:paraId="7013C03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2.08</w:t>
            </w:r>
          </w:p>
        </w:tc>
        <w:tc>
          <w:tcPr>
            <w:tcW w:w="1530" w:type="dxa"/>
            <w:tcBorders>
              <w:top w:val="nil"/>
              <w:left w:val="nil"/>
              <w:bottom w:val="single" w:sz="4" w:space="0" w:color="auto"/>
              <w:right w:val="single" w:sz="4" w:space="0" w:color="auto"/>
            </w:tcBorders>
            <w:shd w:val="clear" w:color="auto" w:fill="auto"/>
            <w:noWrap/>
            <w:vAlign w:val="bottom"/>
            <w:hideMark/>
          </w:tcPr>
          <w:p w14:paraId="40C2239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5.11</w:t>
            </w:r>
          </w:p>
        </w:tc>
        <w:tc>
          <w:tcPr>
            <w:tcW w:w="1080" w:type="dxa"/>
            <w:tcBorders>
              <w:top w:val="nil"/>
              <w:left w:val="nil"/>
              <w:bottom w:val="single" w:sz="4" w:space="0" w:color="auto"/>
              <w:right w:val="single" w:sz="4" w:space="0" w:color="auto"/>
            </w:tcBorders>
            <w:shd w:val="clear" w:color="auto" w:fill="auto"/>
            <w:noWrap/>
            <w:vAlign w:val="bottom"/>
            <w:hideMark/>
          </w:tcPr>
          <w:p w14:paraId="72DB825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2.47E-07</w:t>
            </w:r>
          </w:p>
        </w:tc>
      </w:tr>
      <w:tr w:rsidR="0067349A" w:rsidRPr="00CE4E1F" w14:paraId="09DA14C3"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2F6E49EB" w14:textId="0A8858EC"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2 vs 1</w:t>
            </w:r>
          </w:p>
        </w:tc>
        <w:tc>
          <w:tcPr>
            <w:tcW w:w="1098" w:type="dxa"/>
            <w:tcBorders>
              <w:top w:val="nil"/>
              <w:left w:val="nil"/>
              <w:bottom w:val="single" w:sz="4" w:space="0" w:color="auto"/>
              <w:right w:val="single" w:sz="4" w:space="0" w:color="auto"/>
            </w:tcBorders>
            <w:shd w:val="clear" w:color="auto" w:fill="auto"/>
            <w:noWrap/>
            <w:vAlign w:val="bottom"/>
            <w:hideMark/>
          </w:tcPr>
          <w:p w14:paraId="437BE958"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1.31</w:t>
            </w:r>
          </w:p>
        </w:tc>
        <w:tc>
          <w:tcPr>
            <w:tcW w:w="1620" w:type="dxa"/>
            <w:tcBorders>
              <w:top w:val="nil"/>
              <w:left w:val="nil"/>
              <w:bottom w:val="single" w:sz="4" w:space="0" w:color="auto"/>
              <w:right w:val="single" w:sz="4" w:space="0" w:color="auto"/>
            </w:tcBorders>
            <w:shd w:val="clear" w:color="auto" w:fill="auto"/>
            <w:noWrap/>
            <w:vAlign w:val="bottom"/>
            <w:hideMark/>
          </w:tcPr>
          <w:p w14:paraId="03B3B75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0.72</w:t>
            </w:r>
          </w:p>
        </w:tc>
        <w:tc>
          <w:tcPr>
            <w:tcW w:w="1530" w:type="dxa"/>
            <w:tcBorders>
              <w:top w:val="nil"/>
              <w:left w:val="nil"/>
              <w:bottom w:val="single" w:sz="4" w:space="0" w:color="auto"/>
              <w:right w:val="single" w:sz="4" w:space="0" w:color="auto"/>
            </w:tcBorders>
            <w:shd w:val="clear" w:color="auto" w:fill="auto"/>
            <w:noWrap/>
            <w:vAlign w:val="bottom"/>
            <w:hideMark/>
          </w:tcPr>
          <w:p w14:paraId="208DBE2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2.38</w:t>
            </w:r>
          </w:p>
        </w:tc>
        <w:tc>
          <w:tcPr>
            <w:tcW w:w="1080" w:type="dxa"/>
            <w:tcBorders>
              <w:top w:val="nil"/>
              <w:left w:val="nil"/>
              <w:bottom w:val="single" w:sz="4" w:space="0" w:color="auto"/>
              <w:right w:val="single" w:sz="4" w:space="0" w:color="auto"/>
            </w:tcBorders>
            <w:shd w:val="clear" w:color="auto" w:fill="auto"/>
            <w:noWrap/>
            <w:vAlign w:val="bottom"/>
            <w:hideMark/>
          </w:tcPr>
          <w:p w14:paraId="78C3C7E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0.371957</w:t>
            </w:r>
          </w:p>
        </w:tc>
      </w:tr>
      <w:tr w:rsidR="0067349A" w:rsidRPr="00CE4E1F" w14:paraId="6A782BC2"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D93528A" w14:textId="2BC80CE2" w:rsidR="0067349A" w:rsidRPr="00CE4E1F" w:rsidRDefault="0067349A" w:rsidP="00742F09">
            <w:pPr>
              <w:spacing w:line="360" w:lineRule="auto"/>
              <w:contextualSpacing/>
              <w:jc w:val="both"/>
              <w:rPr>
                <w:color w:val="000000"/>
                <w:sz w:val="18"/>
                <w:szCs w:val="18"/>
              </w:rPr>
            </w:pPr>
            <w:r w:rsidRPr="00CE4E1F">
              <w:rPr>
                <w:color w:val="000000"/>
                <w:sz w:val="18"/>
                <w:szCs w:val="18"/>
              </w:rPr>
              <w:t xml:space="preserve">WHO 2016 </w:t>
            </w:r>
            <w:r>
              <w:rPr>
                <w:color w:val="000000"/>
                <w:sz w:val="18"/>
                <w:szCs w:val="18"/>
              </w:rPr>
              <w:t>grade</w:t>
            </w:r>
            <w:r w:rsidRPr="00CE4E1F">
              <w:rPr>
                <w:color w:val="000000"/>
                <w:sz w:val="18"/>
                <w:szCs w:val="18"/>
              </w:rPr>
              <w:t xml:space="preserve"> 3 vs 1</w:t>
            </w:r>
          </w:p>
        </w:tc>
        <w:tc>
          <w:tcPr>
            <w:tcW w:w="1098" w:type="dxa"/>
            <w:tcBorders>
              <w:top w:val="nil"/>
              <w:left w:val="nil"/>
              <w:bottom w:val="single" w:sz="4" w:space="0" w:color="auto"/>
              <w:right w:val="single" w:sz="4" w:space="0" w:color="auto"/>
            </w:tcBorders>
            <w:shd w:val="clear" w:color="auto" w:fill="auto"/>
            <w:noWrap/>
            <w:vAlign w:val="bottom"/>
            <w:hideMark/>
          </w:tcPr>
          <w:p w14:paraId="5C5659B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2.07</w:t>
            </w:r>
          </w:p>
        </w:tc>
        <w:tc>
          <w:tcPr>
            <w:tcW w:w="1620" w:type="dxa"/>
            <w:tcBorders>
              <w:top w:val="nil"/>
              <w:left w:val="nil"/>
              <w:bottom w:val="single" w:sz="4" w:space="0" w:color="auto"/>
              <w:right w:val="single" w:sz="4" w:space="0" w:color="auto"/>
            </w:tcBorders>
            <w:shd w:val="clear" w:color="auto" w:fill="auto"/>
            <w:noWrap/>
            <w:vAlign w:val="bottom"/>
            <w:hideMark/>
          </w:tcPr>
          <w:p w14:paraId="77BCAFD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1.04</w:t>
            </w:r>
          </w:p>
        </w:tc>
        <w:tc>
          <w:tcPr>
            <w:tcW w:w="1530" w:type="dxa"/>
            <w:tcBorders>
              <w:top w:val="nil"/>
              <w:left w:val="nil"/>
              <w:bottom w:val="single" w:sz="4" w:space="0" w:color="auto"/>
              <w:right w:val="single" w:sz="4" w:space="0" w:color="auto"/>
            </w:tcBorders>
            <w:shd w:val="clear" w:color="auto" w:fill="auto"/>
            <w:noWrap/>
            <w:vAlign w:val="bottom"/>
            <w:hideMark/>
          </w:tcPr>
          <w:p w14:paraId="1CB30707"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4.09</w:t>
            </w:r>
          </w:p>
        </w:tc>
        <w:tc>
          <w:tcPr>
            <w:tcW w:w="1080" w:type="dxa"/>
            <w:tcBorders>
              <w:top w:val="nil"/>
              <w:left w:val="nil"/>
              <w:bottom w:val="single" w:sz="4" w:space="0" w:color="auto"/>
              <w:right w:val="single" w:sz="4" w:space="0" w:color="auto"/>
            </w:tcBorders>
            <w:shd w:val="clear" w:color="auto" w:fill="auto"/>
            <w:noWrap/>
            <w:vAlign w:val="bottom"/>
            <w:hideMark/>
          </w:tcPr>
          <w:p w14:paraId="1B21604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0.037265</w:t>
            </w:r>
          </w:p>
        </w:tc>
      </w:tr>
      <w:tr w:rsidR="0067349A" w:rsidRPr="00CE4E1F" w14:paraId="6EB5B5FA"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C8B1904" w14:textId="34A307F4"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98" w:type="dxa"/>
            <w:tcBorders>
              <w:top w:val="nil"/>
              <w:left w:val="nil"/>
              <w:bottom w:val="single" w:sz="4" w:space="0" w:color="auto"/>
              <w:right w:val="single" w:sz="4" w:space="0" w:color="auto"/>
            </w:tcBorders>
            <w:shd w:val="clear" w:color="auto" w:fill="auto"/>
            <w:noWrap/>
            <w:vAlign w:val="bottom"/>
            <w:hideMark/>
          </w:tcPr>
          <w:p w14:paraId="1A37944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61407D9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021E4E1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5FA5979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5DB257FD"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D87F023" w14:textId="6D74EAEA" w:rsidR="0067349A" w:rsidRPr="00CE4E1F" w:rsidRDefault="0067349A" w:rsidP="00742F09">
            <w:pPr>
              <w:spacing w:line="360" w:lineRule="auto"/>
              <w:contextualSpacing/>
              <w:jc w:val="both"/>
              <w:rPr>
                <w:b/>
                <w:bCs/>
                <w:color w:val="000000"/>
                <w:sz w:val="18"/>
                <w:szCs w:val="18"/>
              </w:rPr>
            </w:pPr>
            <w:r w:rsidRPr="00CE4E1F">
              <w:rPr>
                <w:b/>
                <w:bCs/>
                <w:color w:val="000000"/>
                <w:sz w:val="18"/>
                <w:szCs w:val="18"/>
              </w:rPr>
              <w:t>MVR</w:t>
            </w:r>
            <w:r>
              <w:rPr>
                <w:b/>
                <w:bCs/>
                <w:color w:val="000000"/>
                <w:sz w:val="18"/>
                <w:szCs w:val="18"/>
              </w:rPr>
              <w:t xml:space="preserve"> model </w:t>
            </w:r>
            <w:r w:rsidRPr="00CE4E1F">
              <w:rPr>
                <w:b/>
                <w:bCs/>
                <w:color w:val="000000"/>
                <w:sz w:val="18"/>
                <w:szCs w:val="18"/>
              </w:rPr>
              <w:t>10, N=434</w:t>
            </w:r>
          </w:p>
        </w:tc>
        <w:tc>
          <w:tcPr>
            <w:tcW w:w="1098" w:type="dxa"/>
            <w:tcBorders>
              <w:top w:val="nil"/>
              <w:left w:val="nil"/>
              <w:bottom w:val="single" w:sz="4" w:space="0" w:color="auto"/>
              <w:right w:val="single" w:sz="4" w:space="0" w:color="auto"/>
            </w:tcBorders>
            <w:shd w:val="clear" w:color="auto" w:fill="auto"/>
            <w:noWrap/>
            <w:vAlign w:val="bottom"/>
            <w:hideMark/>
          </w:tcPr>
          <w:p w14:paraId="172B3D9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14:paraId="70E648CE"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530" w:type="dxa"/>
            <w:tcBorders>
              <w:top w:val="nil"/>
              <w:left w:val="nil"/>
              <w:bottom w:val="single" w:sz="4" w:space="0" w:color="auto"/>
              <w:right w:val="single" w:sz="4" w:space="0" w:color="auto"/>
            </w:tcBorders>
            <w:shd w:val="clear" w:color="auto" w:fill="auto"/>
            <w:noWrap/>
            <w:vAlign w:val="bottom"/>
            <w:hideMark/>
          </w:tcPr>
          <w:p w14:paraId="4D83F23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59EFC05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 </w:t>
            </w:r>
          </w:p>
        </w:tc>
      </w:tr>
      <w:tr w:rsidR="0067349A" w:rsidRPr="00CE4E1F" w14:paraId="12ABC2D8"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6BD16586" w14:textId="3964F397" w:rsidR="0067349A" w:rsidRDefault="0067349A" w:rsidP="00742F09">
            <w:pPr>
              <w:spacing w:line="360" w:lineRule="auto"/>
              <w:contextualSpacing/>
              <w:jc w:val="both"/>
              <w:rPr>
                <w:color w:val="000000"/>
                <w:sz w:val="18"/>
                <w:szCs w:val="18"/>
              </w:rPr>
            </w:pPr>
            <w:r>
              <w:rPr>
                <w:color w:val="000000"/>
                <w:sz w:val="18"/>
                <w:szCs w:val="18"/>
              </w:rPr>
              <w:t>Gene expression risk score</w:t>
            </w:r>
            <w:r w:rsidRPr="00CE4E1F">
              <w:rPr>
                <w:color w:val="000000"/>
                <w:sz w:val="18"/>
                <w:szCs w:val="18"/>
              </w:rPr>
              <w:t xml:space="preserve"> (per 0.1 increase)</w:t>
            </w:r>
          </w:p>
        </w:tc>
        <w:tc>
          <w:tcPr>
            <w:tcW w:w="1098" w:type="dxa"/>
            <w:tcBorders>
              <w:top w:val="nil"/>
              <w:left w:val="nil"/>
              <w:bottom w:val="single" w:sz="4" w:space="0" w:color="auto"/>
              <w:right w:val="single" w:sz="4" w:space="0" w:color="auto"/>
            </w:tcBorders>
            <w:shd w:val="clear" w:color="auto" w:fill="auto"/>
            <w:noWrap/>
            <w:vAlign w:val="bottom"/>
            <w:hideMark/>
          </w:tcPr>
          <w:p w14:paraId="2ED5837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1.35</w:t>
            </w:r>
          </w:p>
        </w:tc>
        <w:tc>
          <w:tcPr>
            <w:tcW w:w="1620" w:type="dxa"/>
            <w:tcBorders>
              <w:top w:val="nil"/>
              <w:left w:val="nil"/>
              <w:bottom w:val="single" w:sz="4" w:space="0" w:color="auto"/>
              <w:right w:val="single" w:sz="4" w:space="0" w:color="auto"/>
            </w:tcBorders>
            <w:shd w:val="clear" w:color="auto" w:fill="auto"/>
            <w:noWrap/>
            <w:vAlign w:val="bottom"/>
            <w:hideMark/>
          </w:tcPr>
          <w:p w14:paraId="502200A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1.18</w:t>
            </w:r>
          </w:p>
        </w:tc>
        <w:tc>
          <w:tcPr>
            <w:tcW w:w="1530" w:type="dxa"/>
            <w:tcBorders>
              <w:top w:val="nil"/>
              <w:left w:val="nil"/>
              <w:bottom w:val="single" w:sz="4" w:space="0" w:color="auto"/>
              <w:right w:val="single" w:sz="4" w:space="0" w:color="auto"/>
            </w:tcBorders>
            <w:shd w:val="clear" w:color="auto" w:fill="auto"/>
            <w:noWrap/>
            <w:vAlign w:val="bottom"/>
            <w:hideMark/>
          </w:tcPr>
          <w:p w14:paraId="437F7031"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1.54</w:t>
            </w:r>
          </w:p>
        </w:tc>
        <w:tc>
          <w:tcPr>
            <w:tcW w:w="1080" w:type="dxa"/>
            <w:tcBorders>
              <w:top w:val="nil"/>
              <w:left w:val="nil"/>
              <w:bottom w:val="single" w:sz="4" w:space="0" w:color="auto"/>
              <w:right w:val="single" w:sz="4" w:space="0" w:color="auto"/>
            </w:tcBorders>
            <w:shd w:val="clear" w:color="auto" w:fill="auto"/>
            <w:noWrap/>
            <w:vAlign w:val="bottom"/>
            <w:hideMark/>
          </w:tcPr>
          <w:p w14:paraId="0AFFCEC3"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1.48E-05</w:t>
            </w:r>
          </w:p>
        </w:tc>
      </w:tr>
      <w:tr w:rsidR="0067349A" w:rsidRPr="00CE4E1F" w14:paraId="6A26D2FA"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76781FA0" w14:textId="70E1C6F0" w:rsidR="0067349A" w:rsidRPr="00CE4E1F" w:rsidRDefault="0067349A" w:rsidP="00742F09">
            <w:pPr>
              <w:spacing w:line="360" w:lineRule="auto"/>
              <w:contextualSpacing/>
              <w:jc w:val="both"/>
              <w:rPr>
                <w:color w:val="000000"/>
                <w:sz w:val="18"/>
                <w:szCs w:val="18"/>
              </w:rPr>
            </w:pPr>
            <w:r w:rsidRPr="00CE4E1F">
              <w:rPr>
                <w:color w:val="000000"/>
                <w:sz w:val="18"/>
                <w:szCs w:val="18"/>
              </w:rPr>
              <w:t>STR vs GTR</w:t>
            </w:r>
          </w:p>
        </w:tc>
        <w:tc>
          <w:tcPr>
            <w:tcW w:w="1098" w:type="dxa"/>
            <w:tcBorders>
              <w:top w:val="nil"/>
              <w:left w:val="nil"/>
              <w:bottom w:val="single" w:sz="4" w:space="0" w:color="auto"/>
              <w:right w:val="single" w:sz="4" w:space="0" w:color="auto"/>
            </w:tcBorders>
            <w:shd w:val="clear" w:color="auto" w:fill="auto"/>
            <w:noWrap/>
            <w:vAlign w:val="bottom"/>
            <w:hideMark/>
          </w:tcPr>
          <w:p w14:paraId="6081D0B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1.52</w:t>
            </w:r>
          </w:p>
        </w:tc>
        <w:tc>
          <w:tcPr>
            <w:tcW w:w="1620" w:type="dxa"/>
            <w:tcBorders>
              <w:top w:val="nil"/>
              <w:left w:val="nil"/>
              <w:bottom w:val="single" w:sz="4" w:space="0" w:color="auto"/>
              <w:right w:val="single" w:sz="4" w:space="0" w:color="auto"/>
            </w:tcBorders>
            <w:shd w:val="clear" w:color="auto" w:fill="auto"/>
            <w:noWrap/>
            <w:vAlign w:val="bottom"/>
            <w:hideMark/>
          </w:tcPr>
          <w:p w14:paraId="6F30809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1.05</w:t>
            </w:r>
          </w:p>
        </w:tc>
        <w:tc>
          <w:tcPr>
            <w:tcW w:w="1530" w:type="dxa"/>
            <w:tcBorders>
              <w:top w:val="nil"/>
              <w:left w:val="nil"/>
              <w:bottom w:val="single" w:sz="4" w:space="0" w:color="auto"/>
              <w:right w:val="single" w:sz="4" w:space="0" w:color="auto"/>
            </w:tcBorders>
            <w:shd w:val="clear" w:color="auto" w:fill="auto"/>
            <w:noWrap/>
            <w:vAlign w:val="bottom"/>
            <w:hideMark/>
          </w:tcPr>
          <w:p w14:paraId="32C26D6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2.20</w:t>
            </w:r>
          </w:p>
        </w:tc>
        <w:tc>
          <w:tcPr>
            <w:tcW w:w="1080" w:type="dxa"/>
            <w:tcBorders>
              <w:top w:val="nil"/>
              <w:left w:val="nil"/>
              <w:bottom w:val="single" w:sz="4" w:space="0" w:color="auto"/>
              <w:right w:val="single" w:sz="4" w:space="0" w:color="auto"/>
            </w:tcBorders>
            <w:shd w:val="clear" w:color="auto" w:fill="auto"/>
            <w:noWrap/>
            <w:vAlign w:val="bottom"/>
            <w:hideMark/>
          </w:tcPr>
          <w:p w14:paraId="67EC2A7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0.02492</w:t>
            </w:r>
          </w:p>
        </w:tc>
      </w:tr>
      <w:tr w:rsidR="0067349A" w:rsidRPr="00CE4E1F" w14:paraId="05290483"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475382A5" w14:textId="2099D249" w:rsidR="0067349A" w:rsidRDefault="0067349A" w:rsidP="00742F09">
            <w:pPr>
              <w:spacing w:line="360" w:lineRule="auto"/>
              <w:contextualSpacing/>
              <w:jc w:val="both"/>
              <w:rPr>
                <w:color w:val="000000"/>
                <w:sz w:val="18"/>
                <w:szCs w:val="18"/>
              </w:rPr>
            </w:pPr>
            <w:r>
              <w:rPr>
                <w:color w:val="000000"/>
                <w:sz w:val="18"/>
                <w:szCs w:val="18"/>
              </w:rPr>
              <w:t>Setting (recurrent vs primary)</w:t>
            </w:r>
          </w:p>
        </w:tc>
        <w:tc>
          <w:tcPr>
            <w:tcW w:w="1098" w:type="dxa"/>
            <w:tcBorders>
              <w:top w:val="nil"/>
              <w:left w:val="nil"/>
              <w:bottom w:val="single" w:sz="4" w:space="0" w:color="auto"/>
              <w:right w:val="single" w:sz="4" w:space="0" w:color="auto"/>
            </w:tcBorders>
            <w:shd w:val="clear" w:color="auto" w:fill="auto"/>
            <w:noWrap/>
            <w:vAlign w:val="bottom"/>
            <w:hideMark/>
          </w:tcPr>
          <w:p w14:paraId="26503A5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2.65</w:t>
            </w:r>
          </w:p>
        </w:tc>
        <w:tc>
          <w:tcPr>
            <w:tcW w:w="1620" w:type="dxa"/>
            <w:tcBorders>
              <w:top w:val="nil"/>
              <w:left w:val="nil"/>
              <w:bottom w:val="single" w:sz="4" w:space="0" w:color="auto"/>
              <w:right w:val="single" w:sz="4" w:space="0" w:color="auto"/>
            </w:tcBorders>
            <w:shd w:val="clear" w:color="auto" w:fill="auto"/>
            <w:noWrap/>
            <w:vAlign w:val="bottom"/>
            <w:hideMark/>
          </w:tcPr>
          <w:p w14:paraId="6EDB944A"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1.78</w:t>
            </w:r>
          </w:p>
        </w:tc>
        <w:tc>
          <w:tcPr>
            <w:tcW w:w="1530" w:type="dxa"/>
            <w:tcBorders>
              <w:top w:val="nil"/>
              <w:left w:val="nil"/>
              <w:bottom w:val="single" w:sz="4" w:space="0" w:color="auto"/>
              <w:right w:val="single" w:sz="4" w:space="0" w:color="auto"/>
            </w:tcBorders>
            <w:shd w:val="clear" w:color="auto" w:fill="auto"/>
            <w:noWrap/>
            <w:vAlign w:val="bottom"/>
            <w:hideMark/>
          </w:tcPr>
          <w:p w14:paraId="78D4D5E9"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3.95</w:t>
            </w:r>
          </w:p>
        </w:tc>
        <w:tc>
          <w:tcPr>
            <w:tcW w:w="1080" w:type="dxa"/>
            <w:tcBorders>
              <w:top w:val="nil"/>
              <w:left w:val="nil"/>
              <w:bottom w:val="single" w:sz="4" w:space="0" w:color="auto"/>
              <w:right w:val="single" w:sz="4" w:space="0" w:color="auto"/>
            </w:tcBorders>
            <w:shd w:val="clear" w:color="auto" w:fill="auto"/>
            <w:noWrap/>
            <w:vAlign w:val="bottom"/>
            <w:hideMark/>
          </w:tcPr>
          <w:p w14:paraId="181F55BD"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1.84E-06</w:t>
            </w:r>
          </w:p>
        </w:tc>
      </w:tr>
      <w:tr w:rsidR="0067349A" w:rsidRPr="00CE4E1F" w14:paraId="59934736"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402A2BD" w14:textId="4824FFFA" w:rsidR="0067349A" w:rsidRPr="00CE4E1F" w:rsidRDefault="0067349A" w:rsidP="00742F09">
            <w:pPr>
              <w:spacing w:line="360" w:lineRule="auto"/>
              <w:contextualSpacing/>
              <w:jc w:val="both"/>
              <w:rPr>
                <w:color w:val="000000"/>
                <w:sz w:val="18"/>
                <w:szCs w:val="18"/>
              </w:rPr>
            </w:pPr>
            <w:r w:rsidRPr="00CE4E1F">
              <w:rPr>
                <w:color w:val="000000"/>
                <w:sz w:val="18"/>
                <w:szCs w:val="18"/>
              </w:rPr>
              <w:t>WHO 2021 grade 2 vs 1</w:t>
            </w:r>
          </w:p>
        </w:tc>
        <w:tc>
          <w:tcPr>
            <w:tcW w:w="1098" w:type="dxa"/>
            <w:tcBorders>
              <w:top w:val="nil"/>
              <w:left w:val="nil"/>
              <w:bottom w:val="single" w:sz="4" w:space="0" w:color="auto"/>
              <w:right w:val="single" w:sz="4" w:space="0" w:color="auto"/>
            </w:tcBorders>
            <w:shd w:val="clear" w:color="auto" w:fill="auto"/>
            <w:noWrap/>
            <w:vAlign w:val="bottom"/>
            <w:hideMark/>
          </w:tcPr>
          <w:p w14:paraId="1386037F"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1.56</w:t>
            </w:r>
          </w:p>
        </w:tc>
        <w:tc>
          <w:tcPr>
            <w:tcW w:w="1620" w:type="dxa"/>
            <w:tcBorders>
              <w:top w:val="nil"/>
              <w:left w:val="nil"/>
              <w:bottom w:val="single" w:sz="4" w:space="0" w:color="auto"/>
              <w:right w:val="single" w:sz="4" w:space="0" w:color="auto"/>
            </w:tcBorders>
            <w:shd w:val="clear" w:color="auto" w:fill="auto"/>
            <w:noWrap/>
            <w:vAlign w:val="bottom"/>
            <w:hideMark/>
          </w:tcPr>
          <w:p w14:paraId="1740E6C5"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0.85</w:t>
            </w:r>
          </w:p>
        </w:tc>
        <w:tc>
          <w:tcPr>
            <w:tcW w:w="1530" w:type="dxa"/>
            <w:tcBorders>
              <w:top w:val="nil"/>
              <w:left w:val="nil"/>
              <w:bottom w:val="single" w:sz="4" w:space="0" w:color="auto"/>
              <w:right w:val="single" w:sz="4" w:space="0" w:color="auto"/>
            </w:tcBorders>
            <w:shd w:val="clear" w:color="auto" w:fill="auto"/>
            <w:noWrap/>
            <w:vAlign w:val="bottom"/>
            <w:hideMark/>
          </w:tcPr>
          <w:p w14:paraId="2FE1DFE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2.87</w:t>
            </w:r>
          </w:p>
        </w:tc>
        <w:tc>
          <w:tcPr>
            <w:tcW w:w="1080" w:type="dxa"/>
            <w:tcBorders>
              <w:top w:val="nil"/>
              <w:left w:val="nil"/>
              <w:bottom w:val="single" w:sz="4" w:space="0" w:color="auto"/>
              <w:right w:val="single" w:sz="4" w:space="0" w:color="auto"/>
            </w:tcBorders>
            <w:shd w:val="clear" w:color="auto" w:fill="auto"/>
            <w:noWrap/>
            <w:vAlign w:val="bottom"/>
            <w:hideMark/>
          </w:tcPr>
          <w:p w14:paraId="075817BC"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0.15566</w:t>
            </w:r>
          </w:p>
        </w:tc>
      </w:tr>
      <w:tr w:rsidR="0067349A" w:rsidRPr="00CE4E1F" w14:paraId="69B83BA7" w14:textId="77777777" w:rsidTr="00E93081">
        <w:trPr>
          <w:trHeight w:val="320"/>
        </w:trPr>
        <w:tc>
          <w:tcPr>
            <w:tcW w:w="4027" w:type="dxa"/>
            <w:tcBorders>
              <w:top w:val="nil"/>
              <w:left w:val="single" w:sz="4" w:space="0" w:color="auto"/>
              <w:bottom w:val="single" w:sz="4" w:space="0" w:color="auto"/>
              <w:right w:val="single" w:sz="4" w:space="0" w:color="auto"/>
            </w:tcBorders>
            <w:vAlign w:val="bottom"/>
          </w:tcPr>
          <w:p w14:paraId="3ACF739B" w14:textId="4E7D0245" w:rsidR="0067349A" w:rsidRPr="00CE4E1F" w:rsidRDefault="0067349A" w:rsidP="00742F09">
            <w:pPr>
              <w:spacing w:line="360" w:lineRule="auto"/>
              <w:contextualSpacing/>
              <w:jc w:val="both"/>
              <w:rPr>
                <w:color w:val="000000"/>
                <w:sz w:val="18"/>
                <w:szCs w:val="18"/>
              </w:rPr>
            </w:pPr>
            <w:r w:rsidRPr="00CE4E1F">
              <w:rPr>
                <w:color w:val="000000"/>
                <w:sz w:val="18"/>
                <w:szCs w:val="18"/>
              </w:rPr>
              <w:t>WHO 2021 grade 3 vs 1</w:t>
            </w:r>
          </w:p>
        </w:tc>
        <w:tc>
          <w:tcPr>
            <w:tcW w:w="1098" w:type="dxa"/>
            <w:tcBorders>
              <w:top w:val="nil"/>
              <w:left w:val="nil"/>
              <w:bottom w:val="single" w:sz="4" w:space="0" w:color="auto"/>
              <w:right w:val="single" w:sz="4" w:space="0" w:color="auto"/>
            </w:tcBorders>
            <w:shd w:val="clear" w:color="auto" w:fill="auto"/>
            <w:noWrap/>
            <w:vAlign w:val="bottom"/>
            <w:hideMark/>
          </w:tcPr>
          <w:p w14:paraId="16348A3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1.95</w:t>
            </w:r>
          </w:p>
        </w:tc>
        <w:tc>
          <w:tcPr>
            <w:tcW w:w="1620" w:type="dxa"/>
            <w:tcBorders>
              <w:top w:val="nil"/>
              <w:left w:val="nil"/>
              <w:bottom w:val="single" w:sz="4" w:space="0" w:color="auto"/>
              <w:right w:val="single" w:sz="4" w:space="0" w:color="auto"/>
            </w:tcBorders>
            <w:shd w:val="clear" w:color="auto" w:fill="auto"/>
            <w:noWrap/>
            <w:vAlign w:val="bottom"/>
            <w:hideMark/>
          </w:tcPr>
          <w:p w14:paraId="78A61320"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1.20</w:t>
            </w:r>
          </w:p>
        </w:tc>
        <w:tc>
          <w:tcPr>
            <w:tcW w:w="1530" w:type="dxa"/>
            <w:tcBorders>
              <w:top w:val="nil"/>
              <w:left w:val="nil"/>
              <w:bottom w:val="single" w:sz="4" w:space="0" w:color="auto"/>
              <w:right w:val="single" w:sz="4" w:space="0" w:color="auto"/>
            </w:tcBorders>
            <w:shd w:val="clear" w:color="auto" w:fill="auto"/>
            <w:noWrap/>
            <w:vAlign w:val="bottom"/>
            <w:hideMark/>
          </w:tcPr>
          <w:p w14:paraId="1638B29B"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3.18</w:t>
            </w:r>
          </w:p>
        </w:tc>
        <w:tc>
          <w:tcPr>
            <w:tcW w:w="1080" w:type="dxa"/>
            <w:tcBorders>
              <w:top w:val="nil"/>
              <w:left w:val="nil"/>
              <w:bottom w:val="single" w:sz="4" w:space="0" w:color="auto"/>
              <w:right w:val="single" w:sz="4" w:space="0" w:color="auto"/>
            </w:tcBorders>
            <w:shd w:val="clear" w:color="auto" w:fill="auto"/>
            <w:noWrap/>
            <w:vAlign w:val="bottom"/>
            <w:hideMark/>
          </w:tcPr>
          <w:p w14:paraId="1828A114" w14:textId="77777777" w:rsidR="0067349A" w:rsidRPr="00CE4E1F" w:rsidRDefault="0067349A" w:rsidP="00742F09">
            <w:pPr>
              <w:spacing w:line="360" w:lineRule="auto"/>
              <w:contextualSpacing/>
              <w:jc w:val="both"/>
              <w:rPr>
                <w:color w:val="000000"/>
                <w:sz w:val="18"/>
                <w:szCs w:val="18"/>
              </w:rPr>
            </w:pPr>
            <w:r w:rsidRPr="00CE4E1F">
              <w:rPr>
                <w:color w:val="000000"/>
                <w:sz w:val="18"/>
                <w:szCs w:val="18"/>
              </w:rPr>
              <w:t>0.00742</w:t>
            </w:r>
          </w:p>
        </w:tc>
      </w:tr>
    </w:tbl>
    <w:p w14:paraId="30E761A1" w14:textId="1707A616" w:rsidR="00522BA6" w:rsidRPr="00CE4E1F" w:rsidRDefault="00773F71" w:rsidP="00742F09">
      <w:pPr>
        <w:widowControl w:val="0"/>
        <w:autoSpaceDE w:val="0"/>
        <w:autoSpaceDN w:val="0"/>
        <w:adjustRightInd w:val="0"/>
        <w:spacing w:line="360" w:lineRule="auto"/>
        <w:contextualSpacing/>
        <w:jc w:val="both"/>
        <w:rPr>
          <w:bCs/>
        </w:rPr>
      </w:pPr>
      <w:r w:rsidRPr="00CE4E1F">
        <w:rPr>
          <w:bCs/>
        </w:rPr>
        <w:t>HR, hazard ratio; IQR, interquartile range; GTR, gross total resection; MVR, multivariate regression; STR, subtotal resection; RT, radiotherapy.</w:t>
      </w:r>
    </w:p>
    <w:p w14:paraId="266C62DB" w14:textId="63BFF7A8" w:rsidR="00522BA6" w:rsidRPr="00CE4E1F" w:rsidRDefault="004A0554" w:rsidP="00742F09">
      <w:pPr>
        <w:spacing w:line="360" w:lineRule="auto"/>
        <w:ind w:left="1440" w:hanging="1440"/>
        <w:contextualSpacing/>
        <w:jc w:val="both"/>
        <w:rPr>
          <w:b/>
        </w:rPr>
      </w:pPr>
      <w:r w:rsidRPr="00CE4E1F">
        <w:rPr>
          <w:b/>
          <w:bCs/>
        </w:rPr>
        <w:br w:type="column"/>
      </w:r>
      <w:r w:rsidR="00522BA6" w:rsidRPr="00CE4E1F">
        <w:rPr>
          <w:b/>
          <w:bCs/>
        </w:rPr>
        <w:lastRenderedPageBreak/>
        <w:t>Table S1</w:t>
      </w:r>
      <w:r w:rsidR="00E93081">
        <w:rPr>
          <w:b/>
          <w:bCs/>
        </w:rPr>
        <w:t>2</w:t>
      </w:r>
      <w:r w:rsidR="00522BA6" w:rsidRPr="00CE4E1F">
        <w:rPr>
          <w:b/>
          <w:bCs/>
        </w:rPr>
        <w:t xml:space="preserve">. </w:t>
      </w:r>
      <w:r w:rsidR="00522BA6" w:rsidRPr="00CE4E1F">
        <w:rPr>
          <w:b/>
        </w:rPr>
        <w:t xml:space="preserve">Propensity matched </w:t>
      </w:r>
      <w:r w:rsidR="00081556" w:rsidRPr="00CE4E1F">
        <w:rPr>
          <w:b/>
        </w:rPr>
        <w:t xml:space="preserve">clinical </w:t>
      </w:r>
      <w:r w:rsidR="00522BA6" w:rsidRPr="00CE4E1F">
        <w:rPr>
          <w:b/>
        </w:rPr>
        <w:t>validation cohort meningiomas.</w:t>
      </w:r>
    </w:p>
    <w:p w14:paraId="682BBCC4" w14:textId="28C1900A" w:rsidR="007D090D" w:rsidRPr="00CE4E1F" w:rsidRDefault="007D090D" w:rsidP="00742F09">
      <w:pPr>
        <w:widowControl w:val="0"/>
        <w:autoSpaceDE w:val="0"/>
        <w:autoSpaceDN w:val="0"/>
        <w:adjustRightInd w:val="0"/>
        <w:spacing w:line="360" w:lineRule="auto"/>
        <w:contextualSpacing/>
        <w:jc w:val="both"/>
        <w:rPr>
          <w:b/>
          <w:bCs/>
        </w:rPr>
      </w:pPr>
    </w:p>
    <w:p w14:paraId="24BF8715" w14:textId="7C6A053D" w:rsidR="00522BA6" w:rsidRPr="00CE4E1F" w:rsidRDefault="00522BA6" w:rsidP="00742F09">
      <w:pPr>
        <w:widowControl w:val="0"/>
        <w:autoSpaceDE w:val="0"/>
        <w:autoSpaceDN w:val="0"/>
        <w:adjustRightInd w:val="0"/>
        <w:spacing w:line="360" w:lineRule="auto"/>
        <w:contextualSpacing/>
        <w:jc w:val="both"/>
        <w:rPr>
          <w:b/>
          <w:bCs/>
        </w:rPr>
      </w:pPr>
      <w:r w:rsidRPr="00CE4E1F">
        <w:rPr>
          <w:b/>
          <w:bCs/>
        </w:rPr>
        <w:t>Unfavorable meningiomas</w:t>
      </w:r>
    </w:p>
    <w:tbl>
      <w:tblPr>
        <w:tblW w:w="9360" w:type="dxa"/>
        <w:tblLook w:val="04A0" w:firstRow="1" w:lastRow="0" w:firstColumn="1" w:lastColumn="0" w:noHBand="0" w:noVBand="1"/>
      </w:tblPr>
      <w:tblGrid>
        <w:gridCol w:w="2358"/>
        <w:gridCol w:w="2735"/>
        <w:gridCol w:w="2735"/>
        <w:gridCol w:w="1532"/>
      </w:tblGrid>
      <w:tr w:rsidR="00522BA6" w:rsidRPr="00CE4E1F" w14:paraId="5AA23CD8" w14:textId="77777777" w:rsidTr="00234A82">
        <w:trPr>
          <w:trHeight w:val="32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5D372" w14:textId="77777777"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Variable</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348D6793" w14:textId="77777777"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RT - Yes (N=80)</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2FCB3DDC" w14:textId="77777777"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RT - No (N=136)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310E808" w14:textId="77777777"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P-Value</w:t>
            </w:r>
          </w:p>
        </w:tc>
      </w:tr>
      <w:tr w:rsidR="00522BA6" w:rsidRPr="00CE4E1F" w14:paraId="5D454EAC"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D04FE51"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GTR</w:t>
            </w:r>
          </w:p>
        </w:tc>
        <w:tc>
          <w:tcPr>
            <w:tcW w:w="2320" w:type="dxa"/>
            <w:tcBorders>
              <w:top w:val="nil"/>
              <w:left w:val="nil"/>
              <w:bottom w:val="single" w:sz="4" w:space="0" w:color="auto"/>
              <w:right w:val="single" w:sz="4" w:space="0" w:color="auto"/>
            </w:tcBorders>
            <w:shd w:val="clear" w:color="auto" w:fill="auto"/>
            <w:noWrap/>
            <w:vAlign w:val="bottom"/>
            <w:hideMark/>
          </w:tcPr>
          <w:p w14:paraId="639D26B7"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35 (43.8)</w:t>
            </w:r>
          </w:p>
        </w:tc>
        <w:tc>
          <w:tcPr>
            <w:tcW w:w="2320" w:type="dxa"/>
            <w:tcBorders>
              <w:top w:val="nil"/>
              <w:left w:val="nil"/>
              <w:bottom w:val="single" w:sz="4" w:space="0" w:color="auto"/>
              <w:right w:val="single" w:sz="4" w:space="0" w:color="auto"/>
            </w:tcBorders>
            <w:shd w:val="clear" w:color="auto" w:fill="auto"/>
            <w:noWrap/>
            <w:vAlign w:val="bottom"/>
            <w:hideMark/>
          </w:tcPr>
          <w:p w14:paraId="1EE32AA7"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48 (35.3)</w:t>
            </w:r>
          </w:p>
        </w:tc>
        <w:tc>
          <w:tcPr>
            <w:tcW w:w="1300" w:type="dxa"/>
            <w:tcBorders>
              <w:top w:val="nil"/>
              <w:left w:val="nil"/>
              <w:bottom w:val="single" w:sz="4" w:space="0" w:color="auto"/>
              <w:right w:val="single" w:sz="4" w:space="0" w:color="auto"/>
            </w:tcBorders>
            <w:shd w:val="clear" w:color="auto" w:fill="auto"/>
            <w:noWrap/>
            <w:vAlign w:val="bottom"/>
            <w:hideMark/>
          </w:tcPr>
          <w:p w14:paraId="0BE7F8ED"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P=0.25</w:t>
            </w:r>
          </w:p>
        </w:tc>
      </w:tr>
      <w:tr w:rsidR="00522BA6" w:rsidRPr="00CE4E1F" w14:paraId="21157138"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E80DA0"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STR</w:t>
            </w:r>
          </w:p>
        </w:tc>
        <w:tc>
          <w:tcPr>
            <w:tcW w:w="2320" w:type="dxa"/>
            <w:tcBorders>
              <w:top w:val="nil"/>
              <w:left w:val="nil"/>
              <w:bottom w:val="single" w:sz="4" w:space="0" w:color="auto"/>
              <w:right w:val="single" w:sz="4" w:space="0" w:color="auto"/>
            </w:tcBorders>
            <w:shd w:val="clear" w:color="auto" w:fill="auto"/>
            <w:noWrap/>
            <w:vAlign w:val="bottom"/>
            <w:hideMark/>
          </w:tcPr>
          <w:p w14:paraId="4F5F979A"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45 (56.2)</w:t>
            </w:r>
          </w:p>
        </w:tc>
        <w:tc>
          <w:tcPr>
            <w:tcW w:w="2320" w:type="dxa"/>
            <w:tcBorders>
              <w:top w:val="nil"/>
              <w:left w:val="nil"/>
              <w:bottom w:val="single" w:sz="4" w:space="0" w:color="auto"/>
              <w:right w:val="single" w:sz="4" w:space="0" w:color="auto"/>
            </w:tcBorders>
            <w:shd w:val="clear" w:color="auto" w:fill="auto"/>
            <w:noWrap/>
            <w:vAlign w:val="bottom"/>
            <w:hideMark/>
          </w:tcPr>
          <w:p w14:paraId="2147DF0A"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88 (64.7)</w:t>
            </w:r>
          </w:p>
        </w:tc>
        <w:tc>
          <w:tcPr>
            <w:tcW w:w="1300" w:type="dxa"/>
            <w:tcBorders>
              <w:top w:val="nil"/>
              <w:left w:val="nil"/>
              <w:bottom w:val="single" w:sz="4" w:space="0" w:color="auto"/>
              <w:right w:val="single" w:sz="4" w:space="0" w:color="auto"/>
            </w:tcBorders>
            <w:shd w:val="clear" w:color="auto" w:fill="auto"/>
            <w:noWrap/>
            <w:vAlign w:val="bottom"/>
            <w:hideMark/>
          </w:tcPr>
          <w:p w14:paraId="5D445248"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66794B0E"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A53BBF" w14:textId="54809566" w:rsidR="00522BA6" w:rsidRPr="00234A82" w:rsidRDefault="005E7452" w:rsidP="00742F09">
            <w:pPr>
              <w:spacing w:line="360" w:lineRule="auto"/>
              <w:contextualSpacing/>
              <w:jc w:val="both"/>
              <w:rPr>
                <w:b/>
                <w:bCs/>
                <w:color w:val="000000"/>
                <w:sz w:val="18"/>
                <w:szCs w:val="18"/>
              </w:rPr>
            </w:pPr>
            <w:r>
              <w:rPr>
                <w:b/>
                <w:bCs/>
                <w:color w:val="000000"/>
                <w:sz w:val="18"/>
                <w:szCs w:val="18"/>
              </w:rPr>
              <w:t>Gene expression risk score</w:t>
            </w:r>
          </w:p>
        </w:tc>
        <w:tc>
          <w:tcPr>
            <w:tcW w:w="2320" w:type="dxa"/>
            <w:tcBorders>
              <w:top w:val="nil"/>
              <w:left w:val="nil"/>
              <w:bottom w:val="single" w:sz="4" w:space="0" w:color="auto"/>
              <w:right w:val="single" w:sz="4" w:space="0" w:color="auto"/>
            </w:tcBorders>
            <w:shd w:val="clear" w:color="auto" w:fill="auto"/>
            <w:noWrap/>
            <w:vAlign w:val="bottom"/>
            <w:hideMark/>
          </w:tcPr>
          <w:p w14:paraId="33F1F663"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0.612 (IQR 0.53-0.70)</w:t>
            </w:r>
          </w:p>
        </w:tc>
        <w:tc>
          <w:tcPr>
            <w:tcW w:w="2320" w:type="dxa"/>
            <w:tcBorders>
              <w:top w:val="nil"/>
              <w:left w:val="nil"/>
              <w:bottom w:val="single" w:sz="4" w:space="0" w:color="auto"/>
              <w:right w:val="single" w:sz="4" w:space="0" w:color="auto"/>
            </w:tcBorders>
            <w:shd w:val="clear" w:color="auto" w:fill="auto"/>
            <w:noWrap/>
            <w:vAlign w:val="bottom"/>
            <w:hideMark/>
          </w:tcPr>
          <w:p w14:paraId="6486124C"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0.637 (IQR 0.56-0.71)</w:t>
            </w:r>
          </w:p>
        </w:tc>
        <w:tc>
          <w:tcPr>
            <w:tcW w:w="1300" w:type="dxa"/>
            <w:tcBorders>
              <w:top w:val="nil"/>
              <w:left w:val="nil"/>
              <w:bottom w:val="single" w:sz="4" w:space="0" w:color="auto"/>
              <w:right w:val="single" w:sz="4" w:space="0" w:color="auto"/>
            </w:tcBorders>
            <w:shd w:val="clear" w:color="auto" w:fill="auto"/>
            <w:noWrap/>
            <w:vAlign w:val="bottom"/>
            <w:hideMark/>
          </w:tcPr>
          <w:p w14:paraId="0678E1C1"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P=0.55</w:t>
            </w:r>
          </w:p>
        </w:tc>
      </w:tr>
      <w:tr w:rsidR="00522BA6" w:rsidRPr="00CE4E1F" w14:paraId="73DE68B0"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413CCA" w14:textId="178B4A46" w:rsidR="00522BA6" w:rsidRPr="00234A82" w:rsidRDefault="005E7452" w:rsidP="00742F09">
            <w:pPr>
              <w:spacing w:line="360" w:lineRule="auto"/>
              <w:contextualSpacing/>
              <w:jc w:val="both"/>
              <w:rPr>
                <w:b/>
                <w:bCs/>
                <w:color w:val="000000"/>
                <w:sz w:val="18"/>
                <w:szCs w:val="18"/>
              </w:rPr>
            </w:pPr>
            <w:r>
              <w:rPr>
                <w:b/>
                <w:bCs/>
                <w:color w:val="000000"/>
                <w:sz w:val="18"/>
                <w:szCs w:val="18"/>
              </w:rPr>
              <w:t>Gene expression risk score</w:t>
            </w:r>
            <w:r w:rsidR="00522BA6" w:rsidRPr="00234A82">
              <w:rPr>
                <w:b/>
                <w:bCs/>
                <w:color w:val="000000"/>
                <w:sz w:val="18"/>
                <w:szCs w:val="18"/>
              </w:rPr>
              <w:t xml:space="preserve"> </w:t>
            </w:r>
            <w:r w:rsidR="005F65F5">
              <w:rPr>
                <w:b/>
                <w:bCs/>
                <w:color w:val="000000"/>
                <w:sz w:val="18"/>
                <w:szCs w:val="18"/>
              </w:rPr>
              <w:t>g</w:t>
            </w:r>
            <w:r w:rsidR="00522BA6" w:rsidRPr="00234A82">
              <w:rPr>
                <w:b/>
                <w:bCs/>
                <w:color w:val="000000"/>
                <w:sz w:val="18"/>
                <w:szCs w:val="18"/>
              </w:rPr>
              <w:t>roup</w:t>
            </w:r>
          </w:p>
        </w:tc>
        <w:tc>
          <w:tcPr>
            <w:tcW w:w="2320" w:type="dxa"/>
            <w:tcBorders>
              <w:top w:val="nil"/>
              <w:left w:val="nil"/>
              <w:bottom w:val="single" w:sz="4" w:space="0" w:color="auto"/>
              <w:right w:val="single" w:sz="4" w:space="0" w:color="auto"/>
            </w:tcBorders>
            <w:shd w:val="clear" w:color="auto" w:fill="auto"/>
            <w:noWrap/>
            <w:vAlign w:val="bottom"/>
            <w:hideMark/>
          </w:tcPr>
          <w:p w14:paraId="1FC5F005"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795B31B"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1504CAA2"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30528E9D"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6631EDA"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Low</w:t>
            </w:r>
          </w:p>
        </w:tc>
        <w:tc>
          <w:tcPr>
            <w:tcW w:w="2320" w:type="dxa"/>
            <w:tcBorders>
              <w:top w:val="nil"/>
              <w:left w:val="nil"/>
              <w:bottom w:val="single" w:sz="4" w:space="0" w:color="auto"/>
              <w:right w:val="single" w:sz="4" w:space="0" w:color="auto"/>
            </w:tcBorders>
            <w:shd w:val="clear" w:color="auto" w:fill="auto"/>
            <w:noWrap/>
            <w:vAlign w:val="bottom"/>
            <w:hideMark/>
          </w:tcPr>
          <w:p w14:paraId="13A34EDD"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NA</w:t>
            </w:r>
          </w:p>
        </w:tc>
        <w:tc>
          <w:tcPr>
            <w:tcW w:w="2320" w:type="dxa"/>
            <w:tcBorders>
              <w:top w:val="nil"/>
              <w:left w:val="nil"/>
              <w:bottom w:val="single" w:sz="4" w:space="0" w:color="auto"/>
              <w:right w:val="single" w:sz="4" w:space="0" w:color="auto"/>
            </w:tcBorders>
            <w:shd w:val="clear" w:color="auto" w:fill="auto"/>
            <w:noWrap/>
            <w:vAlign w:val="bottom"/>
            <w:hideMark/>
          </w:tcPr>
          <w:p w14:paraId="7B153A91"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NA</w:t>
            </w:r>
          </w:p>
        </w:tc>
        <w:tc>
          <w:tcPr>
            <w:tcW w:w="1300" w:type="dxa"/>
            <w:tcBorders>
              <w:top w:val="nil"/>
              <w:left w:val="nil"/>
              <w:bottom w:val="single" w:sz="4" w:space="0" w:color="auto"/>
              <w:right w:val="single" w:sz="4" w:space="0" w:color="auto"/>
            </w:tcBorders>
            <w:shd w:val="clear" w:color="auto" w:fill="auto"/>
            <w:noWrap/>
            <w:vAlign w:val="bottom"/>
            <w:hideMark/>
          </w:tcPr>
          <w:p w14:paraId="7874B50C"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7DD7435F"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A35DD3F"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Intermediate</w:t>
            </w:r>
          </w:p>
        </w:tc>
        <w:tc>
          <w:tcPr>
            <w:tcW w:w="2320" w:type="dxa"/>
            <w:tcBorders>
              <w:top w:val="nil"/>
              <w:left w:val="nil"/>
              <w:bottom w:val="single" w:sz="4" w:space="0" w:color="auto"/>
              <w:right w:val="single" w:sz="4" w:space="0" w:color="auto"/>
            </w:tcBorders>
            <w:shd w:val="clear" w:color="auto" w:fill="auto"/>
            <w:noWrap/>
            <w:vAlign w:val="bottom"/>
            <w:hideMark/>
          </w:tcPr>
          <w:p w14:paraId="2F75AD47"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26 (32.5)</w:t>
            </w:r>
          </w:p>
        </w:tc>
        <w:tc>
          <w:tcPr>
            <w:tcW w:w="2320" w:type="dxa"/>
            <w:tcBorders>
              <w:top w:val="nil"/>
              <w:left w:val="nil"/>
              <w:bottom w:val="single" w:sz="4" w:space="0" w:color="auto"/>
              <w:right w:val="single" w:sz="4" w:space="0" w:color="auto"/>
            </w:tcBorders>
            <w:shd w:val="clear" w:color="auto" w:fill="auto"/>
            <w:noWrap/>
            <w:vAlign w:val="bottom"/>
            <w:hideMark/>
          </w:tcPr>
          <w:p w14:paraId="50854C24"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36 (26.5)</w:t>
            </w:r>
          </w:p>
        </w:tc>
        <w:tc>
          <w:tcPr>
            <w:tcW w:w="1300" w:type="dxa"/>
            <w:tcBorders>
              <w:top w:val="nil"/>
              <w:left w:val="nil"/>
              <w:bottom w:val="single" w:sz="4" w:space="0" w:color="auto"/>
              <w:right w:val="single" w:sz="4" w:space="0" w:color="auto"/>
            </w:tcBorders>
            <w:shd w:val="clear" w:color="auto" w:fill="auto"/>
            <w:noWrap/>
            <w:vAlign w:val="bottom"/>
            <w:hideMark/>
          </w:tcPr>
          <w:p w14:paraId="24C6E8A2"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P=0.35</w:t>
            </w:r>
          </w:p>
        </w:tc>
      </w:tr>
      <w:tr w:rsidR="00522BA6" w:rsidRPr="00CE4E1F" w14:paraId="5109B576"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40A060"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High</w:t>
            </w:r>
          </w:p>
        </w:tc>
        <w:tc>
          <w:tcPr>
            <w:tcW w:w="2320" w:type="dxa"/>
            <w:tcBorders>
              <w:top w:val="nil"/>
              <w:left w:val="nil"/>
              <w:bottom w:val="single" w:sz="4" w:space="0" w:color="auto"/>
              <w:right w:val="single" w:sz="4" w:space="0" w:color="auto"/>
            </w:tcBorders>
            <w:shd w:val="clear" w:color="auto" w:fill="auto"/>
            <w:noWrap/>
            <w:vAlign w:val="bottom"/>
            <w:hideMark/>
          </w:tcPr>
          <w:p w14:paraId="38556F4C"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54 (67.5)</w:t>
            </w:r>
          </w:p>
        </w:tc>
        <w:tc>
          <w:tcPr>
            <w:tcW w:w="2320" w:type="dxa"/>
            <w:tcBorders>
              <w:top w:val="nil"/>
              <w:left w:val="nil"/>
              <w:bottom w:val="single" w:sz="4" w:space="0" w:color="auto"/>
              <w:right w:val="single" w:sz="4" w:space="0" w:color="auto"/>
            </w:tcBorders>
            <w:shd w:val="clear" w:color="auto" w:fill="auto"/>
            <w:noWrap/>
            <w:vAlign w:val="bottom"/>
            <w:hideMark/>
          </w:tcPr>
          <w:p w14:paraId="409B8A14"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100 (73.5)</w:t>
            </w:r>
          </w:p>
        </w:tc>
        <w:tc>
          <w:tcPr>
            <w:tcW w:w="1300" w:type="dxa"/>
            <w:tcBorders>
              <w:top w:val="nil"/>
              <w:left w:val="nil"/>
              <w:bottom w:val="single" w:sz="4" w:space="0" w:color="auto"/>
              <w:right w:val="single" w:sz="4" w:space="0" w:color="auto"/>
            </w:tcBorders>
            <w:shd w:val="clear" w:color="auto" w:fill="auto"/>
            <w:noWrap/>
            <w:vAlign w:val="bottom"/>
            <w:hideMark/>
          </w:tcPr>
          <w:p w14:paraId="2A0D0872"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3D1EED28"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83449C" w14:textId="55AD2470"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 xml:space="preserve">WHO 2016 </w:t>
            </w:r>
            <w:r w:rsidR="005E7452">
              <w:rPr>
                <w:b/>
                <w:bCs/>
                <w:color w:val="000000"/>
                <w:sz w:val="18"/>
                <w:szCs w:val="18"/>
              </w:rPr>
              <w:t>grade</w:t>
            </w:r>
          </w:p>
        </w:tc>
        <w:tc>
          <w:tcPr>
            <w:tcW w:w="2320" w:type="dxa"/>
            <w:tcBorders>
              <w:top w:val="nil"/>
              <w:left w:val="nil"/>
              <w:bottom w:val="single" w:sz="4" w:space="0" w:color="auto"/>
              <w:right w:val="single" w:sz="4" w:space="0" w:color="auto"/>
            </w:tcBorders>
            <w:shd w:val="clear" w:color="auto" w:fill="auto"/>
            <w:noWrap/>
            <w:vAlign w:val="bottom"/>
            <w:hideMark/>
          </w:tcPr>
          <w:p w14:paraId="52EBFF38"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2AAEC92"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2428617"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3D40D393"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67CF856"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1</w:t>
            </w:r>
          </w:p>
        </w:tc>
        <w:tc>
          <w:tcPr>
            <w:tcW w:w="2320" w:type="dxa"/>
            <w:tcBorders>
              <w:top w:val="nil"/>
              <w:left w:val="nil"/>
              <w:bottom w:val="single" w:sz="4" w:space="0" w:color="auto"/>
              <w:right w:val="single" w:sz="4" w:space="0" w:color="auto"/>
            </w:tcBorders>
            <w:shd w:val="clear" w:color="auto" w:fill="auto"/>
            <w:noWrap/>
            <w:vAlign w:val="bottom"/>
            <w:hideMark/>
          </w:tcPr>
          <w:p w14:paraId="634FEF28"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9 (11.3)</w:t>
            </w:r>
          </w:p>
        </w:tc>
        <w:tc>
          <w:tcPr>
            <w:tcW w:w="2320" w:type="dxa"/>
            <w:tcBorders>
              <w:top w:val="nil"/>
              <w:left w:val="nil"/>
              <w:bottom w:val="single" w:sz="4" w:space="0" w:color="auto"/>
              <w:right w:val="single" w:sz="4" w:space="0" w:color="auto"/>
            </w:tcBorders>
            <w:shd w:val="clear" w:color="auto" w:fill="auto"/>
            <w:noWrap/>
            <w:vAlign w:val="bottom"/>
            <w:hideMark/>
          </w:tcPr>
          <w:p w14:paraId="0C96AB4C"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27 (19.9)</w:t>
            </w:r>
          </w:p>
        </w:tc>
        <w:tc>
          <w:tcPr>
            <w:tcW w:w="1300" w:type="dxa"/>
            <w:tcBorders>
              <w:top w:val="nil"/>
              <w:left w:val="nil"/>
              <w:bottom w:val="single" w:sz="4" w:space="0" w:color="auto"/>
              <w:right w:val="single" w:sz="4" w:space="0" w:color="auto"/>
            </w:tcBorders>
            <w:shd w:val="clear" w:color="auto" w:fill="auto"/>
            <w:noWrap/>
            <w:vAlign w:val="bottom"/>
            <w:hideMark/>
          </w:tcPr>
          <w:p w14:paraId="0B364D51"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P=0.07</w:t>
            </w:r>
          </w:p>
        </w:tc>
      </w:tr>
      <w:tr w:rsidR="00522BA6" w:rsidRPr="00CE4E1F" w14:paraId="592BCB22"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B017C40"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2</w:t>
            </w:r>
          </w:p>
        </w:tc>
        <w:tc>
          <w:tcPr>
            <w:tcW w:w="2320" w:type="dxa"/>
            <w:tcBorders>
              <w:top w:val="nil"/>
              <w:left w:val="nil"/>
              <w:bottom w:val="single" w:sz="4" w:space="0" w:color="auto"/>
              <w:right w:val="single" w:sz="4" w:space="0" w:color="auto"/>
            </w:tcBorders>
            <w:shd w:val="clear" w:color="auto" w:fill="auto"/>
            <w:noWrap/>
            <w:vAlign w:val="bottom"/>
            <w:hideMark/>
          </w:tcPr>
          <w:p w14:paraId="030898E4"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45 (56.3)</w:t>
            </w:r>
          </w:p>
        </w:tc>
        <w:tc>
          <w:tcPr>
            <w:tcW w:w="2320" w:type="dxa"/>
            <w:tcBorders>
              <w:top w:val="nil"/>
              <w:left w:val="nil"/>
              <w:bottom w:val="single" w:sz="4" w:space="0" w:color="auto"/>
              <w:right w:val="single" w:sz="4" w:space="0" w:color="auto"/>
            </w:tcBorders>
            <w:shd w:val="clear" w:color="auto" w:fill="auto"/>
            <w:noWrap/>
            <w:vAlign w:val="bottom"/>
            <w:hideMark/>
          </w:tcPr>
          <w:p w14:paraId="7BDE1D32"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56 (41.2)</w:t>
            </w:r>
          </w:p>
        </w:tc>
        <w:tc>
          <w:tcPr>
            <w:tcW w:w="1300" w:type="dxa"/>
            <w:tcBorders>
              <w:top w:val="nil"/>
              <w:left w:val="nil"/>
              <w:bottom w:val="single" w:sz="4" w:space="0" w:color="auto"/>
              <w:right w:val="single" w:sz="4" w:space="0" w:color="auto"/>
            </w:tcBorders>
            <w:shd w:val="clear" w:color="auto" w:fill="auto"/>
            <w:noWrap/>
            <w:vAlign w:val="bottom"/>
            <w:hideMark/>
          </w:tcPr>
          <w:p w14:paraId="1312F41D"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47DC9F15"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1CC5F3"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3</w:t>
            </w:r>
          </w:p>
        </w:tc>
        <w:tc>
          <w:tcPr>
            <w:tcW w:w="2320" w:type="dxa"/>
            <w:tcBorders>
              <w:top w:val="nil"/>
              <w:left w:val="nil"/>
              <w:bottom w:val="single" w:sz="4" w:space="0" w:color="auto"/>
              <w:right w:val="single" w:sz="4" w:space="0" w:color="auto"/>
            </w:tcBorders>
            <w:shd w:val="clear" w:color="auto" w:fill="auto"/>
            <w:noWrap/>
            <w:vAlign w:val="bottom"/>
            <w:hideMark/>
          </w:tcPr>
          <w:p w14:paraId="6AE2B2A6"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26 (32.5)</w:t>
            </w:r>
          </w:p>
        </w:tc>
        <w:tc>
          <w:tcPr>
            <w:tcW w:w="2320" w:type="dxa"/>
            <w:tcBorders>
              <w:top w:val="nil"/>
              <w:left w:val="nil"/>
              <w:bottom w:val="single" w:sz="4" w:space="0" w:color="auto"/>
              <w:right w:val="single" w:sz="4" w:space="0" w:color="auto"/>
            </w:tcBorders>
            <w:shd w:val="clear" w:color="auto" w:fill="auto"/>
            <w:noWrap/>
            <w:vAlign w:val="bottom"/>
            <w:hideMark/>
          </w:tcPr>
          <w:p w14:paraId="15EC6D11"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53 (39.0)</w:t>
            </w:r>
          </w:p>
        </w:tc>
        <w:tc>
          <w:tcPr>
            <w:tcW w:w="1300" w:type="dxa"/>
            <w:tcBorders>
              <w:top w:val="nil"/>
              <w:left w:val="nil"/>
              <w:bottom w:val="single" w:sz="4" w:space="0" w:color="auto"/>
              <w:right w:val="single" w:sz="4" w:space="0" w:color="auto"/>
            </w:tcBorders>
            <w:shd w:val="clear" w:color="auto" w:fill="auto"/>
            <w:noWrap/>
            <w:vAlign w:val="bottom"/>
            <w:hideMark/>
          </w:tcPr>
          <w:p w14:paraId="2A20D01D"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bl>
    <w:p w14:paraId="25CEF085" w14:textId="4677700E" w:rsidR="00522BA6" w:rsidRPr="00CE4E1F" w:rsidRDefault="004A197A" w:rsidP="00742F09">
      <w:pPr>
        <w:widowControl w:val="0"/>
        <w:autoSpaceDE w:val="0"/>
        <w:autoSpaceDN w:val="0"/>
        <w:adjustRightInd w:val="0"/>
        <w:spacing w:line="360" w:lineRule="auto"/>
        <w:contextualSpacing/>
        <w:jc w:val="both"/>
        <w:rPr>
          <w:bCs/>
        </w:rPr>
      </w:pPr>
      <w:r w:rsidRPr="00CE4E1F">
        <w:rPr>
          <w:bCs/>
        </w:rPr>
        <w:t>IQR, interquartile range, GTR, gross total resection; STR, subtotal resection; RT, radiotherapy.</w:t>
      </w:r>
    </w:p>
    <w:p w14:paraId="6F129117" w14:textId="77777777" w:rsidR="004A0554" w:rsidRPr="00CE4E1F" w:rsidRDefault="004A0554" w:rsidP="00742F09">
      <w:pPr>
        <w:widowControl w:val="0"/>
        <w:autoSpaceDE w:val="0"/>
        <w:autoSpaceDN w:val="0"/>
        <w:adjustRightInd w:val="0"/>
        <w:spacing w:line="360" w:lineRule="auto"/>
        <w:contextualSpacing/>
        <w:jc w:val="both"/>
        <w:rPr>
          <w:bCs/>
        </w:rPr>
      </w:pPr>
    </w:p>
    <w:p w14:paraId="1D9B1B47" w14:textId="28A84C43" w:rsidR="00522BA6" w:rsidRPr="00CE4E1F" w:rsidRDefault="00522BA6" w:rsidP="00742F09">
      <w:pPr>
        <w:widowControl w:val="0"/>
        <w:autoSpaceDE w:val="0"/>
        <w:autoSpaceDN w:val="0"/>
        <w:adjustRightInd w:val="0"/>
        <w:spacing w:line="360" w:lineRule="auto"/>
        <w:contextualSpacing/>
        <w:jc w:val="both"/>
        <w:rPr>
          <w:b/>
          <w:bCs/>
        </w:rPr>
      </w:pPr>
      <w:r w:rsidRPr="00CE4E1F">
        <w:rPr>
          <w:b/>
          <w:bCs/>
        </w:rPr>
        <w:t>Favorable meningiomas</w:t>
      </w:r>
    </w:p>
    <w:tbl>
      <w:tblPr>
        <w:tblW w:w="9360" w:type="dxa"/>
        <w:tblLook w:val="04A0" w:firstRow="1" w:lastRow="0" w:firstColumn="1" w:lastColumn="0" w:noHBand="0" w:noVBand="1"/>
      </w:tblPr>
      <w:tblGrid>
        <w:gridCol w:w="2358"/>
        <w:gridCol w:w="2735"/>
        <w:gridCol w:w="2735"/>
        <w:gridCol w:w="1532"/>
      </w:tblGrid>
      <w:tr w:rsidR="00522BA6" w:rsidRPr="00CE4E1F" w14:paraId="4EA32722" w14:textId="77777777" w:rsidTr="00234A82">
        <w:trPr>
          <w:trHeight w:val="32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16339" w14:textId="77777777"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Variable</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792887E7" w14:textId="77777777"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RT - Yes (N=37)</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22F28F0C" w14:textId="77777777"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RT - No (N=87)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E668903" w14:textId="77777777"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P-Value</w:t>
            </w:r>
          </w:p>
        </w:tc>
      </w:tr>
      <w:tr w:rsidR="00522BA6" w:rsidRPr="00CE4E1F" w14:paraId="124E4CDE"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4212488"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GTR</w:t>
            </w:r>
          </w:p>
        </w:tc>
        <w:tc>
          <w:tcPr>
            <w:tcW w:w="2320" w:type="dxa"/>
            <w:tcBorders>
              <w:top w:val="nil"/>
              <w:left w:val="nil"/>
              <w:bottom w:val="single" w:sz="4" w:space="0" w:color="auto"/>
              <w:right w:val="single" w:sz="4" w:space="0" w:color="auto"/>
            </w:tcBorders>
            <w:shd w:val="clear" w:color="auto" w:fill="auto"/>
            <w:noWrap/>
            <w:vAlign w:val="bottom"/>
            <w:hideMark/>
          </w:tcPr>
          <w:p w14:paraId="668365CC"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30 (81.1)</w:t>
            </w:r>
          </w:p>
        </w:tc>
        <w:tc>
          <w:tcPr>
            <w:tcW w:w="2320" w:type="dxa"/>
            <w:tcBorders>
              <w:top w:val="nil"/>
              <w:left w:val="nil"/>
              <w:bottom w:val="single" w:sz="4" w:space="0" w:color="auto"/>
              <w:right w:val="single" w:sz="4" w:space="0" w:color="auto"/>
            </w:tcBorders>
            <w:shd w:val="clear" w:color="auto" w:fill="auto"/>
            <w:noWrap/>
            <w:vAlign w:val="bottom"/>
            <w:hideMark/>
          </w:tcPr>
          <w:p w14:paraId="59E52EA1"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77 (88.5)</w:t>
            </w:r>
          </w:p>
        </w:tc>
        <w:tc>
          <w:tcPr>
            <w:tcW w:w="1300" w:type="dxa"/>
            <w:tcBorders>
              <w:top w:val="nil"/>
              <w:left w:val="nil"/>
              <w:bottom w:val="single" w:sz="4" w:space="0" w:color="auto"/>
              <w:right w:val="single" w:sz="4" w:space="0" w:color="auto"/>
            </w:tcBorders>
            <w:shd w:val="clear" w:color="auto" w:fill="auto"/>
            <w:noWrap/>
            <w:vAlign w:val="bottom"/>
            <w:hideMark/>
          </w:tcPr>
          <w:p w14:paraId="483AC96E"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P=0.27</w:t>
            </w:r>
          </w:p>
        </w:tc>
      </w:tr>
      <w:tr w:rsidR="00522BA6" w:rsidRPr="00CE4E1F" w14:paraId="049DF445"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E79433"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STR</w:t>
            </w:r>
          </w:p>
        </w:tc>
        <w:tc>
          <w:tcPr>
            <w:tcW w:w="2320" w:type="dxa"/>
            <w:tcBorders>
              <w:top w:val="nil"/>
              <w:left w:val="nil"/>
              <w:bottom w:val="single" w:sz="4" w:space="0" w:color="auto"/>
              <w:right w:val="single" w:sz="4" w:space="0" w:color="auto"/>
            </w:tcBorders>
            <w:shd w:val="clear" w:color="auto" w:fill="auto"/>
            <w:noWrap/>
            <w:vAlign w:val="bottom"/>
            <w:hideMark/>
          </w:tcPr>
          <w:p w14:paraId="2F2D412B"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7 (18.9)</w:t>
            </w:r>
          </w:p>
        </w:tc>
        <w:tc>
          <w:tcPr>
            <w:tcW w:w="2320" w:type="dxa"/>
            <w:tcBorders>
              <w:top w:val="nil"/>
              <w:left w:val="nil"/>
              <w:bottom w:val="single" w:sz="4" w:space="0" w:color="auto"/>
              <w:right w:val="single" w:sz="4" w:space="0" w:color="auto"/>
            </w:tcBorders>
            <w:shd w:val="clear" w:color="auto" w:fill="auto"/>
            <w:noWrap/>
            <w:vAlign w:val="bottom"/>
            <w:hideMark/>
          </w:tcPr>
          <w:p w14:paraId="7629E3E3"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10 (11.5)</w:t>
            </w:r>
          </w:p>
        </w:tc>
        <w:tc>
          <w:tcPr>
            <w:tcW w:w="1300" w:type="dxa"/>
            <w:tcBorders>
              <w:top w:val="nil"/>
              <w:left w:val="nil"/>
              <w:bottom w:val="single" w:sz="4" w:space="0" w:color="auto"/>
              <w:right w:val="single" w:sz="4" w:space="0" w:color="auto"/>
            </w:tcBorders>
            <w:shd w:val="clear" w:color="auto" w:fill="auto"/>
            <w:noWrap/>
            <w:vAlign w:val="bottom"/>
            <w:hideMark/>
          </w:tcPr>
          <w:p w14:paraId="4018706E"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00C6B7B0"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AB0B968" w14:textId="6E5BC1B0" w:rsidR="00522BA6" w:rsidRPr="00234A82" w:rsidRDefault="005E7452" w:rsidP="00742F09">
            <w:pPr>
              <w:spacing w:line="360" w:lineRule="auto"/>
              <w:contextualSpacing/>
              <w:jc w:val="both"/>
              <w:rPr>
                <w:b/>
                <w:bCs/>
                <w:color w:val="000000"/>
                <w:sz w:val="18"/>
                <w:szCs w:val="18"/>
              </w:rPr>
            </w:pPr>
            <w:r>
              <w:rPr>
                <w:b/>
                <w:bCs/>
                <w:color w:val="000000"/>
                <w:sz w:val="18"/>
                <w:szCs w:val="18"/>
              </w:rPr>
              <w:t>Gene expression risk score</w:t>
            </w:r>
          </w:p>
        </w:tc>
        <w:tc>
          <w:tcPr>
            <w:tcW w:w="2320" w:type="dxa"/>
            <w:tcBorders>
              <w:top w:val="nil"/>
              <w:left w:val="nil"/>
              <w:bottom w:val="single" w:sz="4" w:space="0" w:color="auto"/>
              <w:right w:val="single" w:sz="4" w:space="0" w:color="auto"/>
            </w:tcBorders>
            <w:shd w:val="clear" w:color="auto" w:fill="auto"/>
            <w:noWrap/>
            <w:vAlign w:val="bottom"/>
            <w:hideMark/>
          </w:tcPr>
          <w:p w14:paraId="28C5A96B"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0.467 (IQR 0.35-0.52)</w:t>
            </w:r>
          </w:p>
        </w:tc>
        <w:tc>
          <w:tcPr>
            <w:tcW w:w="2320" w:type="dxa"/>
            <w:tcBorders>
              <w:top w:val="nil"/>
              <w:left w:val="nil"/>
              <w:bottom w:val="single" w:sz="4" w:space="0" w:color="auto"/>
              <w:right w:val="single" w:sz="4" w:space="0" w:color="auto"/>
            </w:tcBorders>
            <w:shd w:val="clear" w:color="auto" w:fill="auto"/>
            <w:noWrap/>
            <w:vAlign w:val="bottom"/>
            <w:hideMark/>
          </w:tcPr>
          <w:p w14:paraId="42013128"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0.451 (IQR 0.37-0.52)</w:t>
            </w:r>
          </w:p>
        </w:tc>
        <w:tc>
          <w:tcPr>
            <w:tcW w:w="1300" w:type="dxa"/>
            <w:tcBorders>
              <w:top w:val="nil"/>
              <w:left w:val="nil"/>
              <w:bottom w:val="single" w:sz="4" w:space="0" w:color="auto"/>
              <w:right w:val="single" w:sz="4" w:space="0" w:color="auto"/>
            </w:tcBorders>
            <w:shd w:val="clear" w:color="auto" w:fill="auto"/>
            <w:noWrap/>
            <w:vAlign w:val="bottom"/>
            <w:hideMark/>
          </w:tcPr>
          <w:p w14:paraId="42C7A9B7"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P=0.96</w:t>
            </w:r>
          </w:p>
        </w:tc>
      </w:tr>
      <w:tr w:rsidR="00522BA6" w:rsidRPr="00CE4E1F" w14:paraId="50D330C1"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81851F" w14:textId="324D29A8" w:rsidR="00522BA6" w:rsidRPr="00234A82" w:rsidRDefault="005E7452" w:rsidP="00742F09">
            <w:pPr>
              <w:spacing w:line="360" w:lineRule="auto"/>
              <w:contextualSpacing/>
              <w:jc w:val="both"/>
              <w:rPr>
                <w:b/>
                <w:bCs/>
                <w:color w:val="000000"/>
                <w:sz w:val="18"/>
                <w:szCs w:val="18"/>
              </w:rPr>
            </w:pPr>
            <w:r>
              <w:rPr>
                <w:b/>
                <w:bCs/>
                <w:color w:val="000000"/>
                <w:sz w:val="18"/>
                <w:szCs w:val="18"/>
              </w:rPr>
              <w:t>Gene expression risk score</w:t>
            </w:r>
            <w:r w:rsidR="00522BA6" w:rsidRPr="00234A82">
              <w:rPr>
                <w:b/>
                <w:bCs/>
                <w:color w:val="000000"/>
                <w:sz w:val="18"/>
                <w:szCs w:val="18"/>
              </w:rPr>
              <w:t xml:space="preserve"> </w:t>
            </w:r>
            <w:r w:rsidR="005F65F5">
              <w:rPr>
                <w:b/>
                <w:bCs/>
                <w:color w:val="000000"/>
                <w:sz w:val="18"/>
                <w:szCs w:val="18"/>
              </w:rPr>
              <w:t>g</w:t>
            </w:r>
            <w:r w:rsidR="00522BA6" w:rsidRPr="00234A82">
              <w:rPr>
                <w:b/>
                <w:bCs/>
                <w:color w:val="000000"/>
                <w:sz w:val="18"/>
                <w:szCs w:val="18"/>
              </w:rPr>
              <w:t>roup</w:t>
            </w:r>
          </w:p>
        </w:tc>
        <w:tc>
          <w:tcPr>
            <w:tcW w:w="2320" w:type="dxa"/>
            <w:tcBorders>
              <w:top w:val="nil"/>
              <w:left w:val="nil"/>
              <w:bottom w:val="single" w:sz="4" w:space="0" w:color="auto"/>
              <w:right w:val="single" w:sz="4" w:space="0" w:color="auto"/>
            </w:tcBorders>
            <w:shd w:val="clear" w:color="auto" w:fill="auto"/>
            <w:noWrap/>
            <w:vAlign w:val="bottom"/>
            <w:hideMark/>
          </w:tcPr>
          <w:p w14:paraId="1DDCDA38"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3CAC611F"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16C6BE"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39E51CB8"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022BC3"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Low</w:t>
            </w:r>
          </w:p>
        </w:tc>
        <w:tc>
          <w:tcPr>
            <w:tcW w:w="2320" w:type="dxa"/>
            <w:tcBorders>
              <w:top w:val="nil"/>
              <w:left w:val="nil"/>
              <w:bottom w:val="single" w:sz="4" w:space="0" w:color="auto"/>
              <w:right w:val="single" w:sz="4" w:space="0" w:color="auto"/>
            </w:tcBorders>
            <w:shd w:val="clear" w:color="auto" w:fill="auto"/>
            <w:noWrap/>
            <w:vAlign w:val="bottom"/>
            <w:hideMark/>
          </w:tcPr>
          <w:p w14:paraId="5B55B4E6"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13 (35.1)</w:t>
            </w:r>
          </w:p>
        </w:tc>
        <w:tc>
          <w:tcPr>
            <w:tcW w:w="2320" w:type="dxa"/>
            <w:tcBorders>
              <w:top w:val="nil"/>
              <w:left w:val="nil"/>
              <w:bottom w:val="single" w:sz="4" w:space="0" w:color="auto"/>
              <w:right w:val="single" w:sz="4" w:space="0" w:color="auto"/>
            </w:tcBorders>
            <w:shd w:val="clear" w:color="auto" w:fill="auto"/>
            <w:noWrap/>
            <w:vAlign w:val="bottom"/>
            <w:hideMark/>
          </w:tcPr>
          <w:p w14:paraId="0209CC53"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25 (28.7)</w:t>
            </w:r>
          </w:p>
        </w:tc>
        <w:tc>
          <w:tcPr>
            <w:tcW w:w="1300" w:type="dxa"/>
            <w:tcBorders>
              <w:top w:val="nil"/>
              <w:left w:val="nil"/>
              <w:bottom w:val="single" w:sz="4" w:space="0" w:color="auto"/>
              <w:right w:val="single" w:sz="4" w:space="0" w:color="auto"/>
            </w:tcBorders>
            <w:shd w:val="clear" w:color="auto" w:fill="auto"/>
            <w:noWrap/>
            <w:vAlign w:val="bottom"/>
            <w:hideMark/>
          </w:tcPr>
          <w:p w14:paraId="4CF04DCA"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P=0.53</w:t>
            </w:r>
          </w:p>
        </w:tc>
      </w:tr>
      <w:tr w:rsidR="00522BA6" w:rsidRPr="00CE4E1F" w14:paraId="0ED81251"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8BA3A0"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Intermediate</w:t>
            </w:r>
          </w:p>
        </w:tc>
        <w:tc>
          <w:tcPr>
            <w:tcW w:w="2320" w:type="dxa"/>
            <w:tcBorders>
              <w:top w:val="nil"/>
              <w:left w:val="nil"/>
              <w:bottom w:val="single" w:sz="4" w:space="0" w:color="auto"/>
              <w:right w:val="single" w:sz="4" w:space="0" w:color="auto"/>
            </w:tcBorders>
            <w:shd w:val="clear" w:color="auto" w:fill="auto"/>
            <w:noWrap/>
            <w:vAlign w:val="bottom"/>
            <w:hideMark/>
          </w:tcPr>
          <w:p w14:paraId="7910F05C"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24 (64.9)</w:t>
            </w:r>
          </w:p>
        </w:tc>
        <w:tc>
          <w:tcPr>
            <w:tcW w:w="2320" w:type="dxa"/>
            <w:tcBorders>
              <w:top w:val="nil"/>
              <w:left w:val="nil"/>
              <w:bottom w:val="single" w:sz="4" w:space="0" w:color="auto"/>
              <w:right w:val="single" w:sz="4" w:space="0" w:color="auto"/>
            </w:tcBorders>
            <w:shd w:val="clear" w:color="auto" w:fill="auto"/>
            <w:noWrap/>
            <w:vAlign w:val="bottom"/>
            <w:hideMark/>
          </w:tcPr>
          <w:p w14:paraId="19E20551"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62 (71.3)</w:t>
            </w:r>
          </w:p>
        </w:tc>
        <w:tc>
          <w:tcPr>
            <w:tcW w:w="1300" w:type="dxa"/>
            <w:tcBorders>
              <w:top w:val="nil"/>
              <w:left w:val="nil"/>
              <w:bottom w:val="single" w:sz="4" w:space="0" w:color="auto"/>
              <w:right w:val="single" w:sz="4" w:space="0" w:color="auto"/>
            </w:tcBorders>
            <w:shd w:val="clear" w:color="auto" w:fill="auto"/>
            <w:noWrap/>
            <w:vAlign w:val="bottom"/>
            <w:hideMark/>
          </w:tcPr>
          <w:p w14:paraId="0EF2ACB3"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5E2427B0"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436540"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High</w:t>
            </w:r>
          </w:p>
        </w:tc>
        <w:tc>
          <w:tcPr>
            <w:tcW w:w="2320" w:type="dxa"/>
            <w:tcBorders>
              <w:top w:val="nil"/>
              <w:left w:val="nil"/>
              <w:bottom w:val="single" w:sz="4" w:space="0" w:color="auto"/>
              <w:right w:val="single" w:sz="4" w:space="0" w:color="auto"/>
            </w:tcBorders>
            <w:shd w:val="clear" w:color="auto" w:fill="auto"/>
            <w:noWrap/>
            <w:vAlign w:val="bottom"/>
            <w:hideMark/>
          </w:tcPr>
          <w:p w14:paraId="3E900817"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NA</w:t>
            </w:r>
          </w:p>
        </w:tc>
        <w:tc>
          <w:tcPr>
            <w:tcW w:w="2320" w:type="dxa"/>
            <w:tcBorders>
              <w:top w:val="nil"/>
              <w:left w:val="nil"/>
              <w:bottom w:val="single" w:sz="4" w:space="0" w:color="auto"/>
              <w:right w:val="single" w:sz="4" w:space="0" w:color="auto"/>
            </w:tcBorders>
            <w:shd w:val="clear" w:color="auto" w:fill="auto"/>
            <w:noWrap/>
            <w:vAlign w:val="bottom"/>
            <w:hideMark/>
          </w:tcPr>
          <w:p w14:paraId="36932AE7"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NA</w:t>
            </w:r>
          </w:p>
        </w:tc>
        <w:tc>
          <w:tcPr>
            <w:tcW w:w="1300" w:type="dxa"/>
            <w:tcBorders>
              <w:top w:val="nil"/>
              <w:left w:val="nil"/>
              <w:bottom w:val="single" w:sz="4" w:space="0" w:color="auto"/>
              <w:right w:val="single" w:sz="4" w:space="0" w:color="auto"/>
            </w:tcBorders>
            <w:shd w:val="clear" w:color="auto" w:fill="auto"/>
            <w:noWrap/>
            <w:vAlign w:val="bottom"/>
            <w:hideMark/>
          </w:tcPr>
          <w:p w14:paraId="46E1C3DF"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0087380D"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C13776F" w14:textId="5543D252" w:rsidR="00522BA6" w:rsidRPr="00234A82" w:rsidRDefault="00522BA6" w:rsidP="00742F09">
            <w:pPr>
              <w:spacing w:line="360" w:lineRule="auto"/>
              <w:contextualSpacing/>
              <w:jc w:val="both"/>
              <w:rPr>
                <w:b/>
                <w:bCs/>
                <w:color w:val="000000"/>
                <w:sz w:val="18"/>
                <w:szCs w:val="18"/>
              </w:rPr>
            </w:pPr>
            <w:r w:rsidRPr="00234A82">
              <w:rPr>
                <w:b/>
                <w:bCs/>
                <w:color w:val="000000"/>
                <w:sz w:val="18"/>
                <w:szCs w:val="18"/>
              </w:rPr>
              <w:t xml:space="preserve">WHO 2016 </w:t>
            </w:r>
            <w:r w:rsidR="005E7452">
              <w:rPr>
                <w:b/>
                <w:bCs/>
                <w:color w:val="000000"/>
                <w:sz w:val="18"/>
                <w:szCs w:val="18"/>
              </w:rPr>
              <w:t>grade</w:t>
            </w:r>
          </w:p>
        </w:tc>
        <w:tc>
          <w:tcPr>
            <w:tcW w:w="2320" w:type="dxa"/>
            <w:tcBorders>
              <w:top w:val="nil"/>
              <w:left w:val="nil"/>
              <w:bottom w:val="single" w:sz="4" w:space="0" w:color="auto"/>
              <w:right w:val="single" w:sz="4" w:space="0" w:color="auto"/>
            </w:tcBorders>
            <w:shd w:val="clear" w:color="auto" w:fill="auto"/>
            <w:noWrap/>
            <w:vAlign w:val="bottom"/>
            <w:hideMark/>
          </w:tcPr>
          <w:p w14:paraId="01D9B7C4"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86B96E6"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288ADFA"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125BF124"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E7DF14F"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1</w:t>
            </w:r>
          </w:p>
        </w:tc>
        <w:tc>
          <w:tcPr>
            <w:tcW w:w="2320" w:type="dxa"/>
            <w:tcBorders>
              <w:top w:val="nil"/>
              <w:left w:val="nil"/>
              <w:bottom w:val="single" w:sz="4" w:space="0" w:color="auto"/>
              <w:right w:val="single" w:sz="4" w:space="0" w:color="auto"/>
            </w:tcBorders>
            <w:shd w:val="clear" w:color="auto" w:fill="auto"/>
            <w:noWrap/>
            <w:vAlign w:val="bottom"/>
            <w:hideMark/>
          </w:tcPr>
          <w:p w14:paraId="209F5272"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3 (8.1)</w:t>
            </w:r>
          </w:p>
        </w:tc>
        <w:tc>
          <w:tcPr>
            <w:tcW w:w="2320" w:type="dxa"/>
            <w:tcBorders>
              <w:top w:val="nil"/>
              <w:left w:val="nil"/>
              <w:bottom w:val="single" w:sz="4" w:space="0" w:color="auto"/>
              <w:right w:val="single" w:sz="4" w:space="0" w:color="auto"/>
            </w:tcBorders>
            <w:shd w:val="clear" w:color="auto" w:fill="auto"/>
            <w:noWrap/>
            <w:vAlign w:val="bottom"/>
            <w:hideMark/>
          </w:tcPr>
          <w:p w14:paraId="1B2AB030"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9 (10.3)</w:t>
            </w:r>
          </w:p>
        </w:tc>
        <w:tc>
          <w:tcPr>
            <w:tcW w:w="1300" w:type="dxa"/>
            <w:tcBorders>
              <w:top w:val="nil"/>
              <w:left w:val="nil"/>
              <w:bottom w:val="single" w:sz="4" w:space="0" w:color="auto"/>
              <w:right w:val="single" w:sz="4" w:space="0" w:color="auto"/>
            </w:tcBorders>
            <w:shd w:val="clear" w:color="auto" w:fill="auto"/>
            <w:noWrap/>
            <w:vAlign w:val="bottom"/>
            <w:hideMark/>
          </w:tcPr>
          <w:p w14:paraId="4FB5F3EF"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P=0.55</w:t>
            </w:r>
          </w:p>
        </w:tc>
      </w:tr>
      <w:tr w:rsidR="00522BA6" w:rsidRPr="00CE4E1F" w14:paraId="2F4086D3"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C3EB955"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2</w:t>
            </w:r>
          </w:p>
        </w:tc>
        <w:tc>
          <w:tcPr>
            <w:tcW w:w="2320" w:type="dxa"/>
            <w:tcBorders>
              <w:top w:val="nil"/>
              <w:left w:val="nil"/>
              <w:bottom w:val="single" w:sz="4" w:space="0" w:color="auto"/>
              <w:right w:val="single" w:sz="4" w:space="0" w:color="auto"/>
            </w:tcBorders>
            <w:shd w:val="clear" w:color="auto" w:fill="auto"/>
            <w:noWrap/>
            <w:vAlign w:val="bottom"/>
            <w:hideMark/>
          </w:tcPr>
          <w:p w14:paraId="3D58E81E"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25 (67.6)</w:t>
            </w:r>
          </w:p>
        </w:tc>
        <w:tc>
          <w:tcPr>
            <w:tcW w:w="2320" w:type="dxa"/>
            <w:tcBorders>
              <w:top w:val="nil"/>
              <w:left w:val="nil"/>
              <w:bottom w:val="single" w:sz="4" w:space="0" w:color="auto"/>
              <w:right w:val="single" w:sz="4" w:space="0" w:color="auto"/>
            </w:tcBorders>
            <w:shd w:val="clear" w:color="auto" w:fill="auto"/>
            <w:noWrap/>
            <w:vAlign w:val="bottom"/>
            <w:hideMark/>
          </w:tcPr>
          <w:p w14:paraId="16CD92A7"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64 (73.6)</w:t>
            </w:r>
          </w:p>
        </w:tc>
        <w:tc>
          <w:tcPr>
            <w:tcW w:w="1300" w:type="dxa"/>
            <w:tcBorders>
              <w:top w:val="nil"/>
              <w:left w:val="nil"/>
              <w:bottom w:val="single" w:sz="4" w:space="0" w:color="auto"/>
              <w:right w:val="single" w:sz="4" w:space="0" w:color="auto"/>
            </w:tcBorders>
            <w:shd w:val="clear" w:color="auto" w:fill="auto"/>
            <w:noWrap/>
            <w:vAlign w:val="bottom"/>
            <w:hideMark/>
          </w:tcPr>
          <w:p w14:paraId="677FDCA5"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r w:rsidR="00522BA6" w:rsidRPr="00CE4E1F" w14:paraId="3165B25E" w14:textId="77777777" w:rsidTr="00234A82">
        <w:trPr>
          <w:trHeight w:val="3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981212C"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3</w:t>
            </w:r>
          </w:p>
        </w:tc>
        <w:tc>
          <w:tcPr>
            <w:tcW w:w="2320" w:type="dxa"/>
            <w:tcBorders>
              <w:top w:val="nil"/>
              <w:left w:val="nil"/>
              <w:bottom w:val="single" w:sz="4" w:space="0" w:color="auto"/>
              <w:right w:val="single" w:sz="4" w:space="0" w:color="auto"/>
            </w:tcBorders>
            <w:shd w:val="clear" w:color="auto" w:fill="auto"/>
            <w:noWrap/>
            <w:vAlign w:val="bottom"/>
            <w:hideMark/>
          </w:tcPr>
          <w:p w14:paraId="49E26AA1"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9 (24.3)</w:t>
            </w:r>
          </w:p>
        </w:tc>
        <w:tc>
          <w:tcPr>
            <w:tcW w:w="2320" w:type="dxa"/>
            <w:tcBorders>
              <w:top w:val="nil"/>
              <w:left w:val="nil"/>
              <w:bottom w:val="single" w:sz="4" w:space="0" w:color="auto"/>
              <w:right w:val="single" w:sz="4" w:space="0" w:color="auto"/>
            </w:tcBorders>
            <w:shd w:val="clear" w:color="auto" w:fill="auto"/>
            <w:noWrap/>
            <w:vAlign w:val="bottom"/>
            <w:hideMark/>
          </w:tcPr>
          <w:p w14:paraId="0E216D92"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14 (16.1)</w:t>
            </w:r>
          </w:p>
        </w:tc>
        <w:tc>
          <w:tcPr>
            <w:tcW w:w="1300" w:type="dxa"/>
            <w:tcBorders>
              <w:top w:val="nil"/>
              <w:left w:val="nil"/>
              <w:bottom w:val="single" w:sz="4" w:space="0" w:color="auto"/>
              <w:right w:val="single" w:sz="4" w:space="0" w:color="auto"/>
            </w:tcBorders>
            <w:shd w:val="clear" w:color="auto" w:fill="auto"/>
            <w:noWrap/>
            <w:vAlign w:val="bottom"/>
            <w:hideMark/>
          </w:tcPr>
          <w:p w14:paraId="33752DAA" w14:textId="77777777" w:rsidR="00522BA6" w:rsidRPr="00234A82" w:rsidRDefault="00522BA6" w:rsidP="00742F09">
            <w:pPr>
              <w:spacing w:line="360" w:lineRule="auto"/>
              <w:contextualSpacing/>
              <w:jc w:val="both"/>
              <w:rPr>
                <w:color w:val="000000"/>
                <w:sz w:val="18"/>
                <w:szCs w:val="18"/>
              </w:rPr>
            </w:pPr>
            <w:r w:rsidRPr="00234A82">
              <w:rPr>
                <w:color w:val="000000"/>
                <w:sz w:val="18"/>
                <w:szCs w:val="18"/>
              </w:rPr>
              <w:t> </w:t>
            </w:r>
          </w:p>
        </w:tc>
      </w:tr>
    </w:tbl>
    <w:p w14:paraId="382165F2" w14:textId="52CD7B51" w:rsidR="003F4089" w:rsidRDefault="004A197A" w:rsidP="00742F09">
      <w:pPr>
        <w:widowControl w:val="0"/>
        <w:autoSpaceDE w:val="0"/>
        <w:autoSpaceDN w:val="0"/>
        <w:adjustRightInd w:val="0"/>
        <w:spacing w:line="360" w:lineRule="auto"/>
        <w:contextualSpacing/>
        <w:jc w:val="both"/>
        <w:rPr>
          <w:bCs/>
        </w:rPr>
      </w:pPr>
      <w:r w:rsidRPr="00CE4E1F">
        <w:rPr>
          <w:bCs/>
        </w:rPr>
        <w:t>IQR, interquartile range, GTR, gross total resection; STR, subtotal resection; RT, radiotherapy.</w:t>
      </w:r>
      <w:r w:rsidR="003F4089">
        <w:rPr>
          <w:bCs/>
        </w:rPr>
        <w:br w:type="page"/>
      </w:r>
    </w:p>
    <w:p w14:paraId="7915C540" w14:textId="665D88C5" w:rsidR="00E93081" w:rsidRPr="00CE4E1F" w:rsidRDefault="00E93081" w:rsidP="00742F09">
      <w:pPr>
        <w:spacing w:line="360" w:lineRule="auto"/>
        <w:contextualSpacing/>
        <w:jc w:val="both"/>
        <w:rPr>
          <w:b/>
          <w:bCs/>
        </w:rPr>
      </w:pPr>
      <w:r w:rsidRPr="00CE4E1F">
        <w:rPr>
          <w:b/>
          <w:bCs/>
        </w:rPr>
        <w:lastRenderedPageBreak/>
        <w:t>Table S1</w:t>
      </w:r>
      <w:r w:rsidR="00291296">
        <w:rPr>
          <w:b/>
          <w:bCs/>
        </w:rPr>
        <w:t>3</w:t>
      </w:r>
      <w:r w:rsidRPr="00CE4E1F">
        <w:rPr>
          <w:b/>
          <w:bCs/>
        </w:rPr>
        <w:t>. RTOG 0539 clinical validation cohort characteristics.</w:t>
      </w:r>
    </w:p>
    <w:tbl>
      <w:tblPr>
        <w:tblW w:w="9355" w:type="dxa"/>
        <w:tblLook w:val="04A0" w:firstRow="1" w:lastRow="0" w:firstColumn="1" w:lastColumn="0" w:noHBand="0" w:noVBand="1"/>
      </w:tblPr>
      <w:tblGrid>
        <w:gridCol w:w="5575"/>
        <w:gridCol w:w="3780"/>
      </w:tblGrid>
      <w:tr w:rsidR="00E93081" w:rsidRPr="00CE4E1F" w14:paraId="59F968C3" w14:textId="77777777" w:rsidTr="005B5C77">
        <w:trPr>
          <w:trHeight w:val="320"/>
        </w:trPr>
        <w:tc>
          <w:tcPr>
            <w:tcW w:w="5575" w:type="dxa"/>
            <w:tcBorders>
              <w:top w:val="single" w:sz="4" w:space="0" w:color="auto"/>
              <w:left w:val="single" w:sz="4" w:space="0" w:color="auto"/>
              <w:bottom w:val="single" w:sz="4" w:space="0" w:color="auto"/>
              <w:right w:val="single" w:sz="4" w:space="0" w:color="auto"/>
            </w:tcBorders>
            <w:shd w:val="clear" w:color="auto" w:fill="auto"/>
            <w:noWrap/>
            <w:hideMark/>
          </w:tcPr>
          <w:p w14:paraId="533D2A8D" w14:textId="77777777" w:rsidR="00E93081" w:rsidRPr="00CE4E1F" w:rsidRDefault="00E93081" w:rsidP="00742F09">
            <w:pPr>
              <w:spacing w:line="360" w:lineRule="auto"/>
              <w:contextualSpacing/>
              <w:jc w:val="both"/>
              <w:rPr>
                <w:color w:val="000000"/>
                <w:sz w:val="18"/>
                <w:szCs w:val="18"/>
              </w:rPr>
            </w:pPr>
            <w:r w:rsidRPr="00CE4E1F">
              <w:rPr>
                <w:b/>
                <w:bCs/>
                <w:color w:val="000000"/>
                <w:sz w:val="18"/>
                <w:szCs w:val="18"/>
              </w:rPr>
              <w:t>Meningiomas - no.</w:t>
            </w:r>
          </w:p>
        </w:tc>
        <w:tc>
          <w:tcPr>
            <w:tcW w:w="3780" w:type="dxa"/>
            <w:tcBorders>
              <w:top w:val="single" w:sz="4" w:space="0" w:color="auto"/>
              <w:left w:val="nil"/>
              <w:bottom w:val="single" w:sz="4" w:space="0" w:color="auto"/>
              <w:right w:val="single" w:sz="4" w:space="0" w:color="auto"/>
            </w:tcBorders>
            <w:shd w:val="clear" w:color="auto" w:fill="auto"/>
            <w:noWrap/>
            <w:hideMark/>
          </w:tcPr>
          <w:p w14:paraId="6C963844" w14:textId="77777777" w:rsidR="00E93081" w:rsidRPr="00CE4E1F" w:rsidRDefault="00E93081" w:rsidP="00742F09">
            <w:pPr>
              <w:spacing w:line="360" w:lineRule="auto"/>
              <w:contextualSpacing/>
              <w:jc w:val="both"/>
              <w:rPr>
                <w:bCs/>
                <w:color w:val="000000"/>
                <w:sz w:val="18"/>
                <w:szCs w:val="18"/>
              </w:rPr>
            </w:pPr>
            <w:r w:rsidRPr="00CE4E1F">
              <w:rPr>
                <w:bCs/>
                <w:color w:val="000000"/>
                <w:sz w:val="18"/>
                <w:szCs w:val="18"/>
              </w:rPr>
              <w:t>103</w:t>
            </w:r>
          </w:p>
        </w:tc>
      </w:tr>
      <w:tr w:rsidR="00E93081" w:rsidRPr="00CE4E1F" w14:paraId="17E494EE"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034D595" w14:textId="77777777" w:rsidR="00E93081" w:rsidRPr="00CE4E1F" w:rsidRDefault="00E93081" w:rsidP="00742F09">
            <w:pPr>
              <w:spacing w:line="360" w:lineRule="auto"/>
              <w:contextualSpacing/>
              <w:jc w:val="both"/>
              <w:rPr>
                <w:b/>
                <w:bCs/>
                <w:color w:val="000000"/>
                <w:sz w:val="18"/>
                <w:szCs w:val="18"/>
              </w:rPr>
            </w:pPr>
            <w:r w:rsidRPr="00CE4E1F">
              <w:rPr>
                <w:b/>
                <w:bCs/>
                <w:color w:val="000000"/>
                <w:sz w:val="18"/>
                <w:szCs w:val="18"/>
              </w:rPr>
              <w:t>Patients - no.</w:t>
            </w:r>
          </w:p>
        </w:tc>
        <w:tc>
          <w:tcPr>
            <w:tcW w:w="3780" w:type="dxa"/>
            <w:tcBorders>
              <w:top w:val="nil"/>
              <w:left w:val="nil"/>
              <w:bottom w:val="single" w:sz="4" w:space="0" w:color="auto"/>
              <w:right w:val="single" w:sz="4" w:space="0" w:color="auto"/>
            </w:tcBorders>
            <w:shd w:val="clear" w:color="auto" w:fill="auto"/>
            <w:noWrap/>
            <w:hideMark/>
          </w:tcPr>
          <w:p w14:paraId="15F29FAE"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103</w:t>
            </w:r>
          </w:p>
        </w:tc>
      </w:tr>
      <w:tr w:rsidR="00E93081" w:rsidRPr="00CE4E1F" w14:paraId="03FC6A75"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7322336" w14:textId="77777777" w:rsidR="00E93081" w:rsidRPr="00CE4E1F" w:rsidRDefault="00E93081" w:rsidP="00742F09">
            <w:pPr>
              <w:spacing w:line="360" w:lineRule="auto"/>
              <w:contextualSpacing/>
              <w:jc w:val="both"/>
              <w:rPr>
                <w:b/>
                <w:bCs/>
                <w:color w:val="000000"/>
                <w:sz w:val="18"/>
                <w:szCs w:val="18"/>
              </w:rPr>
            </w:pPr>
            <w:r w:rsidRPr="00CE4E1F">
              <w:rPr>
                <w:b/>
                <w:bCs/>
                <w:color w:val="000000"/>
                <w:sz w:val="18"/>
                <w:szCs w:val="18"/>
              </w:rPr>
              <w:t>Females - no. (%)</w:t>
            </w:r>
          </w:p>
        </w:tc>
        <w:tc>
          <w:tcPr>
            <w:tcW w:w="3780" w:type="dxa"/>
            <w:tcBorders>
              <w:top w:val="nil"/>
              <w:left w:val="nil"/>
              <w:bottom w:val="single" w:sz="4" w:space="0" w:color="auto"/>
              <w:right w:val="single" w:sz="4" w:space="0" w:color="auto"/>
            </w:tcBorders>
            <w:shd w:val="clear" w:color="auto" w:fill="auto"/>
            <w:noWrap/>
            <w:hideMark/>
          </w:tcPr>
          <w:p w14:paraId="197DA3AA"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68 (66.0)</w:t>
            </w:r>
          </w:p>
        </w:tc>
      </w:tr>
      <w:tr w:rsidR="00E93081" w:rsidRPr="00CE4E1F" w14:paraId="179C119B"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058CB8BD" w14:textId="77777777" w:rsidR="00E93081" w:rsidRPr="00CE4E1F" w:rsidRDefault="00E93081" w:rsidP="00742F09">
            <w:pPr>
              <w:spacing w:line="360" w:lineRule="auto"/>
              <w:contextualSpacing/>
              <w:jc w:val="both"/>
              <w:rPr>
                <w:b/>
                <w:bCs/>
                <w:color w:val="000000"/>
                <w:sz w:val="18"/>
                <w:szCs w:val="18"/>
              </w:rPr>
            </w:pPr>
            <w:r w:rsidRPr="00CE4E1F">
              <w:rPr>
                <w:b/>
                <w:bCs/>
                <w:color w:val="000000"/>
                <w:sz w:val="18"/>
                <w:szCs w:val="18"/>
              </w:rPr>
              <w:t>Median age (IQR) - yr.</w:t>
            </w:r>
          </w:p>
        </w:tc>
        <w:tc>
          <w:tcPr>
            <w:tcW w:w="3780" w:type="dxa"/>
            <w:tcBorders>
              <w:top w:val="nil"/>
              <w:left w:val="nil"/>
              <w:bottom w:val="single" w:sz="4" w:space="0" w:color="auto"/>
              <w:right w:val="single" w:sz="4" w:space="0" w:color="auto"/>
            </w:tcBorders>
            <w:shd w:val="clear" w:color="auto" w:fill="auto"/>
            <w:noWrap/>
            <w:hideMark/>
          </w:tcPr>
          <w:p w14:paraId="0297E0EA"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57 (49-65)</w:t>
            </w:r>
          </w:p>
        </w:tc>
      </w:tr>
      <w:tr w:rsidR="00E93081" w:rsidRPr="00CE4E1F" w14:paraId="6F425738"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95C1B4F" w14:textId="77777777" w:rsidR="00E93081" w:rsidRPr="00CE4E1F" w:rsidRDefault="00E93081" w:rsidP="00742F09">
            <w:pPr>
              <w:spacing w:line="360" w:lineRule="auto"/>
              <w:contextualSpacing/>
              <w:jc w:val="both"/>
              <w:rPr>
                <w:b/>
                <w:bCs/>
                <w:color w:val="000000"/>
                <w:sz w:val="18"/>
                <w:szCs w:val="18"/>
              </w:rPr>
            </w:pPr>
            <w:r w:rsidRPr="00CE4E1F">
              <w:rPr>
                <w:b/>
                <w:bCs/>
                <w:color w:val="000000"/>
                <w:sz w:val="18"/>
                <w:szCs w:val="18"/>
              </w:rPr>
              <w:t>Setting - no. (%)</w:t>
            </w:r>
          </w:p>
        </w:tc>
        <w:tc>
          <w:tcPr>
            <w:tcW w:w="3780" w:type="dxa"/>
            <w:tcBorders>
              <w:top w:val="nil"/>
              <w:left w:val="nil"/>
              <w:bottom w:val="single" w:sz="4" w:space="0" w:color="auto"/>
              <w:right w:val="single" w:sz="4" w:space="0" w:color="auto"/>
            </w:tcBorders>
            <w:shd w:val="clear" w:color="auto" w:fill="auto"/>
            <w:noWrap/>
            <w:hideMark/>
          </w:tcPr>
          <w:p w14:paraId="3D9098CA"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 </w:t>
            </w:r>
          </w:p>
        </w:tc>
      </w:tr>
      <w:tr w:rsidR="00E93081" w:rsidRPr="00CE4E1F" w14:paraId="669E3774"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F18F761" w14:textId="77777777" w:rsidR="00E93081" w:rsidRPr="00CE4E1F" w:rsidRDefault="00E93081" w:rsidP="00742F09">
            <w:pPr>
              <w:spacing w:line="360" w:lineRule="auto"/>
              <w:contextualSpacing/>
              <w:jc w:val="both"/>
              <w:rPr>
                <w:b/>
                <w:bCs/>
                <w:color w:val="000000"/>
                <w:sz w:val="18"/>
                <w:szCs w:val="18"/>
              </w:rPr>
            </w:pPr>
            <w:r w:rsidRPr="00CE4E1F">
              <w:rPr>
                <w:color w:val="000000"/>
                <w:sz w:val="18"/>
                <w:szCs w:val="18"/>
              </w:rPr>
              <w:t xml:space="preserve">        Primary</w:t>
            </w:r>
          </w:p>
        </w:tc>
        <w:tc>
          <w:tcPr>
            <w:tcW w:w="3780" w:type="dxa"/>
            <w:tcBorders>
              <w:top w:val="nil"/>
              <w:left w:val="nil"/>
              <w:bottom w:val="single" w:sz="4" w:space="0" w:color="auto"/>
              <w:right w:val="single" w:sz="4" w:space="0" w:color="auto"/>
            </w:tcBorders>
            <w:shd w:val="clear" w:color="auto" w:fill="auto"/>
            <w:noWrap/>
            <w:hideMark/>
          </w:tcPr>
          <w:p w14:paraId="5BD71DC7"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81 (78.6)</w:t>
            </w:r>
          </w:p>
        </w:tc>
      </w:tr>
      <w:tr w:rsidR="00E93081" w:rsidRPr="00CE4E1F" w14:paraId="3A0A8B8D"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EC24703" w14:textId="77777777" w:rsidR="00E93081" w:rsidRPr="00CE4E1F" w:rsidRDefault="00E93081" w:rsidP="00742F09">
            <w:pPr>
              <w:spacing w:line="360" w:lineRule="auto"/>
              <w:ind w:firstLineChars="200" w:firstLine="360"/>
              <w:contextualSpacing/>
              <w:jc w:val="both"/>
              <w:rPr>
                <w:color w:val="000000"/>
                <w:sz w:val="18"/>
                <w:szCs w:val="18"/>
              </w:rPr>
            </w:pPr>
            <w:r w:rsidRPr="00CE4E1F">
              <w:rPr>
                <w:color w:val="000000"/>
                <w:sz w:val="18"/>
                <w:szCs w:val="18"/>
              </w:rPr>
              <w:t>Recurrent</w:t>
            </w:r>
          </w:p>
        </w:tc>
        <w:tc>
          <w:tcPr>
            <w:tcW w:w="3780" w:type="dxa"/>
            <w:tcBorders>
              <w:top w:val="nil"/>
              <w:left w:val="nil"/>
              <w:bottom w:val="single" w:sz="4" w:space="0" w:color="auto"/>
              <w:right w:val="single" w:sz="4" w:space="0" w:color="auto"/>
            </w:tcBorders>
            <w:shd w:val="clear" w:color="auto" w:fill="auto"/>
            <w:noWrap/>
            <w:hideMark/>
          </w:tcPr>
          <w:p w14:paraId="5E2B312E"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22 (21.4)</w:t>
            </w:r>
          </w:p>
        </w:tc>
      </w:tr>
      <w:tr w:rsidR="00E93081" w:rsidRPr="00CE4E1F" w14:paraId="569F1D5A"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419871E5" w14:textId="77777777" w:rsidR="00E93081" w:rsidRPr="00CE4E1F" w:rsidRDefault="00E93081" w:rsidP="00742F09">
            <w:pPr>
              <w:spacing w:line="360" w:lineRule="auto"/>
              <w:contextualSpacing/>
              <w:jc w:val="both"/>
              <w:rPr>
                <w:color w:val="000000"/>
                <w:sz w:val="18"/>
                <w:szCs w:val="18"/>
              </w:rPr>
            </w:pPr>
            <w:r w:rsidRPr="00CE4E1F">
              <w:rPr>
                <w:b/>
                <w:bCs/>
                <w:color w:val="000000"/>
                <w:sz w:val="18"/>
                <w:szCs w:val="18"/>
              </w:rPr>
              <w:t>Extent of resection - no. (%)</w:t>
            </w:r>
          </w:p>
        </w:tc>
        <w:tc>
          <w:tcPr>
            <w:tcW w:w="3780" w:type="dxa"/>
            <w:tcBorders>
              <w:top w:val="nil"/>
              <w:left w:val="nil"/>
              <w:bottom w:val="single" w:sz="4" w:space="0" w:color="auto"/>
              <w:right w:val="single" w:sz="4" w:space="0" w:color="auto"/>
            </w:tcBorders>
            <w:shd w:val="clear" w:color="auto" w:fill="auto"/>
            <w:noWrap/>
            <w:hideMark/>
          </w:tcPr>
          <w:p w14:paraId="10563796"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 </w:t>
            </w:r>
          </w:p>
        </w:tc>
      </w:tr>
      <w:tr w:rsidR="00E93081" w:rsidRPr="00CE4E1F" w14:paraId="447E3904"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135F7D0" w14:textId="77777777" w:rsidR="00E93081" w:rsidRPr="00CE4E1F" w:rsidRDefault="00E93081" w:rsidP="00742F09">
            <w:pPr>
              <w:spacing w:line="360" w:lineRule="auto"/>
              <w:contextualSpacing/>
              <w:jc w:val="both"/>
              <w:rPr>
                <w:b/>
                <w:bCs/>
                <w:color w:val="000000"/>
                <w:sz w:val="18"/>
                <w:szCs w:val="18"/>
              </w:rPr>
            </w:pPr>
            <w:r w:rsidRPr="00CE4E1F">
              <w:rPr>
                <w:color w:val="000000"/>
                <w:sz w:val="18"/>
                <w:szCs w:val="18"/>
              </w:rPr>
              <w:t xml:space="preserve">        Gross total</w:t>
            </w:r>
          </w:p>
        </w:tc>
        <w:tc>
          <w:tcPr>
            <w:tcW w:w="3780" w:type="dxa"/>
            <w:tcBorders>
              <w:top w:val="nil"/>
              <w:left w:val="nil"/>
              <w:bottom w:val="single" w:sz="4" w:space="0" w:color="auto"/>
              <w:right w:val="single" w:sz="4" w:space="0" w:color="auto"/>
            </w:tcBorders>
            <w:shd w:val="clear" w:color="auto" w:fill="auto"/>
            <w:noWrap/>
            <w:hideMark/>
          </w:tcPr>
          <w:p w14:paraId="7E70B289"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70 (68.0)</w:t>
            </w:r>
          </w:p>
        </w:tc>
      </w:tr>
      <w:tr w:rsidR="00E93081" w:rsidRPr="00CE4E1F" w14:paraId="44359A6A"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395E230C" w14:textId="77777777" w:rsidR="00E93081" w:rsidRPr="00CE4E1F" w:rsidRDefault="00E93081" w:rsidP="00742F09">
            <w:pPr>
              <w:spacing w:line="360" w:lineRule="auto"/>
              <w:ind w:firstLineChars="200" w:firstLine="360"/>
              <w:contextualSpacing/>
              <w:jc w:val="both"/>
              <w:rPr>
                <w:color w:val="000000"/>
                <w:sz w:val="18"/>
                <w:szCs w:val="18"/>
              </w:rPr>
            </w:pPr>
            <w:r w:rsidRPr="00CE4E1F">
              <w:rPr>
                <w:color w:val="000000"/>
                <w:sz w:val="18"/>
                <w:szCs w:val="18"/>
              </w:rPr>
              <w:t>Subtotal</w:t>
            </w:r>
          </w:p>
        </w:tc>
        <w:tc>
          <w:tcPr>
            <w:tcW w:w="3780" w:type="dxa"/>
            <w:tcBorders>
              <w:top w:val="nil"/>
              <w:left w:val="nil"/>
              <w:bottom w:val="single" w:sz="4" w:space="0" w:color="auto"/>
              <w:right w:val="single" w:sz="4" w:space="0" w:color="auto"/>
            </w:tcBorders>
            <w:shd w:val="clear" w:color="auto" w:fill="auto"/>
            <w:noWrap/>
            <w:hideMark/>
          </w:tcPr>
          <w:p w14:paraId="6B735FF8"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17 (16.5)</w:t>
            </w:r>
          </w:p>
        </w:tc>
      </w:tr>
      <w:tr w:rsidR="00E93081" w:rsidRPr="00CE4E1F" w14:paraId="2F6874E1"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771AEF2" w14:textId="77777777" w:rsidR="00E93081" w:rsidRPr="00CE4E1F" w:rsidRDefault="00E93081" w:rsidP="00742F09">
            <w:pPr>
              <w:spacing w:line="360" w:lineRule="auto"/>
              <w:contextualSpacing/>
              <w:jc w:val="both"/>
              <w:rPr>
                <w:color w:val="000000"/>
                <w:sz w:val="18"/>
                <w:szCs w:val="18"/>
              </w:rPr>
            </w:pPr>
            <w:r w:rsidRPr="00CE4E1F">
              <w:rPr>
                <w:b/>
                <w:bCs/>
                <w:color w:val="000000"/>
                <w:sz w:val="18"/>
                <w:szCs w:val="18"/>
              </w:rPr>
              <w:t>WHO 2016 grade - no. (%)</w:t>
            </w:r>
          </w:p>
        </w:tc>
        <w:tc>
          <w:tcPr>
            <w:tcW w:w="3780" w:type="dxa"/>
            <w:tcBorders>
              <w:top w:val="nil"/>
              <w:left w:val="nil"/>
              <w:bottom w:val="single" w:sz="4" w:space="0" w:color="auto"/>
              <w:right w:val="single" w:sz="4" w:space="0" w:color="auto"/>
            </w:tcBorders>
            <w:shd w:val="clear" w:color="auto" w:fill="auto"/>
            <w:noWrap/>
            <w:hideMark/>
          </w:tcPr>
          <w:p w14:paraId="3F515CF8"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 </w:t>
            </w:r>
          </w:p>
        </w:tc>
      </w:tr>
      <w:tr w:rsidR="00E93081" w:rsidRPr="00CE4E1F" w14:paraId="2A53D0A7"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5558ACF6" w14:textId="77777777" w:rsidR="00E93081" w:rsidRPr="00CE4E1F" w:rsidRDefault="00E93081" w:rsidP="00742F09">
            <w:pPr>
              <w:spacing w:line="360" w:lineRule="auto"/>
              <w:contextualSpacing/>
              <w:jc w:val="both"/>
              <w:rPr>
                <w:b/>
                <w:bCs/>
                <w:color w:val="000000"/>
                <w:sz w:val="18"/>
                <w:szCs w:val="18"/>
              </w:rPr>
            </w:pPr>
            <w:r w:rsidRPr="00CE4E1F">
              <w:rPr>
                <w:color w:val="000000"/>
                <w:sz w:val="18"/>
                <w:szCs w:val="18"/>
              </w:rPr>
              <w:t xml:space="preserve">        1</w:t>
            </w:r>
          </w:p>
        </w:tc>
        <w:tc>
          <w:tcPr>
            <w:tcW w:w="3780" w:type="dxa"/>
            <w:tcBorders>
              <w:top w:val="nil"/>
              <w:left w:val="nil"/>
              <w:bottom w:val="single" w:sz="4" w:space="0" w:color="auto"/>
              <w:right w:val="single" w:sz="4" w:space="0" w:color="auto"/>
            </w:tcBorders>
            <w:shd w:val="clear" w:color="auto" w:fill="auto"/>
            <w:noWrap/>
            <w:hideMark/>
          </w:tcPr>
          <w:p w14:paraId="45F02F4F"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51 (49.5)</w:t>
            </w:r>
          </w:p>
        </w:tc>
      </w:tr>
      <w:tr w:rsidR="00E93081" w:rsidRPr="00CE4E1F" w14:paraId="7E7CB0C7"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C78602C" w14:textId="77777777" w:rsidR="00E93081" w:rsidRPr="00CE4E1F" w:rsidRDefault="00E93081" w:rsidP="00742F09">
            <w:pPr>
              <w:spacing w:line="360" w:lineRule="auto"/>
              <w:ind w:firstLineChars="200" w:firstLine="360"/>
              <w:contextualSpacing/>
              <w:jc w:val="both"/>
              <w:rPr>
                <w:color w:val="000000"/>
                <w:sz w:val="18"/>
                <w:szCs w:val="18"/>
              </w:rPr>
            </w:pPr>
            <w:r w:rsidRPr="00CE4E1F">
              <w:rPr>
                <w:color w:val="000000"/>
                <w:sz w:val="18"/>
                <w:szCs w:val="18"/>
              </w:rPr>
              <w:t>2</w:t>
            </w:r>
          </w:p>
        </w:tc>
        <w:tc>
          <w:tcPr>
            <w:tcW w:w="3780" w:type="dxa"/>
            <w:tcBorders>
              <w:top w:val="nil"/>
              <w:left w:val="nil"/>
              <w:bottom w:val="single" w:sz="4" w:space="0" w:color="auto"/>
              <w:right w:val="single" w:sz="4" w:space="0" w:color="auto"/>
            </w:tcBorders>
            <w:shd w:val="clear" w:color="auto" w:fill="auto"/>
            <w:noWrap/>
            <w:hideMark/>
          </w:tcPr>
          <w:p w14:paraId="610E5917"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37 (35.9)</w:t>
            </w:r>
          </w:p>
        </w:tc>
      </w:tr>
      <w:tr w:rsidR="00E93081" w:rsidRPr="00CE4E1F" w14:paraId="0EC85B7F"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1096B1F0" w14:textId="77777777" w:rsidR="00E93081" w:rsidRPr="00CE4E1F" w:rsidRDefault="00E93081" w:rsidP="00742F09">
            <w:pPr>
              <w:spacing w:line="360" w:lineRule="auto"/>
              <w:ind w:firstLineChars="200" w:firstLine="360"/>
              <w:contextualSpacing/>
              <w:jc w:val="both"/>
              <w:rPr>
                <w:color w:val="000000"/>
                <w:sz w:val="18"/>
                <w:szCs w:val="18"/>
              </w:rPr>
            </w:pPr>
            <w:r w:rsidRPr="00CE4E1F">
              <w:rPr>
                <w:color w:val="000000"/>
                <w:sz w:val="18"/>
                <w:szCs w:val="18"/>
              </w:rPr>
              <w:t>3</w:t>
            </w:r>
          </w:p>
        </w:tc>
        <w:tc>
          <w:tcPr>
            <w:tcW w:w="3780" w:type="dxa"/>
            <w:tcBorders>
              <w:top w:val="nil"/>
              <w:left w:val="nil"/>
              <w:bottom w:val="single" w:sz="4" w:space="0" w:color="auto"/>
              <w:right w:val="single" w:sz="4" w:space="0" w:color="auto"/>
            </w:tcBorders>
            <w:shd w:val="clear" w:color="auto" w:fill="auto"/>
            <w:noWrap/>
            <w:hideMark/>
          </w:tcPr>
          <w:p w14:paraId="0035108B"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15 (14.6)</w:t>
            </w:r>
          </w:p>
        </w:tc>
      </w:tr>
      <w:tr w:rsidR="00E93081" w:rsidRPr="00CE4E1F" w14:paraId="70366436"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376AD70E" w14:textId="77777777" w:rsidR="00E93081" w:rsidRPr="00CE4E1F" w:rsidRDefault="00E93081" w:rsidP="00742F09">
            <w:pPr>
              <w:spacing w:line="360" w:lineRule="auto"/>
              <w:contextualSpacing/>
              <w:jc w:val="both"/>
              <w:rPr>
                <w:b/>
                <w:bCs/>
                <w:color w:val="000000"/>
                <w:sz w:val="18"/>
                <w:szCs w:val="18"/>
              </w:rPr>
            </w:pPr>
            <w:r>
              <w:rPr>
                <w:b/>
                <w:bCs/>
                <w:color w:val="000000"/>
                <w:sz w:val="18"/>
                <w:szCs w:val="18"/>
              </w:rPr>
              <w:t xml:space="preserve">Nanostring targeted gene expression profiling </w:t>
            </w:r>
            <w:r w:rsidRPr="00CE4E1F">
              <w:rPr>
                <w:b/>
                <w:bCs/>
                <w:color w:val="000000"/>
                <w:sz w:val="18"/>
                <w:szCs w:val="18"/>
              </w:rPr>
              <w:t>- no. (%)</w:t>
            </w:r>
          </w:p>
        </w:tc>
        <w:tc>
          <w:tcPr>
            <w:tcW w:w="3780" w:type="dxa"/>
            <w:tcBorders>
              <w:top w:val="nil"/>
              <w:left w:val="nil"/>
              <w:bottom w:val="single" w:sz="4" w:space="0" w:color="auto"/>
              <w:right w:val="single" w:sz="4" w:space="0" w:color="auto"/>
            </w:tcBorders>
            <w:shd w:val="clear" w:color="auto" w:fill="auto"/>
            <w:noWrap/>
          </w:tcPr>
          <w:p w14:paraId="18C8F39C" w14:textId="77777777" w:rsidR="00E93081" w:rsidRPr="00CE4E1F" w:rsidRDefault="00E93081" w:rsidP="00742F09">
            <w:pPr>
              <w:spacing w:line="360" w:lineRule="auto"/>
              <w:contextualSpacing/>
              <w:jc w:val="both"/>
              <w:rPr>
                <w:color w:val="000000"/>
                <w:sz w:val="18"/>
                <w:szCs w:val="18"/>
              </w:rPr>
            </w:pPr>
            <w:r>
              <w:rPr>
                <w:color w:val="000000"/>
                <w:sz w:val="18"/>
                <w:szCs w:val="18"/>
              </w:rPr>
              <w:t>103 (100)</w:t>
            </w:r>
          </w:p>
        </w:tc>
      </w:tr>
      <w:tr w:rsidR="00E93081" w:rsidRPr="00CE4E1F" w14:paraId="75D97BD2"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71AF62D3" w14:textId="77777777" w:rsidR="00E93081" w:rsidRPr="00CE4E1F" w:rsidRDefault="00E93081" w:rsidP="00742F09">
            <w:pPr>
              <w:spacing w:line="360" w:lineRule="auto"/>
              <w:contextualSpacing/>
              <w:jc w:val="both"/>
              <w:rPr>
                <w:color w:val="000000"/>
                <w:sz w:val="18"/>
                <w:szCs w:val="18"/>
              </w:rPr>
            </w:pPr>
            <w:r w:rsidRPr="00CE4E1F">
              <w:rPr>
                <w:b/>
                <w:bCs/>
                <w:color w:val="000000"/>
                <w:sz w:val="18"/>
                <w:szCs w:val="18"/>
              </w:rPr>
              <w:t>Gene expression risk score - no. (%)</w:t>
            </w:r>
          </w:p>
        </w:tc>
        <w:tc>
          <w:tcPr>
            <w:tcW w:w="3780" w:type="dxa"/>
            <w:tcBorders>
              <w:top w:val="nil"/>
              <w:left w:val="nil"/>
              <w:bottom w:val="single" w:sz="4" w:space="0" w:color="auto"/>
              <w:right w:val="single" w:sz="4" w:space="0" w:color="auto"/>
            </w:tcBorders>
            <w:shd w:val="clear" w:color="auto" w:fill="auto"/>
            <w:noWrap/>
            <w:hideMark/>
          </w:tcPr>
          <w:p w14:paraId="706F388D" w14:textId="77777777" w:rsidR="00E93081" w:rsidRPr="00CE4E1F" w:rsidRDefault="00E93081" w:rsidP="00742F09">
            <w:pPr>
              <w:spacing w:line="360" w:lineRule="auto"/>
              <w:contextualSpacing/>
              <w:jc w:val="both"/>
              <w:rPr>
                <w:color w:val="000000"/>
                <w:sz w:val="18"/>
                <w:szCs w:val="18"/>
              </w:rPr>
            </w:pPr>
          </w:p>
        </w:tc>
      </w:tr>
      <w:tr w:rsidR="00E93081" w:rsidRPr="00CE4E1F" w14:paraId="12F412FB"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33701835"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 xml:space="preserve">        </w:t>
            </w:r>
            <w:r w:rsidRPr="00CE4E1F">
              <w:rPr>
                <w:bCs/>
                <w:color w:val="000000"/>
                <w:sz w:val="18"/>
                <w:szCs w:val="18"/>
              </w:rPr>
              <w:t xml:space="preserve">Low </w:t>
            </w:r>
          </w:p>
        </w:tc>
        <w:tc>
          <w:tcPr>
            <w:tcW w:w="3780" w:type="dxa"/>
            <w:tcBorders>
              <w:top w:val="nil"/>
              <w:left w:val="nil"/>
              <w:bottom w:val="single" w:sz="4" w:space="0" w:color="auto"/>
              <w:right w:val="single" w:sz="4" w:space="0" w:color="auto"/>
            </w:tcBorders>
            <w:shd w:val="clear" w:color="auto" w:fill="auto"/>
            <w:noWrap/>
          </w:tcPr>
          <w:p w14:paraId="6E5D78E6"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39 (37.9)</w:t>
            </w:r>
          </w:p>
        </w:tc>
      </w:tr>
      <w:tr w:rsidR="00E93081" w:rsidRPr="00CE4E1F" w14:paraId="608566E3"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3888F1BD" w14:textId="77777777" w:rsidR="00E93081" w:rsidRPr="00CE4E1F" w:rsidRDefault="00E93081" w:rsidP="00742F09">
            <w:pPr>
              <w:spacing w:line="360" w:lineRule="auto"/>
              <w:ind w:firstLineChars="200" w:firstLine="360"/>
              <w:contextualSpacing/>
              <w:jc w:val="both"/>
              <w:rPr>
                <w:color w:val="000000"/>
                <w:sz w:val="18"/>
                <w:szCs w:val="18"/>
              </w:rPr>
            </w:pPr>
            <w:r w:rsidRPr="00CE4E1F">
              <w:rPr>
                <w:bCs/>
                <w:color w:val="000000"/>
                <w:sz w:val="18"/>
                <w:szCs w:val="18"/>
              </w:rPr>
              <w:t xml:space="preserve">Intermediate </w:t>
            </w:r>
          </w:p>
        </w:tc>
        <w:tc>
          <w:tcPr>
            <w:tcW w:w="3780" w:type="dxa"/>
            <w:tcBorders>
              <w:top w:val="nil"/>
              <w:left w:val="nil"/>
              <w:bottom w:val="single" w:sz="4" w:space="0" w:color="auto"/>
              <w:right w:val="single" w:sz="4" w:space="0" w:color="auto"/>
            </w:tcBorders>
            <w:shd w:val="clear" w:color="auto" w:fill="auto"/>
            <w:noWrap/>
          </w:tcPr>
          <w:p w14:paraId="78AEAF3B"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46 (44.7)</w:t>
            </w:r>
          </w:p>
        </w:tc>
      </w:tr>
      <w:tr w:rsidR="00E93081" w:rsidRPr="00CE4E1F" w14:paraId="45CF6889"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78C9076D" w14:textId="77777777" w:rsidR="00E93081" w:rsidRPr="00CE4E1F" w:rsidRDefault="00E93081" w:rsidP="00742F09">
            <w:pPr>
              <w:spacing w:line="360" w:lineRule="auto"/>
              <w:ind w:firstLineChars="200" w:firstLine="360"/>
              <w:contextualSpacing/>
              <w:jc w:val="both"/>
              <w:rPr>
                <w:color w:val="000000"/>
                <w:sz w:val="18"/>
                <w:szCs w:val="18"/>
              </w:rPr>
            </w:pPr>
            <w:r w:rsidRPr="00CE4E1F">
              <w:rPr>
                <w:bCs/>
                <w:color w:val="000000"/>
                <w:sz w:val="18"/>
                <w:szCs w:val="18"/>
              </w:rPr>
              <w:t xml:space="preserve">High </w:t>
            </w:r>
          </w:p>
        </w:tc>
        <w:tc>
          <w:tcPr>
            <w:tcW w:w="3780" w:type="dxa"/>
            <w:tcBorders>
              <w:top w:val="nil"/>
              <w:left w:val="nil"/>
              <w:bottom w:val="single" w:sz="4" w:space="0" w:color="auto"/>
              <w:right w:val="single" w:sz="4" w:space="0" w:color="auto"/>
            </w:tcBorders>
            <w:shd w:val="clear" w:color="auto" w:fill="auto"/>
            <w:noWrap/>
          </w:tcPr>
          <w:p w14:paraId="532ECF31"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18 (17.5)</w:t>
            </w:r>
          </w:p>
        </w:tc>
      </w:tr>
      <w:tr w:rsidR="00E93081" w:rsidRPr="00CE4E1F" w14:paraId="08869D5A"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tcPr>
          <w:p w14:paraId="40EA3286" w14:textId="77777777" w:rsidR="00E93081" w:rsidRPr="00CE4E1F" w:rsidRDefault="00E93081" w:rsidP="00742F09">
            <w:pPr>
              <w:spacing w:line="360" w:lineRule="auto"/>
              <w:contextualSpacing/>
              <w:jc w:val="both"/>
              <w:rPr>
                <w:color w:val="000000"/>
                <w:sz w:val="18"/>
                <w:szCs w:val="18"/>
              </w:rPr>
            </w:pPr>
            <w:r w:rsidRPr="00CE4E1F">
              <w:rPr>
                <w:b/>
                <w:bCs/>
                <w:color w:val="000000"/>
                <w:sz w:val="18"/>
                <w:szCs w:val="18"/>
              </w:rPr>
              <w:t>Postoperative radiotherapy - no. (%)</w:t>
            </w:r>
          </w:p>
        </w:tc>
        <w:tc>
          <w:tcPr>
            <w:tcW w:w="3780" w:type="dxa"/>
            <w:tcBorders>
              <w:top w:val="nil"/>
              <w:left w:val="nil"/>
              <w:bottom w:val="single" w:sz="4" w:space="0" w:color="auto"/>
              <w:right w:val="single" w:sz="4" w:space="0" w:color="auto"/>
            </w:tcBorders>
            <w:shd w:val="clear" w:color="auto" w:fill="auto"/>
            <w:noWrap/>
          </w:tcPr>
          <w:p w14:paraId="73A127F3"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63 (61.1)</w:t>
            </w:r>
          </w:p>
        </w:tc>
      </w:tr>
      <w:tr w:rsidR="00E93081" w:rsidRPr="00CE4E1F" w14:paraId="7844244A"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2F4F33C7" w14:textId="77777777" w:rsidR="00E93081" w:rsidRPr="00CE4E1F" w:rsidRDefault="00E93081" w:rsidP="00742F09">
            <w:pPr>
              <w:spacing w:line="360" w:lineRule="auto"/>
              <w:contextualSpacing/>
              <w:jc w:val="both"/>
              <w:rPr>
                <w:b/>
                <w:bCs/>
                <w:color w:val="000000"/>
                <w:sz w:val="18"/>
                <w:szCs w:val="18"/>
              </w:rPr>
            </w:pPr>
            <w:r w:rsidRPr="00CE4E1F">
              <w:rPr>
                <w:b/>
                <w:bCs/>
                <w:color w:val="000000"/>
                <w:sz w:val="18"/>
                <w:szCs w:val="18"/>
              </w:rPr>
              <w:t>Median follow up (IQR) - yr.*</w:t>
            </w:r>
          </w:p>
        </w:tc>
        <w:tc>
          <w:tcPr>
            <w:tcW w:w="3780" w:type="dxa"/>
            <w:tcBorders>
              <w:top w:val="nil"/>
              <w:left w:val="nil"/>
              <w:bottom w:val="single" w:sz="4" w:space="0" w:color="auto"/>
              <w:right w:val="single" w:sz="4" w:space="0" w:color="auto"/>
            </w:tcBorders>
            <w:shd w:val="clear" w:color="auto" w:fill="auto"/>
            <w:noWrap/>
            <w:hideMark/>
          </w:tcPr>
          <w:p w14:paraId="0C8227F9"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8.4 (5.1-9.3)</w:t>
            </w:r>
          </w:p>
        </w:tc>
      </w:tr>
      <w:tr w:rsidR="00E93081" w:rsidRPr="00CE4E1F" w14:paraId="02D5617B"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69312ADC" w14:textId="77777777" w:rsidR="00E93081" w:rsidRPr="00CE4E1F" w:rsidRDefault="00E93081" w:rsidP="00742F09">
            <w:pPr>
              <w:spacing w:line="360" w:lineRule="auto"/>
              <w:contextualSpacing/>
              <w:jc w:val="both"/>
              <w:rPr>
                <w:b/>
                <w:bCs/>
                <w:color w:val="000000"/>
                <w:sz w:val="18"/>
                <w:szCs w:val="18"/>
              </w:rPr>
            </w:pPr>
            <w:r w:rsidRPr="00CE4E1F">
              <w:rPr>
                <w:b/>
                <w:bCs/>
                <w:color w:val="000000"/>
                <w:sz w:val="18"/>
                <w:szCs w:val="18"/>
              </w:rPr>
              <w:t>Progression or death - no. (%)</w:t>
            </w:r>
          </w:p>
        </w:tc>
        <w:tc>
          <w:tcPr>
            <w:tcW w:w="3780" w:type="dxa"/>
            <w:tcBorders>
              <w:top w:val="nil"/>
              <w:left w:val="nil"/>
              <w:bottom w:val="single" w:sz="4" w:space="0" w:color="auto"/>
              <w:right w:val="single" w:sz="4" w:space="0" w:color="auto"/>
            </w:tcBorders>
            <w:shd w:val="clear" w:color="auto" w:fill="auto"/>
            <w:noWrap/>
            <w:hideMark/>
          </w:tcPr>
          <w:p w14:paraId="1E461D0E"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29 (28.2)</w:t>
            </w:r>
          </w:p>
        </w:tc>
      </w:tr>
      <w:tr w:rsidR="00E93081" w:rsidRPr="00CE4E1F" w14:paraId="61464EA7" w14:textId="77777777" w:rsidTr="005B5C77">
        <w:trPr>
          <w:trHeight w:val="320"/>
        </w:trPr>
        <w:tc>
          <w:tcPr>
            <w:tcW w:w="5575" w:type="dxa"/>
            <w:tcBorders>
              <w:top w:val="nil"/>
              <w:left w:val="single" w:sz="4" w:space="0" w:color="auto"/>
              <w:bottom w:val="single" w:sz="4" w:space="0" w:color="auto"/>
              <w:right w:val="single" w:sz="4" w:space="0" w:color="auto"/>
            </w:tcBorders>
            <w:shd w:val="clear" w:color="auto" w:fill="auto"/>
            <w:noWrap/>
            <w:hideMark/>
          </w:tcPr>
          <w:p w14:paraId="4F09526C" w14:textId="77777777" w:rsidR="00E93081" w:rsidRPr="00CE4E1F" w:rsidRDefault="00E93081" w:rsidP="00742F09">
            <w:pPr>
              <w:spacing w:line="360" w:lineRule="auto"/>
              <w:contextualSpacing/>
              <w:jc w:val="both"/>
              <w:rPr>
                <w:b/>
                <w:bCs/>
                <w:color w:val="000000"/>
                <w:sz w:val="18"/>
                <w:szCs w:val="18"/>
              </w:rPr>
            </w:pPr>
            <w:r w:rsidRPr="00CE4E1F">
              <w:rPr>
                <w:b/>
                <w:bCs/>
                <w:color w:val="000000"/>
                <w:sz w:val="18"/>
                <w:szCs w:val="18"/>
              </w:rPr>
              <w:t>Death - no. (%)</w:t>
            </w:r>
          </w:p>
        </w:tc>
        <w:tc>
          <w:tcPr>
            <w:tcW w:w="3780" w:type="dxa"/>
            <w:tcBorders>
              <w:top w:val="nil"/>
              <w:left w:val="nil"/>
              <w:bottom w:val="single" w:sz="4" w:space="0" w:color="auto"/>
              <w:right w:val="single" w:sz="4" w:space="0" w:color="auto"/>
            </w:tcBorders>
            <w:shd w:val="clear" w:color="auto" w:fill="auto"/>
            <w:noWrap/>
            <w:hideMark/>
          </w:tcPr>
          <w:p w14:paraId="33ABCF8E" w14:textId="77777777" w:rsidR="00E93081" w:rsidRPr="00CE4E1F" w:rsidRDefault="00E93081" w:rsidP="00742F09">
            <w:pPr>
              <w:spacing w:line="360" w:lineRule="auto"/>
              <w:contextualSpacing/>
              <w:jc w:val="both"/>
              <w:rPr>
                <w:color w:val="000000"/>
                <w:sz w:val="18"/>
                <w:szCs w:val="18"/>
              </w:rPr>
            </w:pPr>
            <w:r w:rsidRPr="00CE4E1F">
              <w:rPr>
                <w:color w:val="000000"/>
                <w:sz w:val="18"/>
                <w:szCs w:val="18"/>
              </w:rPr>
              <w:t>21 (20.4)</w:t>
            </w:r>
          </w:p>
        </w:tc>
      </w:tr>
    </w:tbl>
    <w:p w14:paraId="71A4EE77" w14:textId="4EB1DD1B" w:rsidR="00E93081" w:rsidRDefault="00E93081" w:rsidP="00742F09">
      <w:pPr>
        <w:spacing w:after="120" w:line="360" w:lineRule="auto"/>
        <w:jc w:val="both"/>
        <w:rPr>
          <w:bCs/>
        </w:rPr>
      </w:pPr>
      <w:r w:rsidRPr="00CE4E1F">
        <w:rPr>
          <w:bCs/>
        </w:rPr>
        <w:t xml:space="preserve">Nucleic acids were extracted from FFPE meningiomas. </w:t>
      </w:r>
      <w:r>
        <w:rPr>
          <w:bCs/>
        </w:rPr>
        <w:t>Clinical data from these cases were previously reported</w:t>
      </w:r>
      <w:r>
        <w:rPr>
          <w:bCs/>
        </w:rPr>
        <w:fldChar w:fldCharType="begin" w:fldLock="1"/>
      </w:r>
      <w:r w:rsidR="000F4EF5">
        <w:rPr>
          <w:bCs/>
        </w:rPr>
        <w:instrText>ADDIN CSL_CITATION {"citationItems":[{"id":"ITEM-1","itemData":{"DOI":"10.1016/j.ijrobp.2019.11.028","ISSN":"1879355X","PMID":"31786276","abstract":"Background: Phase 2 cooperative group meningioma trial assessing the safety and efficacy of risk-adaptive management strategies. This is the initial analysis of the high-risk cohort. Methods and Materials: High-risk patients were those with a new or recurrent World Health Organization (WHO) grade III meningioma of any resection extent, recurrent WHO grade II of any resection extent, or new WHO grade II after subtotal resection. Patients received intensity-modulated radiotherapy (IMRT) using a simultaneous integrated boost technique (60 Gy high dose and 54 Gy low dose in 30 fractions). Three-year progression-free survival (PFS) was the primary endpoint. Adverse events (AEs) were scored per NCI Common Terminology Criteria for Adverse Events version 3. Results: Of 57 enrolled patients, 53 received protocol treatment. Median follow-up was 4.0 years (4.8 years for living patients). Two patients withdrew without progression before year 3; for the remaining 51 patients, 3-year PFS was 58.8%. Among all 53 protocol-treated patients, 3-year PFS was 59.2%. Three-year local control was 68.9%, and overall survival was 78.6%. Of 51 patients, 1 patient (1.9%) experienced a late grade-5 necrosis-related AE. All other acute (23 of 53 patients) and late (21 of 51 patients) AEs were grades 1 to 3. Conclusions: Patients with high-risk meningioma treated with IMRT (60 Gy/30) experienced 3-year PFS of 58.8%. Combined acute and late AEs were limited to grades 1 to 3, except for a single necrosis-related grade 5 event. These results support postoperative IMRT for high-risk meningioma and invite ongoing investigations to improve outcomes further.","author":[{"dropping-particle":"","family":"Rogers","given":"C. Leland","non-dropping-particle":"","parse-names":false,"suffix":""},{"dropping-particle":"","family":"Won","given":"Minhee","non-dropping-particle":"","parse-names":false,"suffix":""},{"dropping-particle":"","family":"Vogelbaum","given":"Michael A.","non-dropping-particle":"","parse-names":false,"suffix":""},{"dropping-particle":"","family":"Perry","given":"Arie","non-dropping-particle":"","parse-names":false,"suffix":""},{"dropping-particle":"","family":"Ashby","given":"Lynn S.","non-dropping-particle":"","parse-names":false,"suffix":""},{"dropping-particle":"","family":"Modi","given":"Jignesh M.","non-dropping-particle":"","parse-names":false,"suffix":""},{"dropping-particle":"","family":"Alleman","given":"Anthony M.","non-dropping-particle":"","parse-names":false,"suffix":""},{"dropping-particle":"","family":"Galvin","given":"James","non-dropping-particle":"","parse-names":false,"suffix":""},{"dropping-particle":"","family":"Fogh","given":"Shannon E.","non-dropping-particle":"","parse-names":false,"suffix":""},{"dropping-particle":"","family":"Youssef","given":"Emad","non-dropping-particle":"","parse-names":false,"suffix":""},{"dropping-particle":"","family":"Deb","given":"Nimisha","non-dropping-particle":"","parse-names":false,"suffix":""},{"dropping-particle":"","family":"Kwok","given":"Young","non-dropping-particle":"","parse-names":false,"suffix":""},{"dropping-particle":"","family":"Robinson","given":"Clifford G.","non-dropping-particle":"","parse-names":false,"suffix":""},{"dropping-particle":"","family":"Shu","given":"Hui Kuo","non-dropping-particle":"","parse-names":false,"suffix":""},{"dropping-particle":"","family":"Fisher","given":"Barbara J.","non-dropping-particle":"","parse-names":false,"suffix":""},{"dropping-particle":"","family":"Panet-Raymond","given":"Valerie","non-dropping-particle":"","parse-names":false,"suffix":""},{"dropping-particle":"","family":"McMillan","given":"William G.","non-dropping-particle":"","parse-names":false,"suffix":""},{"dropping-particle":"","family":"Groot","given":"John F.","non-dropping-particle":"de","parse-names":false,"suffix":""},{"dropping-particle":"","family":"Zhang","given":"Peixin","non-dropping-particle":"","parse-names":false,"suffix":""},{"dropping-particle":"","family":"Mehta","given":"Minesh P.","non-dropping-particle":"","parse-names":false,"suffix":""}],"container-title":"International Journal of Radiation Oncology Biology Physics","id":"ITEM-1","issue":"4","issued":{"date-parts":[["2020"]]},"page":"790-799","title":"High-risk Meningioma: Initial Outcomes From NRG Oncology/RTOG 0539","type":"article-journal","volume":"106"},"uris":["http://www.mendeley.com/documents/?uuid=098f4a4f-cee7-4468-acbe-5a3fe57b27d3"]},{"id":"ITEM-2","itemData":{"DOI":"10.3171/2016.11.JNS161170","ISSN":"19330693","PMID":"28984517","abstract":"OBJECTIVE This is the first clinical outcomes report of NRG Oncology RTOG 0539, detailing the primary endpoint, 3-year progression-free survival (PFS), compared with a predefined historical control for intermediate-risk meningioma, and secondarily evaluating overall survival (OS), local failure, and prospectively scored adverse events (AEs). METHODS NRG Oncology RTOG 0539 was a Phase II clinical trial allocating meningioma patients to 1 of 3 prognostic groups and management strategies according to WHO grade, recurrence status, and resection extent. For the intermediate-risk group (Group 2), eligible patients had either newly diagnosed WHO Grade II meningioma that had been treated with gross-total resection (GTR; Simpson Grades I-III) or recurrent WHO Grade I meningioma with any resection extent. Pathology and imaging were centrally reviewed. Patients were treated with radiation therapy (RT), either intensity modulated (IMRT) or 3D conformal (3DCRT), 54 Gy in 30 fractions. The RT target volume was defined as the tumor bed and any nodular enhancement (e.g., in patients with recurrent WHO Grade I tumors) with a minimum 8-mm and maximum 15-mm margin, depending on tumor location and setup reproducibility of the RT method. The primary endpoint was 3-year PFS. Results were compared with historical controls (3-year PFS: 70% following GTR alone and 90% with GTR + RT). AEs were scored using NCI Common Toxicity Criteria. RESULTS Fifty-six patients enrolled in the intermediate-risk group, of whom 3 were ineligible and 1 did not receive RT. Of the 52 patients who received protocol therapy, 4 withdrew without a recurrence before 3 years leaving 48 patients evaluable for the primary endpoint, 3-year PFS, which was actuarially 93.8% (p = 0.0003). Within 3 years, 3 patients experienced events affecting PFS: 1 patient with a WHO Grade II tumor died of the disease, 1 patient with a WHO Grade II tumor had disease progression but remained alive, and 1 patient with recurrent WHO Grade I meningioma died of undetermined cause without tumor progression. The 3-year actuarial local failure rate was 4.1%, and the 3-year OS rate was 96%. After 3 years, progression occurred in 2 additional patients: 1 patient with recurrent WHO Grade I meningioma and 1 patient with WHO Grade II disease; both remain alive. Among 52 evaluable patients who received protocol treatment, 36 (69.2%) had WHO Grade II tumors and underwent GTR, and 16 (30.8%) had recurrent WHO Grade I tumors. There was no sig…","author":[{"dropping-particle":"","family":"Rogers","given":"Leland","non-dropping-particle":"","parse-names":false,"suffix":""},{"dropping-particle":"","family":"Zhang","given":"Peixin","non-dropping-particle":"","parse-names":false,"suffix":""},{"dropping-particle":"","family":"Vogelbaum","given":"Michael A.","non-dropping-particle":"","parse-names":false,"suffix":""},{"dropping-particle":"","family":"Perry","given":"Arie","non-dropping-particle":"","parse-names":false,"suffix":""},{"dropping-particle":"","family":"Ashby","given":"Lynn S.","non-dropping-particle":"","parse-names":false,"suffix":""},{"dropping-particle":"","family":"Modi","given":"Jignesh M.","non-dropping-particle":"","parse-names":false,"suffix":""},{"dropping-particle":"","family":"Alleman","given":"Anthony M.","non-dropping-particle":"","parse-names":false,"suffix":""},{"dropping-particle":"","family":"Galvin","given":"James","non-dropping-particle":"","parse-names":false,"suffix":""},{"dropping-particle":"","family":"Brachman","given":"David","non-dropping-particle":"","parse-names":false,"suffix":""},{"dropping-particle":"","family":"Jenrette","given":"Joseph M.","non-dropping-particle":"","parse-names":false,"suffix":""},{"dropping-particle":"","family":"Groot","given":"John","non-dropping-particle":"De","parse-names":false,"suffix":""},{"dropping-particle":"","family":"Bovi","given":"Joseph A.","non-dropping-particle":"","parse-names":false,"suffix":""},{"dropping-particle":"","family":"Werner-Wasik","given":"Maria","non-dropping-particle":"","parse-names":false,"suffix":""},{"dropping-particle":"","family":"Knisely","given":"Jonathan P.S.","non-dropping-particle":"","parse-names":false,"suffix":""},{"dropping-particle":"","family":"Mehta","given":"Minesh P.","non-dropping-particle":"","parse-names":false,"suffix":""}],"container-title":"Journal of Neurosurgery","id":"ITEM-2","issue":"1","issued":{"date-parts":[["2018","10","6"]]},"page":"35-47","title":"Intermediate-risk meningioma: Initial outcomes from NRG Oncology RTOG 0539","type":"article-journal","volume":"129"},"uris":["http://www.mendeley.com/documents/?uuid=19f94c57-1b33-4eef-bd08-86552a82bb69"]},{"id":"ITEM-3","itemData":{"DOI":"10.1093/neuonc/noac137","ISSN":"1523-5866","PMID":"35657335","abstract":"BACKGROUND Three- and five-year progression-free survival (PFS) for low-risk meningioma managed with surgery and observation exceeds 90%. Herewith we summarize outcomes for low-risk meningioma patients enrolled on NRG/RTOG 0539. METHODS This phase II trial allocated patients to 1 of 3 groups per WHO grade, recurrence status, and resection extent. Low-risk patients had either gross total (GTR) or subtotal resection (STR) for a newly diagnosed grade 1 meningioma and were observed after surgery. The primary endpoint was 3-year PFS. Adverse events (AEs) were scored using CTCAE version 3. RESULTS Among 60 evaluable patients, median follow-up was 9.1 years. The 3, 5, and 10 year rates were 91.4% (95% CI:84.2-98.6), 89.4% (95% CI:81.3-97.5), 85.0% (95% CI:75.3-94.7) for PFS and 98.3% (95% CI:94.9-100), 98.3%, (95% CI:94.9-100), 93.8% (95% CI:87.0-100) for overall survival (OS), respectively. With centrally confirmed GTR, 3/5/10y PFS and OS rates were 94.3/94.3/87.6% and 97.1/97.1/90.4%. With STR, 3/5/10y PFS rates were 83.1/72.7/72.7% and 10y OS 100%. Five patients reported 1 grade 3, 4 grade 2, and 5 grade 1 adverse events. There were no grade 4 or 5 adverse events. CONCLUSIONS These results prospectively validate high PFS and OS for low-risk meningioma managed surgically but raise questions regarding optimal management following STR, a subcohort that could potentially benefit from adjuvant therapy.","author":[{"dropping-particle":"","family":"Rogers","given":"C Leland","non-dropping-particle":"","parse-names":false,"suffix":""},{"dropping-particle":"","family":"Pugh","given":"Stephanie L","non-dropping-particle":"","parse-names":false,"suffix":""},{"dropping-particle":"","family":"Vogelbaum","given":"Michael A","non-dropping-particle":"","parse-names":false,"suffix":""},{"dropping-particle":"","family":"Perry","given":"Arie","non-dropping-particle":"","parse-names":false,"suffix":""},{"dropping-particle":"","family":"Ashby","given":"Lynn S","non-dropping-particle":"","parse-names":false,"suffix":""},{"dropping-particle":"","family":"Modi","given":"Jignesh M","non-dropping-particle":"","parse-names":false,"suffix":""},{"dropping-particle":"","family":"Alleman","given":"Anthony M","non-dropping-particle":"","parse-names":false,"suffix":""},{"dropping-particle":"","family":"Barani","given":"Igor J","non-dropping-particle":"","parse-names":false,"suffix":""},{"dropping-particle":"","family":"Braunstein","given":"Steve","non-dropping-particle":"","parse-names":false,"suffix":""},{"dropping-particle":"","family":"Bovi","given":"Joseph A","non-dropping-particle":"","parse-names":false,"suffix":""},{"dropping-particle":"","family":"Groot","given":"John F","non-dropping-particle":"de","parse-names":false,"suffix":""},{"dropping-particle":"","family":"Whitton","given":"Anthony C","non-dropping-particle":"","parse-names":false,"suffix":""},{"dropping-particle":"","family":"Lindhorst","given":"Scott M","non-dropping-particle":"","parse-names":false,"suffix":""},{"dropping-particle":"","family":"Deb","given":"Nimisha","non-dropping-particle":"","parse-names":false,"suffix":""},{"dropping-particle":"","family":"Shrieve","given":"Dennis C","non-dropping-particle":"","parse-names":false,"suffix":""},{"dropping-particle":"","family":"Shu","given":"Hui-Kuo","non-dropping-particle":"","parse-names":false,"suffix":""},{"dropping-particle":"","family":"Bloom","given":"Beatrice","non-dropping-particle":"","parse-names":false,"suffix":""},{"dropping-particle":"","family":"Machtay","given":"Mitchell","non-dropping-particle":"","parse-names":false,"suffix":""},{"dropping-particle":"V","family":"Mishra","given":"Mark","non-dropping-particle":"","parse-names":false,"suffix":""},{"dropping-particle":"","family":"Robinson","given":"Clifford G","non-dropping-particle":"","parse-names":false,"suffix":""},{"dropping-particle":"","family":"Won","given":"Minhee","non-dropping-particle":"","parse-names":false,"suffix":""},{"dropping-particle":"","family":"Mehta","given":"Minesh P","non-dropping-particle":"","parse-names":false,"suffix":""}],"container-title":"Neuro-oncology","id":"ITEM-3","issued":{"date-parts":[["2022","6","3"]]},"title":"Low-Risk Meningioma: Initial Outcomes from NRG Oncology/RTOG 0539.","type":"article-journal"},"uris":["http://www.mendeley.com/documents/?uuid=41921338-4c0b-4f7f-97b9-7c0ca4c95a57"]}],"mendeley":{"formattedCitation":"&lt;sup&gt;11,12,14&lt;/sup&gt;","plainTextFormattedCitation":"11,12,14","previouslyFormattedCitation":"&lt;sup&gt;11,12,14&lt;/sup&gt;"},"properties":{"noteIndex":0},"schema":"https://github.com/citation-style-language/schema/raw/master/csl-citation.json"}</w:instrText>
      </w:r>
      <w:r>
        <w:rPr>
          <w:bCs/>
        </w:rPr>
        <w:fldChar w:fldCharType="separate"/>
      </w:r>
      <w:r w:rsidR="000F4EF5" w:rsidRPr="000F4EF5">
        <w:rPr>
          <w:bCs/>
          <w:noProof/>
          <w:vertAlign w:val="superscript"/>
        </w:rPr>
        <w:t>11,12,14</w:t>
      </w:r>
      <w:r>
        <w:rPr>
          <w:bCs/>
        </w:rPr>
        <w:fldChar w:fldCharType="end"/>
      </w:r>
      <w:r>
        <w:rPr>
          <w:bCs/>
        </w:rPr>
        <w:t>.</w:t>
      </w:r>
    </w:p>
    <w:p w14:paraId="381D0022" w14:textId="2ADA7B0D" w:rsidR="003F4089" w:rsidRDefault="00E93081" w:rsidP="00742F09">
      <w:pPr>
        <w:spacing w:line="360" w:lineRule="auto"/>
        <w:jc w:val="both"/>
        <w:rPr>
          <w:bCs/>
        </w:rPr>
      </w:pPr>
      <w:r>
        <w:rPr>
          <w:bCs/>
        </w:rPr>
        <w:br w:type="column"/>
      </w:r>
      <w:r w:rsidR="003F4089" w:rsidRPr="00635B44">
        <w:rPr>
          <w:b/>
          <w:bCs/>
        </w:rPr>
        <w:lastRenderedPageBreak/>
        <w:t>Table S14. RTOG 0539 characteristics by risk group and multivariate analysis</w:t>
      </w:r>
      <w:r w:rsidR="001511BA">
        <w:rPr>
          <w:b/>
          <w:bCs/>
        </w:rPr>
        <w:t>.</w:t>
      </w:r>
    </w:p>
    <w:tbl>
      <w:tblPr>
        <w:tblW w:w="5000" w:type="pct"/>
        <w:tblLayout w:type="fixed"/>
        <w:tblLook w:val="04A0" w:firstRow="1" w:lastRow="0" w:firstColumn="1" w:lastColumn="0" w:noHBand="0" w:noVBand="1"/>
      </w:tblPr>
      <w:tblGrid>
        <w:gridCol w:w="4585"/>
        <w:gridCol w:w="1530"/>
        <w:gridCol w:w="1709"/>
        <w:gridCol w:w="1526"/>
      </w:tblGrid>
      <w:tr w:rsidR="00171009" w:rsidRPr="003B1724" w14:paraId="79FCB5A4" w14:textId="77777777" w:rsidTr="009C1654">
        <w:trPr>
          <w:cantSplit/>
          <w:trHeight w:val="320"/>
        </w:trPr>
        <w:tc>
          <w:tcPr>
            <w:tcW w:w="24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DFCF7C"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7827C147" w14:textId="35D2965C" w:rsidR="003B1724" w:rsidRPr="00F016C9" w:rsidRDefault="0079392C" w:rsidP="00742F09">
            <w:pPr>
              <w:spacing w:line="360" w:lineRule="auto"/>
              <w:jc w:val="both"/>
              <w:rPr>
                <w:b/>
                <w:bCs/>
                <w:color w:val="000000"/>
                <w:sz w:val="18"/>
                <w:szCs w:val="18"/>
              </w:rPr>
            </w:pPr>
            <w:r w:rsidRPr="00F016C9">
              <w:rPr>
                <w:b/>
                <w:bCs/>
                <w:color w:val="000000"/>
                <w:sz w:val="18"/>
                <w:szCs w:val="18"/>
              </w:rPr>
              <w:t xml:space="preserve">Gene </w:t>
            </w:r>
            <w:r w:rsidR="003A6115">
              <w:rPr>
                <w:b/>
                <w:bCs/>
                <w:color w:val="000000"/>
                <w:sz w:val="18"/>
                <w:szCs w:val="18"/>
              </w:rPr>
              <w:t>e</w:t>
            </w:r>
            <w:r w:rsidRPr="00F016C9">
              <w:rPr>
                <w:b/>
                <w:bCs/>
                <w:color w:val="000000"/>
                <w:sz w:val="18"/>
                <w:szCs w:val="18"/>
              </w:rPr>
              <w:t xml:space="preserve">xpression </w:t>
            </w:r>
            <w:r w:rsidR="003A6115">
              <w:rPr>
                <w:b/>
                <w:bCs/>
                <w:color w:val="000000"/>
                <w:sz w:val="18"/>
                <w:szCs w:val="18"/>
              </w:rPr>
              <w:t>l</w:t>
            </w:r>
            <w:r w:rsidR="003B1724" w:rsidRPr="00F016C9">
              <w:rPr>
                <w:b/>
                <w:bCs/>
                <w:color w:val="000000"/>
                <w:sz w:val="18"/>
                <w:szCs w:val="18"/>
              </w:rPr>
              <w:t>ow</w:t>
            </w:r>
            <w:r w:rsidR="003A6115">
              <w:rPr>
                <w:b/>
                <w:bCs/>
                <w:color w:val="000000"/>
                <w:sz w:val="18"/>
                <w:szCs w:val="18"/>
              </w:rPr>
              <w:t xml:space="preserve"> risk</w:t>
            </w:r>
            <w:r w:rsidRPr="00F016C9">
              <w:rPr>
                <w:b/>
                <w:bCs/>
                <w:color w:val="000000"/>
                <w:sz w:val="18"/>
                <w:szCs w:val="18"/>
              </w:rPr>
              <w:t>*</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282EBD1A" w14:textId="092945C3" w:rsidR="003B1724" w:rsidRPr="00F016C9" w:rsidRDefault="0079392C" w:rsidP="00742F09">
            <w:pPr>
              <w:spacing w:line="360" w:lineRule="auto"/>
              <w:jc w:val="both"/>
              <w:rPr>
                <w:b/>
                <w:bCs/>
                <w:color w:val="000000"/>
                <w:sz w:val="18"/>
                <w:szCs w:val="18"/>
              </w:rPr>
            </w:pPr>
            <w:r w:rsidRPr="00F016C9">
              <w:rPr>
                <w:b/>
                <w:bCs/>
                <w:color w:val="000000"/>
                <w:sz w:val="18"/>
                <w:szCs w:val="18"/>
              </w:rPr>
              <w:t xml:space="preserve">Gene </w:t>
            </w:r>
            <w:r w:rsidR="003A6115">
              <w:rPr>
                <w:b/>
                <w:bCs/>
                <w:color w:val="000000"/>
                <w:sz w:val="18"/>
                <w:szCs w:val="18"/>
              </w:rPr>
              <w:t>e</w:t>
            </w:r>
            <w:r w:rsidRPr="00F016C9">
              <w:rPr>
                <w:b/>
                <w:bCs/>
                <w:color w:val="000000"/>
                <w:sz w:val="18"/>
                <w:szCs w:val="18"/>
              </w:rPr>
              <w:t xml:space="preserve">xpression </w:t>
            </w:r>
            <w:r w:rsidR="003A6115">
              <w:rPr>
                <w:b/>
                <w:bCs/>
                <w:color w:val="000000"/>
                <w:sz w:val="18"/>
                <w:szCs w:val="18"/>
              </w:rPr>
              <w:t>i</w:t>
            </w:r>
            <w:r w:rsidRPr="00F016C9">
              <w:rPr>
                <w:b/>
                <w:bCs/>
                <w:color w:val="000000"/>
                <w:sz w:val="18"/>
                <w:szCs w:val="18"/>
              </w:rPr>
              <w:t>ntermediate</w:t>
            </w:r>
            <w:r w:rsidR="003A6115">
              <w:rPr>
                <w:b/>
                <w:bCs/>
                <w:color w:val="000000"/>
                <w:sz w:val="18"/>
                <w:szCs w:val="18"/>
              </w:rPr>
              <w:t xml:space="preserve"> risk</w:t>
            </w:r>
            <w:r w:rsidRPr="00F016C9">
              <w:rPr>
                <w:b/>
                <w:bCs/>
                <w:color w:val="000000"/>
                <w:sz w:val="18"/>
                <w:szCs w:val="18"/>
              </w:rPr>
              <w:t>*</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24194F1C" w14:textId="5799D3C0" w:rsidR="003B1724" w:rsidRPr="00F016C9" w:rsidRDefault="0079392C" w:rsidP="00742F09">
            <w:pPr>
              <w:spacing w:line="360" w:lineRule="auto"/>
              <w:jc w:val="both"/>
              <w:rPr>
                <w:b/>
                <w:bCs/>
                <w:color w:val="000000"/>
                <w:sz w:val="18"/>
                <w:szCs w:val="18"/>
              </w:rPr>
            </w:pPr>
            <w:r w:rsidRPr="00F016C9">
              <w:rPr>
                <w:b/>
                <w:bCs/>
                <w:color w:val="000000"/>
                <w:sz w:val="18"/>
                <w:szCs w:val="18"/>
              </w:rPr>
              <w:t xml:space="preserve">Gene </w:t>
            </w:r>
            <w:r w:rsidR="003A6115">
              <w:rPr>
                <w:b/>
                <w:bCs/>
                <w:color w:val="000000"/>
                <w:sz w:val="18"/>
                <w:szCs w:val="18"/>
              </w:rPr>
              <w:t>e</w:t>
            </w:r>
            <w:r w:rsidRPr="00F016C9">
              <w:rPr>
                <w:b/>
                <w:bCs/>
                <w:color w:val="000000"/>
                <w:sz w:val="18"/>
                <w:szCs w:val="18"/>
              </w:rPr>
              <w:t xml:space="preserve">xpression </w:t>
            </w:r>
            <w:r w:rsidR="003A6115">
              <w:rPr>
                <w:b/>
                <w:bCs/>
                <w:color w:val="000000"/>
                <w:sz w:val="18"/>
                <w:szCs w:val="18"/>
              </w:rPr>
              <w:t>h</w:t>
            </w:r>
            <w:r w:rsidRPr="00F016C9">
              <w:rPr>
                <w:b/>
                <w:bCs/>
                <w:color w:val="000000"/>
                <w:sz w:val="18"/>
                <w:szCs w:val="18"/>
              </w:rPr>
              <w:t>igh</w:t>
            </w:r>
            <w:r w:rsidR="003A6115">
              <w:rPr>
                <w:b/>
                <w:bCs/>
                <w:color w:val="000000"/>
                <w:sz w:val="18"/>
                <w:szCs w:val="18"/>
              </w:rPr>
              <w:t xml:space="preserve"> risk</w:t>
            </w:r>
            <w:r w:rsidRPr="00F016C9">
              <w:rPr>
                <w:b/>
                <w:bCs/>
                <w:color w:val="000000"/>
                <w:sz w:val="18"/>
                <w:szCs w:val="18"/>
              </w:rPr>
              <w:t>*</w:t>
            </w:r>
          </w:p>
        </w:tc>
      </w:tr>
      <w:tr w:rsidR="00171009" w:rsidRPr="003B1724" w14:paraId="174FED72" w14:textId="77777777" w:rsidTr="009C1654">
        <w:trPr>
          <w:trHeight w:val="320"/>
        </w:trPr>
        <w:tc>
          <w:tcPr>
            <w:tcW w:w="2452" w:type="pct"/>
            <w:vMerge/>
            <w:tcBorders>
              <w:top w:val="single" w:sz="4" w:space="0" w:color="auto"/>
              <w:left w:val="single" w:sz="4" w:space="0" w:color="auto"/>
              <w:bottom w:val="single" w:sz="4" w:space="0" w:color="auto"/>
              <w:right w:val="single" w:sz="4" w:space="0" w:color="auto"/>
            </w:tcBorders>
            <w:vAlign w:val="center"/>
            <w:hideMark/>
          </w:tcPr>
          <w:p w14:paraId="6ED157ED" w14:textId="77777777" w:rsidR="003B1724" w:rsidRPr="00F016C9" w:rsidRDefault="003B1724" w:rsidP="00742F09">
            <w:pPr>
              <w:spacing w:line="360" w:lineRule="auto"/>
              <w:jc w:val="both"/>
              <w:rPr>
                <w:color w:val="000000"/>
                <w:sz w:val="18"/>
                <w:szCs w:val="18"/>
              </w:rPr>
            </w:pP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702708F8" w14:textId="435D55BA" w:rsidR="003B1724" w:rsidRPr="00F016C9" w:rsidRDefault="003B1724" w:rsidP="00742F09">
            <w:pPr>
              <w:spacing w:line="360" w:lineRule="auto"/>
              <w:jc w:val="both"/>
              <w:rPr>
                <w:b/>
                <w:bCs/>
                <w:color w:val="000000"/>
                <w:sz w:val="18"/>
                <w:szCs w:val="18"/>
              </w:rPr>
            </w:pPr>
            <w:r w:rsidRPr="00F016C9">
              <w:rPr>
                <w:b/>
                <w:bCs/>
                <w:color w:val="000000"/>
                <w:sz w:val="18"/>
                <w:szCs w:val="18"/>
              </w:rPr>
              <w:t>(</w:t>
            </w:r>
            <w:r w:rsidR="00171009">
              <w:rPr>
                <w:b/>
                <w:bCs/>
                <w:color w:val="000000"/>
                <w:sz w:val="18"/>
                <w:szCs w:val="18"/>
              </w:rPr>
              <w:t>N</w:t>
            </w:r>
            <w:r w:rsidRPr="00F016C9">
              <w:rPr>
                <w:b/>
                <w:bCs/>
                <w:color w:val="000000"/>
                <w:sz w:val="18"/>
                <w:szCs w:val="18"/>
              </w:rPr>
              <w:t>=39)</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24900543" w14:textId="6EAE8667" w:rsidR="003B1724" w:rsidRPr="00F016C9" w:rsidRDefault="003B1724" w:rsidP="00742F09">
            <w:pPr>
              <w:spacing w:line="360" w:lineRule="auto"/>
              <w:jc w:val="both"/>
              <w:rPr>
                <w:b/>
                <w:bCs/>
                <w:color w:val="000000"/>
                <w:sz w:val="18"/>
                <w:szCs w:val="18"/>
              </w:rPr>
            </w:pPr>
            <w:r w:rsidRPr="00F016C9">
              <w:rPr>
                <w:b/>
                <w:bCs/>
                <w:color w:val="000000"/>
                <w:sz w:val="18"/>
                <w:szCs w:val="18"/>
              </w:rPr>
              <w:t>(</w:t>
            </w:r>
            <w:r w:rsidR="00171009">
              <w:rPr>
                <w:b/>
                <w:bCs/>
                <w:color w:val="000000"/>
                <w:sz w:val="18"/>
                <w:szCs w:val="18"/>
              </w:rPr>
              <w:t>N</w:t>
            </w:r>
            <w:r w:rsidRPr="00F016C9">
              <w:rPr>
                <w:b/>
                <w:bCs/>
                <w:color w:val="000000"/>
                <w:sz w:val="18"/>
                <w:szCs w:val="18"/>
              </w:rPr>
              <w:t>=46)</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442695DC" w14:textId="38670259" w:rsidR="003B1724" w:rsidRPr="00F016C9" w:rsidRDefault="003B1724" w:rsidP="00742F09">
            <w:pPr>
              <w:spacing w:line="360" w:lineRule="auto"/>
              <w:jc w:val="both"/>
              <w:rPr>
                <w:b/>
                <w:bCs/>
                <w:color w:val="000000"/>
                <w:sz w:val="18"/>
                <w:szCs w:val="18"/>
              </w:rPr>
            </w:pPr>
            <w:r w:rsidRPr="00F016C9">
              <w:rPr>
                <w:b/>
                <w:bCs/>
                <w:color w:val="000000"/>
                <w:sz w:val="18"/>
                <w:szCs w:val="18"/>
              </w:rPr>
              <w:t>(</w:t>
            </w:r>
            <w:r w:rsidR="00171009">
              <w:rPr>
                <w:b/>
                <w:bCs/>
                <w:color w:val="000000"/>
                <w:sz w:val="18"/>
                <w:szCs w:val="18"/>
              </w:rPr>
              <w:t>N</w:t>
            </w:r>
            <w:r w:rsidRPr="00F016C9">
              <w:rPr>
                <w:b/>
                <w:bCs/>
                <w:color w:val="000000"/>
                <w:sz w:val="18"/>
                <w:szCs w:val="18"/>
              </w:rPr>
              <w:t>=18)</w:t>
            </w:r>
          </w:p>
        </w:tc>
      </w:tr>
      <w:tr w:rsidR="003B1724" w:rsidRPr="003B1724" w14:paraId="02C9C0BF" w14:textId="77777777" w:rsidTr="003A6115">
        <w:trPr>
          <w:cantSplit/>
          <w:trHeight w:val="3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054DDB1"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r>
      <w:tr w:rsidR="00171009" w:rsidRPr="003B1724" w14:paraId="0642FA1D" w14:textId="77777777" w:rsidTr="009C1654">
        <w:trPr>
          <w:cantSplit/>
          <w:trHeight w:val="152"/>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F4132A" w14:textId="62D1DD95" w:rsidR="003B1724" w:rsidRPr="009C1654" w:rsidRDefault="003B1724" w:rsidP="00742F09">
            <w:pPr>
              <w:spacing w:line="360" w:lineRule="auto"/>
              <w:jc w:val="both"/>
              <w:rPr>
                <w:b/>
                <w:bCs/>
                <w:color w:val="000000"/>
                <w:sz w:val="18"/>
                <w:szCs w:val="18"/>
              </w:rPr>
            </w:pPr>
            <w:r w:rsidRPr="009C1654">
              <w:rPr>
                <w:b/>
                <w:bCs/>
                <w:color w:val="000000"/>
                <w:sz w:val="18"/>
                <w:szCs w:val="18"/>
              </w:rPr>
              <w:t xml:space="preserve">Extent of </w:t>
            </w:r>
            <w:r w:rsidR="00171009" w:rsidRPr="009C1654">
              <w:rPr>
                <w:b/>
                <w:bCs/>
                <w:color w:val="000000"/>
                <w:sz w:val="18"/>
                <w:szCs w:val="18"/>
              </w:rPr>
              <w:t>r</w:t>
            </w:r>
            <w:r w:rsidRPr="009C1654">
              <w:rPr>
                <w:b/>
                <w:bCs/>
                <w:color w:val="000000"/>
                <w:sz w:val="18"/>
                <w:szCs w:val="18"/>
              </w:rPr>
              <w:t>esection</w:t>
            </w:r>
            <w:r w:rsidR="005625AD">
              <w:rPr>
                <w:b/>
                <w:bCs/>
                <w:color w:val="000000"/>
                <w:sz w:val="18"/>
                <w:szCs w:val="18"/>
              </w:rPr>
              <w:t xml:space="preserve"> </w:t>
            </w:r>
            <w:r w:rsidR="005625AD" w:rsidRPr="00CE4E1F">
              <w:rPr>
                <w:b/>
                <w:bCs/>
                <w:color w:val="000000"/>
                <w:sz w:val="18"/>
                <w:szCs w:val="18"/>
              </w:rPr>
              <w:t>- no. (%)</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7E8FF970"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746143F5"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5278FB06"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r>
      <w:tr w:rsidR="00171009" w:rsidRPr="003B1724" w14:paraId="665F96C9"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81D159" w14:textId="77777777" w:rsidR="003B1724" w:rsidRPr="00F016C9" w:rsidRDefault="003B1724" w:rsidP="00742F09">
            <w:pPr>
              <w:spacing w:line="360" w:lineRule="auto"/>
              <w:jc w:val="both"/>
              <w:rPr>
                <w:color w:val="000000"/>
                <w:sz w:val="18"/>
                <w:szCs w:val="18"/>
              </w:rPr>
            </w:pPr>
            <w:r w:rsidRPr="00F016C9">
              <w:rPr>
                <w:color w:val="000000"/>
                <w:sz w:val="18"/>
                <w:szCs w:val="18"/>
              </w:rPr>
              <w:t>GTR</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5949209E" w14:textId="1B2667CB" w:rsidR="003B1724" w:rsidRPr="00F016C9" w:rsidRDefault="003B1724" w:rsidP="00742F09">
            <w:pPr>
              <w:spacing w:line="360" w:lineRule="auto"/>
              <w:jc w:val="both"/>
              <w:rPr>
                <w:color w:val="000000"/>
                <w:sz w:val="18"/>
                <w:szCs w:val="18"/>
              </w:rPr>
            </w:pPr>
            <w:r w:rsidRPr="00F016C9">
              <w:rPr>
                <w:color w:val="000000"/>
                <w:sz w:val="18"/>
                <w:szCs w:val="18"/>
              </w:rPr>
              <w:t>31  (86.1)</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65752CB5" w14:textId="64DEDAA0" w:rsidR="003B1724" w:rsidRPr="00F016C9" w:rsidRDefault="003B1724" w:rsidP="00742F09">
            <w:pPr>
              <w:spacing w:line="360" w:lineRule="auto"/>
              <w:jc w:val="both"/>
              <w:rPr>
                <w:color w:val="000000"/>
                <w:sz w:val="18"/>
                <w:szCs w:val="18"/>
              </w:rPr>
            </w:pPr>
            <w:r w:rsidRPr="00F016C9">
              <w:rPr>
                <w:color w:val="000000"/>
                <w:sz w:val="18"/>
                <w:szCs w:val="18"/>
              </w:rPr>
              <w:t>30  (81.1)</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5B40F764" w14:textId="53D48C98" w:rsidR="003B1724" w:rsidRPr="00F016C9" w:rsidRDefault="003B1724" w:rsidP="00742F09">
            <w:pPr>
              <w:spacing w:line="360" w:lineRule="auto"/>
              <w:jc w:val="both"/>
              <w:rPr>
                <w:color w:val="000000"/>
                <w:sz w:val="18"/>
                <w:szCs w:val="18"/>
              </w:rPr>
            </w:pPr>
            <w:r w:rsidRPr="00F016C9">
              <w:rPr>
                <w:color w:val="000000"/>
                <w:sz w:val="18"/>
                <w:szCs w:val="18"/>
              </w:rPr>
              <w:t>9  (64.3)</w:t>
            </w:r>
          </w:p>
        </w:tc>
      </w:tr>
      <w:tr w:rsidR="00171009" w:rsidRPr="003B1724" w14:paraId="1EA087CC"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288697" w14:textId="77777777" w:rsidR="003B1724" w:rsidRPr="00F016C9" w:rsidRDefault="003B1724" w:rsidP="00742F09">
            <w:pPr>
              <w:spacing w:line="360" w:lineRule="auto"/>
              <w:jc w:val="both"/>
              <w:rPr>
                <w:color w:val="000000"/>
                <w:sz w:val="18"/>
                <w:szCs w:val="18"/>
              </w:rPr>
            </w:pPr>
            <w:r w:rsidRPr="00F016C9">
              <w:rPr>
                <w:color w:val="000000"/>
                <w:sz w:val="18"/>
                <w:szCs w:val="18"/>
              </w:rPr>
              <w:t>STR</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39C04C70" w14:textId="71F95C0F" w:rsidR="003B1724" w:rsidRPr="00F016C9" w:rsidRDefault="003B1724" w:rsidP="00742F09">
            <w:pPr>
              <w:spacing w:line="360" w:lineRule="auto"/>
              <w:jc w:val="both"/>
              <w:rPr>
                <w:color w:val="000000"/>
                <w:sz w:val="18"/>
                <w:szCs w:val="18"/>
              </w:rPr>
            </w:pPr>
            <w:r w:rsidRPr="00F016C9">
              <w:rPr>
                <w:color w:val="000000"/>
                <w:sz w:val="18"/>
                <w:szCs w:val="18"/>
              </w:rPr>
              <w:t>5  (13.9)</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214128A6" w14:textId="6A71B200" w:rsidR="003B1724" w:rsidRPr="00F016C9" w:rsidRDefault="003B1724" w:rsidP="00742F09">
            <w:pPr>
              <w:spacing w:line="360" w:lineRule="auto"/>
              <w:jc w:val="both"/>
              <w:rPr>
                <w:color w:val="000000"/>
                <w:sz w:val="18"/>
                <w:szCs w:val="18"/>
              </w:rPr>
            </w:pPr>
            <w:r w:rsidRPr="00F016C9">
              <w:rPr>
                <w:color w:val="000000"/>
                <w:sz w:val="18"/>
                <w:szCs w:val="18"/>
              </w:rPr>
              <w:t xml:space="preserve"> 7  (18.9)</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5BC1387A" w14:textId="2AE1A814" w:rsidR="003B1724" w:rsidRPr="00F016C9" w:rsidRDefault="003B1724" w:rsidP="00742F09">
            <w:pPr>
              <w:spacing w:line="360" w:lineRule="auto"/>
              <w:jc w:val="both"/>
              <w:rPr>
                <w:color w:val="000000"/>
                <w:sz w:val="18"/>
                <w:szCs w:val="18"/>
              </w:rPr>
            </w:pPr>
            <w:r w:rsidRPr="00F016C9">
              <w:rPr>
                <w:color w:val="000000"/>
                <w:sz w:val="18"/>
                <w:szCs w:val="18"/>
              </w:rPr>
              <w:t>5  (35.7)</w:t>
            </w:r>
          </w:p>
        </w:tc>
      </w:tr>
      <w:tr w:rsidR="003B1724" w:rsidRPr="003B1724" w14:paraId="33AB042B" w14:textId="77777777" w:rsidTr="003A6115">
        <w:trPr>
          <w:cantSplit/>
          <w:trHeight w:val="3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F867108"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r>
      <w:tr w:rsidR="00171009" w:rsidRPr="003B1724" w14:paraId="6571C9D9" w14:textId="77777777" w:rsidTr="009C1654">
        <w:trPr>
          <w:cantSplit/>
          <w:trHeight w:val="89"/>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CBAB4E" w14:textId="2DF9CCCD" w:rsidR="003B1724" w:rsidRPr="009C1654" w:rsidRDefault="003B1724" w:rsidP="00742F09">
            <w:pPr>
              <w:spacing w:line="360" w:lineRule="auto"/>
              <w:jc w:val="both"/>
              <w:rPr>
                <w:b/>
                <w:bCs/>
                <w:color w:val="000000"/>
                <w:sz w:val="18"/>
                <w:szCs w:val="18"/>
              </w:rPr>
            </w:pPr>
            <w:r w:rsidRPr="009C1654">
              <w:rPr>
                <w:b/>
                <w:bCs/>
                <w:color w:val="000000"/>
                <w:sz w:val="18"/>
                <w:szCs w:val="18"/>
              </w:rPr>
              <w:t xml:space="preserve">Status of </w:t>
            </w:r>
            <w:r w:rsidR="00171009" w:rsidRPr="009C1654">
              <w:rPr>
                <w:b/>
                <w:bCs/>
                <w:color w:val="000000"/>
                <w:sz w:val="18"/>
                <w:szCs w:val="18"/>
              </w:rPr>
              <w:t>t</w:t>
            </w:r>
            <w:r w:rsidRPr="009C1654">
              <w:rPr>
                <w:b/>
                <w:bCs/>
                <w:color w:val="000000"/>
                <w:sz w:val="18"/>
                <w:szCs w:val="18"/>
              </w:rPr>
              <w:t>umor</w:t>
            </w:r>
            <w:r w:rsidR="00171009" w:rsidRPr="009C1654">
              <w:rPr>
                <w:b/>
                <w:bCs/>
                <w:color w:val="000000"/>
                <w:sz w:val="18"/>
                <w:szCs w:val="18"/>
              </w:rPr>
              <w:t xml:space="preserve"> (setting)</w:t>
            </w:r>
            <w:r w:rsidR="005625AD">
              <w:rPr>
                <w:b/>
                <w:bCs/>
                <w:color w:val="000000"/>
                <w:sz w:val="18"/>
                <w:szCs w:val="18"/>
              </w:rPr>
              <w:t xml:space="preserve"> </w:t>
            </w:r>
            <w:r w:rsidR="005625AD" w:rsidRPr="00CE4E1F">
              <w:rPr>
                <w:b/>
                <w:bCs/>
                <w:color w:val="000000"/>
                <w:sz w:val="18"/>
                <w:szCs w:val="18"/>
              </w:rPr>
              <w:t>- no. (%)</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1A77A655"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7B34B9EE"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30CDE25D"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r>
      <w:tr w:rsidR="00171009" w:rsidRPr="003B1724" w14:paraId="784B4863"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596F49" w14:textId="63329D87" w:rsidR="003B1724" w:rsidRPr="00F016C9" w:rsidRDefault="003B1724" w:rsidP="00742F09">
            <w:pPr>
              <w:spacing w:line="360" w:lineRule="auto"/>
              <w:jc w:val="both"/>
              <w:rPr>
                <w:color w:val="000000"/>
                <w:sz w:val="18"/>
                <w:szCs w:val="18"/>
              </w:rPr>
            </w:pPr>
            <w:r w:rsidRPr="00F016C9">
              <w:rPr>
                <w:color w:val="000000"/>
                <w:sz w:val="18"/>
                <w:szCs w:val="18"/>
              </w:rPr>
              <w:t xml:space="preserve">Initial diagnosis </w:t>
            </w:r>
            <w:r w:rsidR="00171009">
              <w:rPr>
                <w:color w:val="000000"/>
                <w:sz w:val="18"/>
                <w:szCs w:val="18"/>
              </w:rPr>
              <w:t>(primary)</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570F1B1C" w14:textId="4363D22E" w:rsidR="003B1724" w:rsidRPr="00F016C9" w:rsidRDefault="003B1724" w:rsidP="00742F09">
            <w:pPr>
              <w:spacing w:line="360" w:lineRule="auto"/>
              <w:jc w:val="both"/>
              <w:rPr>
                <w:color w:val="000000"/>
                <w:sz w:val="18"/>
                <w:szCs w:val="18"/>
              </w:rPr>
            </w:pPr>
            <w:r w:rsidRPr="00F016C9">
              <w:rPr>
                <w:color w:val="000000"/>
                <w:sz w:val="18"/>
                <w:szCs w:val="18"/>
              </w:rPr>
              <w:t>35  (89.7)</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798FE7F8" w14:textId="261A5B5B" w:rsidR="003B1724" w:rsidRPr="00F016C9" w:rsidRDefault="003B1724" w:rsidP="00742F09">
            <w:pPr>
              <w:spacing w:line="360" w:lineRule="auto"/>
              <w:jc w:val="both"/>
              <w:rPr>
                <w:color w:val="000000"/>
                <w:sz w:val="18"/>
                <w:szCs w:val="18"/>
              </w:rPr>
            </w:pPr>
            <w:r w:rsidRPr="00F016C9">
              <w:rPr>
                <w:color w:val="000000"/>
                <w:sz w:val="18"/>
                <w:szCs w:val="18"/>
              </w:rPr>
              <w:t>34  (73.9)</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20C31D64" w14:textId="26CEEB76" w:rsidR="003B1724" w:rsidRPr="00F016C9" w:rsidRDefault="003B1724" w:rsidP="00742F09">
            <w:pPr>
              <w:spacing w:line="360" w:lineRule="auto"/>
              <w:jc w:val="both"/>
              <w:rPr>
                <w:color w:val="000000"/>
                <w:sz w:val="18"/>
                <w:szCs w:val="18"/>
              </w:rPr>
            </w:pPr>
            <w:r w:rsidRPr="00F016C9">
              <w:rPr>
                <w:color w:val="000000"/>
                <w:sz w:val="18"/>
                <w:szCs w:val="18"/>
              </w:rPr>
              <w:t>12  (66.7)</w:t>
            </w:r>
          </w:p>
        </w:tc>
      </w:tr>
      <w:tr w:rsidR="00171009" w:rsidRPr="003B1724" w14:paraId="2AB03A8E"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24ED9B" w14:textId="77777777" w:rsidR="003B1724" w:rsidRPr="00F016C9" w:rsidRDefault="003B1724" w:rsidP="00742F09">
            <w:pPr>
              <w:spacing w:line="360" w:lineRule="auto"/>
              <w:jc w:val="both"/>
              <w:rPr>
                <w:color w:val="000000"/>
                <w:sz w:val="18"/>
                <w:szCs w:val="18"/>
              </w:rPr>
            </w:pPr>
            <w:r w:rsidRPr="00F016C9">
              <w:rPr>
                <w:color w:val="000000"/>
                <w:sz w:val="18"/>
                <w:szCs w:val="18"/>
              </w:rPr>
              <w:t>Recurrent</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52BC4606" w14:textId="0C84D207" w:rsidR="003B1724" w:rsidRPr="00F016C9" w:rsidRDefault="003B1724" w:rsidP="00742F09">
            <w:pPr>
              <w:spacing w:line="360" w:lineRule="auto"/>
              <w:jc w:val="both"/>
              <w:rPr>
                <w:color w:val="000000"/>
                <w:sz w:val="18"/>
                <w:szCs w:val="18"/>
              </w:rPr>
            </w:pPr>
            <w:r w:rsidRPr="00F016C9">
              <w:rPr>
                <w:color w:val="000000"/>
                <w:sz w:val="18"/>
                <w:szCs w:val="18"/>
              </w:rPr>
              <w:t>4  (10.3)</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1BD7319E" w14:textId="0A77B826" w:rsidR="003B1724" w:rsidRPr="00F016C9" w:rsidRDefault="003B1724" w:rsidP="00742F09">
            <w:pPr>
              <w:spacing w:line="360" w:lineRule="auto"/>
              <w:jc w:val="both"/>
              <w:rPr>
                <w:color w:val="000000"/>
                <w:sz w:val="18"/>
                <w:szCs w:val="18"/>
              </w:rPr>
            </w:pPr>
            <w:r w:rsidRPr="00F016C9">
              <w:rPr>
                <w:color w:val="000000"/>
                <w:sz w:val="18"/>
                <w:szCs w:val="18"/>
              </w:rPr>
              <w:t>12  (26.1)</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29974148" w14:textId="0DC70E67" w:rsidR="003B1724" w:rsidRPr="00F016C9" w:rsidRDefault="003B1724" w:rsidP="00742F09">
            <w:pPr>
              <w:spacing w:line="360" w:lineRule="auto"/>
              <w:jc w:val="both"/>
              <w:rPr>
                <w:color w:val="000000"/>
                <w:sz w:val="18"/>
                <w:szCs w:val="18"/>
              </w:rPr>
            </w:pPr>
            <w:r w:rsidRPr="00F016C9">
              <w:rPr>
                <w:color w:val="000000"/>
                <w:sz w:val="18"/>
                <w:szCs w:val="18"/>
              </w:rPr>
              <w:t>6  (33.3)</w:t>
            </w:r>
          </w:p>
        </w:tc>
      </w:tr>
      <w:tr w:rsidR="003B1724" w:rsidRPr="003B1724" w14:paraId="67CD457D" w14:textId="77777777" w:rsidTr="003A6115">
        <w:trPr>
          <w:cantSplit/>
          <w:trHeight w:val="3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5C3136E"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r>
      <w:tr w:rsidR="00171009" w:rsidRPr="003B1724" w14:paraId="5DB01C03" w14:textId="77777777" w:rsidTr="009C1654">
        <w:trPr>
          <w:cantSplit/>
          <w:trHeight w:val="5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EFC724" w14:textId="2880367F" w:rsidR="003B1724" w:rsidRPr="009C1654" w:rsidRDefault="003B1724" w:rsidP="00742F09">
            <w:pPr>
              <w:spacing w:line="360" w:lineRule="auto"/>
              <w:jc w:val="both"/>
              <w:rPr>
                <w:b/>
                <w:bCs/>
                <w:color w:val="000000"/>
                <w:sz w:val="18"/>
                <w:szCs w:val="18"/>
              </w:rPr>
            </w:pPr>
            <w:r w:rsidRPr="009C1654">
              <w:rPr>
                <w:b/>
                <w:bCs/>
                <w:color w:val="000000"/>
                <w:sz w:val="18"/>
                <w:szCs w:val="18"/>
              </w:rPr>
              <w:t xml:space="preserve">Meningioma </w:t>
            </w:r>
            <w:r w:rsidR="003A6115" w:rsidRPr="009C1654">
              <w:rPr>
                <w:b/>
                <w:bCs/>
                <w:color w:val="000000"/>
                <w:sz w:val="18"/>
                <w:szCs w:val="18"/>
              </w:rPr>
              <w:t>g</w:t>
            </w:r>
            <w:r w:rsidRPr="009C1654">
              <w:rPr>
                <w:b/>
                <w:bCs/>
                <w:color w:val="000000"/>
                <w:sz w:val="18"/>
                <w:szCs w:val="18"/>
              </w:rPr>
              <w:t>rade (WHO 2016)</w:t>
            </w:r>
            <w:r w:rsidR="005625AD">
              <w:rPr>
                <w:b/>
                <w:bCs/>
                <w:color w:val="000000"/>
                <w:sz w:val="18"/>
                <w:szCs w:val="18"/>
              </w:rPr>
              <w:t xml:space="preserve"> </w:t>
            </w:r>
            <w:r w:rsidR="005625AD" w:rsidRPr="00CE4E1F">
              <w:rPr>
                <w:b/>
                <w:bCs/>
                <w:color w:val="000000"/>
                <w:sz w:val="18"/>
                <w:szCs w:val="18"/>
              </w:rPr>
              <w:t>- no. (%)</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31B79E26"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6C3AEB1F"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2B5B03DE"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r>
      <w:tr w:rsidR="00171009" w:rsidRPr="003B1724" w14:paraId="70EA6989"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2F7A0D" w14:textId="59B77F00" w:rsidR="003B1724" w:rsidRPr="00F016C9" w:rsidRDefault="000168EF" w:rsidP="00742F09">
            <w:pPr>
              <w:spacing w:line="360" w:lineRule="auto"/>
              <w:jc w:val="both"/>
              <w:rPr>
                <w:color w:val="000000"/>
                <w:sz w:val="18"/>
                <w:szCs w:val="18"/>
              </w:rPr>
            </w:pPr>
            <w:r w:rsidRPr="00F016C9">
              <w:rPr>
                <w:color w:val="000000"/>
                <w:sz w:val="18"/>
                <w:szCs w:val="18"/>
              </w:rPr>
              <w:t xml:space="preserve">WHO </w:t>
            </w:r>
            <w:r w:rsidR="003A6115">
              <w:rPr>
                <w:color w:val="000000"/>
                <w:sz w:val="18"/>
                <w:szCs w:val="18"/>
              </w:rPr>
              <w:t>g</w:t>
            </w:r>
            <w:r w:rsidRPr="00F016C9">
              <w:rPr>
                <w:color w:val="000000"/>
                <w:sz w:val="18"/>
                <w:szCs w:val="18"/>
              </w:rPr>
              <w:t>rade 1</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606A3231" w14:textId="04563997" w:rsidR="003B1724" w:rsidRPr="00F016C9" w:rsidRDefault="003B1724" w:rsidP="00742F09">
            <w:pPr>
              <w:spacing w:line="360" w:lineRule="auto"/>
              <w:jc w:val="both"/>
              <w:rPr>
                <w:color w:val="000000"/>
                <w:sz w:val="18"/>
                <w:szCs w:val="18"/>
              </w:rPr>
            </w:pPr>
            <w:r w:rsidRPr="00F016C9">
              <w:rPr>
                <w:color w:val="000000"/>
                <w:sz w:val="18"/>
                <w:szCs w:val="18"/>
              </w:rPr>
              <w:t>31  (79.5)</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65146A19" w14:textId="49B67001" w:rsidR="003B1724" w:rsidRPr="00F016C9" w:rsidRDefault="003B1724" w:rsidP="00742F09">
            <w:pPr>
              <w:spacing w:line="360" w:lineRule="auto"/>
              <w:jc w:val="both"/>
              <w:rPr>
                <w:color w:val="000000"/>
                <w:sz w:val="18"/>
                <w:szCs w:val="18"/>
              </w:rPr>
            </w:pPr>
            <w:r w:rsidRPr="00F016C9">
              <w:rPr>
                <w:color w:val="000000"/>
                <w:sz w:val="18"/>
                <w:szCs w:val="18"/>
              </w:rPr>
              <w:t>20  (43.5)</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5B373B4A" w14:textId="7B93A564" w:rsidR="003B1724" w:rsidRPr="00F016C9" w:rsidRDefault="003B1724" w:rsidP="00742F09">
            <w:pPr>
              <w:spacing w:line="360" w:lineRule="auto"/>
              <w:jc w:val="both"/>
              <w:rPr>
                <w:color w:val="000000"/>
                <w:sz w:val="18"/>
                <w:szCs w:val="18"/>
              </w:rPr>
            </w:pPr>
            <w:r w:rsidRPr="00F016C9">
              <w:rPr>
                <w:color w:val="000000"/>
                <w:sz w:val="18"/>
                <w:szCs w:val="18"/>
              </w:rPr>
              <w:t>0  (0.0)</w:t>
            </w:r>
          </w:p>
        </w:tc>
      </w:tr>
      <w:tr w:rsidR="00171009" w:rsidRPr="003B1724" w14:paraId="0B4A45FC"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DF9CEF" w14:textId="6A3CDED8" w:rsidR="003B1724" w:rsidRPr="00F016C9" w:rsidRDefault="000168EF" w:rsidP="00742F09">
            <w:pPr>
              <w:spacing w:line="360" w:lineRule="auto"/>
              <w:jc w:val="both"/>
              <w:rPr>
                <w:color w:val="000000"/>
                <w:sz w:val="18"/>
                <w:szCs w:val="18"/>
              </w:rPr>
            </w:pPr>
            <w:r w:rsidRPr="00F016C9">
              <w:rPr>
                <w:color w:val="000000"/>
                <w:sz w:val="18"/>
                <w:szCs w:val="18"/>
              </w:rPr>
              <w:t xml:space="preserve">WHO </w:t>
            </w:r>
            <w:r w:rsidR="003A6115">
              <w:rPr>
                <w:color w:val="000000"/>
                <w:sz w:val="18"/>
                <w:szCs w:val="18"/>
              </w:rPr>
              <w:t>g</w:t>
            </w:r>
            <w:r w:rsidRPr="00F016C9">
              <w:rPr>
                <w:color w:val="000000"/>
                <w:sz w:val="18"/>
                <w:szCs w:val="18"/>
              </w:rPr>
              <w:t>rade 2</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7C9479E0" w14:textId="2D9A41F5" w:rsidR="003B1724" w:rsidRPr="00F016C9" w:rsidRDefault="003B1724" w:rsidP="00742F09">
            <w:pPr>
              <w:spacing w:line="360" w:lineRule="auto"/>
              <w:jc w:val="both"/>
              <w:rPr>
                <w:color w:val="000000"/>
                <w:sz w:val="18"/>
                <w:szCs w:val="18"/>
              </w:rPr>
            </w:pPr>
            <w:r w:rsidRPr="00F016C9">
              <w:rPr>
                <w:color w:val="000000"/>
                <w:sz w:val="18"/>
                <w:szCs w:val="18"/>
              </w:rPr>
              <w:t>7  (17.9)</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67148CB8" w14:textId="04CB5E9D" w:rsidR="003B1724" w:rsidRPr="00F016C9" w:rsidRDefault="003B1724" w:rsidP="00742F09">
            <w:pPr>
              <w:spacing w:line="360" w:lineRule="auto"/>
              <w:jc w:val="both"/>
              <w:rPr>
                <w:color w:val="000000"/>
                <w:sz w:val="18"/>
                <w:szCs w:val="18"/>
              </w:rPr>
            </w:pPr>
            <w:r w:rsidRPr="00F016C9">
              <w:rPr>
                <w:color w:val="000000"/>
                <w:sz w:val="18"/>
                <w:szCs w:val="18"/>
              </w:rPr>
              <w:t>22  (47.8)</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1A6762E9" w14:textId="60EFDF28" w:rsidR="003B1724" w:rsidRPr="00F016C9" w:rsidRDefault="003B1724" w:rsidP="00742F09">
            <w:pPr>
              <w:spacing w:line="360" w:lineRule="auto"/>
              <w:jc w:val="both"/>
              <w:rPr>
                <w:color w:val="000000"/>
                <w:sz w:val="18"/>
                <w:szCs w:val="18"/>
              </w:rPr>
            </w:pPr>
            <w:r w:rsidRPr="00F016C9">
              <w:rPr>
                <w:color w:val="000000"/>
                <w:sz w:val="18"/>
                <w:szCs w:val="18"/>
              </w:rPr>
              <w:t>8  (44.4)</w:t>
            </w:r>
          </w:p>
        </w:tc>
      </w:tr>
      <w:tr w:rsidR="00171009" w:rsidRPr="003B1724" w14:paraId="28410766"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6B9702" w14:textId="6D50FCC9" w:rsidR="003B1724" w:rsidRPr="00F016C9" w:rsidRDefault="000168EF" w:rsidP="00742F09">
            <w:pPr>
              <w:spacing w:line="360" w:lineRule="auto"/>
              <w:jc w:val="both"/>
              <w:rPr>
                <w:color w:val="000000"/>
                <w:sz w:val="18"/>
                <w:szCs w:val="18"/>
              </w:rPr>
            </w:pPr>
            <w:r w:rsidRPr="00F016C9">
              <w:rPr>
                <w:color w:val="000000"/>
                <w:sz w:val="18"/>
                <w:szCs w:val="18"/>
              </w:rPr>
              <w:t xml:space="preserve">WHO </w:t>
            </w:r>
            <w:r w:rsidR="003A6115">
              <w:rPr>
                <w:color w:val="000000"/>
                <w:sz w:val="18"/>
                <w:szCs w:val="18"/>
              </w:rPr>
              <w:t>g</w:t>
            </w:r>
            <w:r w:rsidRPr="00F016C9">
              <w:rPr>
                <w:color w:val="000000"/>
                <w:sz w:val="18"/>
                <w:szCs w:val="18"/>
              </w:rPr>
              <w:t>rade 3</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298D05FD" w14:textId="01D368B4" w:rsidR="003B1724" w:rsidRPr="00F016C9" w:rsidRDefault="003B1724" w:rsidP="00742F09">
            <w:pPr>
              <w:spacing w:line="360" w:lineRule="auto"/>
              <w:jc w:val="both"/>
              <w:rPr>
                <w:color w:val="000000"/>
                <w:sz w:val="18"/>
                <w:szCs w:val="18"/>
              </w:rPr>
            </w:pPr>
            <w:r w:rsidRPr="00F016C9">
              <w:rPr>
                <w:color w:val="000000"/>
                <w:sz w:val="18"/>
                <w:szCs w:val="18"/>
              </w:rPr>
              <w:t>1  (2.6)</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222B81B8" w14:textId="7731D6D4" w:rsidR="003B1724" w:rsidRPr="00F016C9" w:rsidRDefault="003B1724" w:rsidP="00742F09">
            <w:pPr>
              <w:spacing w:line="360" w:lineRule="auto"/>
              <w:jc w:val="both"/>
              <w:rPr>
                <w:color w:val="000000"/>
                <w:sz w:val="18"/>
                <w:szCs w:val="18"/>
              </w:rPr>
            </w:pPr>
            <w:r w:rsidRPr="00F016C9">
              <w:rPr>
                <w:color w:val="000000"/>
                <w:sz w:val="18"/>
                <w:szCs w:val="18"/>
              </w:rPr>
              <w:t>4  (8.7)</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7A1C3C44" w14:textId="28E9E1C9" w:rsidR="003B1724" w:rsidRPr="00F016C9" w:rsidRDefault="003B1724" w:rsidP="00742F09">
            <w:pPr>
              <w:spacing w:line="360" w:lineRule="auto"/>
              <w:jc w:val="both"/>
              <w:rPr>
                <w:color w:val="000000"/>
                <w:sz w:val="18"/>
                <w:szCs w:val="18"/>
              </w:rPr>
            </w:pPr>
            <w:r w:rsidRPr="00F016C9">
              <w:rPr>
                <w:color w:val="000000"/>
                <w:sz w:val="18"/>
                <w:szCs w:val="18"/>
              </w:rPr>
              <w:t>10  ( 55.6)</w:t>
            </w:r>
          </w:p>
        </w:tc>
      </w:tr>
      <w:tr w:rsidR="003B1724" w:rsidRPr="003B1724" w14:paraId="732F2F97" w14:textId="77777777" w:rsidTr="003A6115">
        <w:trPr>
          <w:cantSplit/>
          <w:trHeight w:val="320"/>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1C58FEC"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r>
      <w:tr w:rsidR="00171009" w:rsidRPr="003B1724" w14:paraId="4A8A8FEB" w14:textId="77777777" w:rsidTr="009C1654">
        <w:trPr>
          <w:cantSplit/>
          <w:trHeight w:val="197"/>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441B268" w14:textId="00A6D525" w:rsidR="003B1724" w:rsidRPr="009C1654" w:rsidRDefault="003B1724" w:rsidP="00742F09">
            <w:pPr>
              <w:spacing w:line="360" w:lineRule="auto"/>
              <w:jc w:val="both"/>
              <w:rPr>
                <w:b/>
                <w:bCs/>
                <w:color w:val="000000"/>
                <w:sz w:val="18"/>
                <w:szCs w:val="18"/>
              </w:rPr>
            </w:pPr>
            <w:r w:rsidRPr="009C1654">
              <w:rPr>
                <w:b/>
                <w:bCs/>
                <w:color w:val="000000"/>
                <w:sz w:val="18"/>
                <w:szCs w:val="18"/>
              </w:rPr>
              <w:t xml:space="preserve">RTOG 0539 </w:t>
            </w:r>
            <w:r w:rsidR="003A6115" w:rsidRPr="009C1654">
              <w:rPr>
                <w:b/>
                <w:bCs/>
                <w:color w:val="000000"/>
                <w:sz w:val="18"/>
                <w:szCs w:val="18"/>
              </w:rPr>
              <w:t>a</w:t>
            </w:r>
            <w:r w:rsidRPr="009C1654">
              <w:rPr>
                <w:b/>
                <w:bCs/>
                <w:color w:val="000000"/>
                <w:sz w:val="18"/>
                <w:szCs w:val="18"/>
              </w:rPr>
              <w:t xml:space="preserve">ssigned </w:t>
            </w:r>
            <w:r w:rsidR="003A6115" w:rsidRPr="009C1654">
              <w:rPr>
                <w:b/>
                <w:bCs/>
                <w:color w:val="000000"/>
                <w:sz w:val="18"/>
                <w:szCs w:val="18"/>
              </w:rPr>
              <w:t>t</w:t>
            </w:r>
            <w:r w:rsidRPr="009C1654">
              <w:rPr>
                <w:b/>
                <w:bCs/>
                <w:color w:val="000000"/>
                <w:sz w:val="18"/>
                <w:szCs w:val="18"/>
              </w:rPr>
              <w:t>reatment</w:t>
            </w:r>
            <w:r w:rsidR="003A6115" w:rsidRPr="009C1654">
              <w:rPr>
                <w:b/>
                <w:bCs/>
                <w:color w:val="000000"/>
                <w:sz w:val="18"/>
                <w:szCs w:val="18"/>
              </w:rPr>
              <w:t>s</w:t>
            </w:r>
            <w:r w:rsidR="005625AD">
              <w:rPr>
                <w:b/>
                <w:bCs/>
                <w:color w:val="000000"/>
                <w:sz w:val="18"/>
                <w:szCs w:val="18"/>
              </w:rPr>
              <w:t xml:space="preserve"> </w:t>
            </w:r>
            <w:r w:rsidR="005625AD" w:rsidRPr="00CE4E1F">
              <w:rPr>
                <w:b/>
                <w:bCs/>
                <w:color w:val="000000"/>
                <w:sz w:val="18"/>
                <w:szCs w:val="18"/>
              </w:rPr>
              <w:t>- no. (%)</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1766380B"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780C601"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3238DD32" w14:textId="77777777" w:rsidR="003B1724" w:rsidRPr="00F016C9" w:rsidRDefault="003B1724" w:rsidP="00742F09">
            <w:pPr>
              <w:spacing w:line="360" w:lineRule="auto"/>
              <w:jc w:val="both"/>
              <w:rPr>
                <w:color w:val="000000"/>
                <w:sz w:val="18"/>
                <w:szCs w:val="18"/>
              </w:rPr>
            </w:pPr>
            <w:r w:rsidRPr="00F016C9">
              <w:rPr>
                <w:color w:val="000000"/>
                <w:sz w:val="18"/>
                <w:szCs w:val="18"/>
              </w:rPr>
              <w:t> </w:t>
            </w:r>
          </w:p>
        </w:tc>
      </w:tr>
      <w:tr w:rsidR="00171009" w:rsidRPr="003B1724" w14:paraId="628A2843"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0C01286" w14:textId="41289630" w:rsidR="003B1724" w:rsidRPr="00F016C9" w:rsidRDefault="003B1724" w:rsidP="00742F09">
            <w:pPr>
              <w:spacing w:line="360" w:lineRule="auto"/>
              <w:jc w:val="both"/>
              <w:rPr>
                <w:color w:val="000000"/>
                <w:sz w:val="18"/>
                <w:szCs w:val="18"/>
              </w:rPr>
            </w:pPr>
            <w:r w:rsidRPr="00F016C9">
              <w:rPr>
                <w:color w:val="000000"/>
                <w:sz w:val="18"/>
                <w:szCs w:val="18"/>
              </w:rPr>
              <w:t xml:space="preserve">Group I, </w:t>
            </w:r>
            <w:r w:rsidR="00171009">
              <w:rPr>
                <w:color w:val="000000"/>
                <w:sz w:val="18"/>
                <w:szCs w:val="18"/>
              </w:rPr>
              <w:t>l</w:t>
            </w:r>
            <w:r w:rsidRPr="00F016C9">
              <w:rPr>
                <w:color w:val="000000"/>
                <w:sz w:val="18"/>
                <w:szCs w:val="18"/>
              </w:rPr>
              <w:t xml:space="preserve">ow </w:t>
            </w:r>
            <w:r w:rsidR="00171009">
              <w:rPr>
                <w:color w:val="000000"/>
                <w:sz w:val="18"/>
                <w:szCs w:val="18"/>
              </w:rPr>
              <w:t xml:space="preserve">clinical risk </w:t>
            </w:r>
            <w:r w:rsidRPr="00F016C9">
              <w:rPr>
                <w:color w:val="000000"/>
                <w:sz w:val="18"/>
                <w:szCs w:val="18"/>
              </w:rPr>
              <w:t>(</w:t>
            </w:r>
            <w:r w:rsidR="00171009">
              <w:rPr>
                <w:color w:val="000000"/>
                <w:sz w:val="18"/>
                <w:szCs w:val="18"/>
              </w:rPr>
              <w:t>o</w:t>
            </w:r>
            <w:r w:rsidRPr="00F016C9">
              <w:rPr>
                <w:color w:val="000000"/>
                <w:sz w:val="18"/>
                <w:szCs w:val="18"/>
              </w:rPr>
              <w:t>bservation)</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23936497" w14:textId="75622191" w:rsidR="003B1724" w:rsidRPr="00F016C9" w:rsidRDefault="003B1724" w:rsidP="00742F09">
            <w:pPr>
              <w:spacing w:line="360" w:lineRule="auto"/>
              <w:jc w:val="both"/>
              <w:rPr>
                <w:color w:val="000000"/>
                <w:sz w:val="18"/>
                <w:szCs w:val="18"/>
              </w:rPr>
            </w:pPr>
            <w:r w:rsidRPr="00F016C9">
              <w:rPr>
                <w:color w:val="000000"/>
                <w:sz w:val="18"/>
                <w:szCs w:val="18"/>
              </w:rPr>
              <w:t>27  (69.2)</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6886BA63" w14:textId="572AA301" w:rsidR="003B1724" w:rsidRPr="00F016C9" w:rsidRDefault="003B1724" w:rsidP="00742F09">
            <w:pPr>
              <w:spacing w:line="360" w:lineRule="auto"/>
              <w:jc w:val="both"/>
              <w:rPr>
                <w:color w:val="000000"/>
                <w:sz w:val="18"/>
                <w:szCs w:val="18"/>
              </w:rPr>
            </w:pPr>
            <w:r w:rsidRPr="00F016C9">
              <w:rPr>
                <w:color w:val="000000"/>
                <w:sz w:val="18"/>
                <w:szCs w:val="18"/>
              </w:rPr>
              <w:t>13  (28.3)</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13A95763" w14:textId="679E1508" w:rsidR="003B1724" w:rsidRPr="00F016C9" w:rsidRDefault="003B1724" w:rsidP="00742F09">
            <w:pPr>
              <w:spacing w:line="360" w:lineRule="auto"/>
              <w:jc w:val="both"/>
              <w:rPr>
                <w:color w:val="000000"/>
                <w:sz w:val="18"/>
                <w:szCs w:val="18"/>
              </w:rPr>
            </w:pPr>
            <w:r w:rsidRPr="00F016C9">
              <w:rPr>
                <w:color w:val="000000"/>
                <w:sz w:val="18"/>
                <w:szCs w:val="18"/>
              </w:rPr>
              <w:t>0  (0.0)</w:t>
            </w:r>
          </w:p>
        </w:tc>
      </w:tr>
      <w:tr w:rsidR="00171009" w:rsidRPr="003B1724" w14:paraId="6C3001D8" w14:textId="77777777" w:rsidTr="009C1654">
        <w:trPr>
          <w:cantSplit/>
          <w:trHeight w:val="341"/>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376E20" w14:textId="426E95C1" w:rsidR="003B1724" w:rsidRPr="00F016C9" w:rsidRDefault="003B1724" w:rsidP="00742F09">
            <w:pPr>
              <w:spacing w:line="360" w:lineRule="auto"/>
              <w:jc w:val="both"/>
              <w:rPr>
                <w:color w:val="000000"/>
                <w:sz w:val="18"/>
                <w:szCs w:val="18"/>
              </w:rPr>
            </w:pPr>
            <w:r w:rsidRPr="00F016C9">
              <w:rPr>
                <w:color w:val="000000"/>
                <w:sz w:val="18"/>
                <w:szCs w:val="18"/>
              </w:rPr>
              <w:t xml:space="preserve">Group II, </w:t>
            </w:r>
            <w:r w:rsidR="00171009">
              <w:rPr>
                <w:color w:val="000000"/>
                <w:sz w:val="18"/>
                <w:szCs w:val="18"/>
              </w:rPr>
              <w:t>i</w:t>
            </w:r>
            <w:r w:rsidRPr="00F016C9">
              <w:rPr>
                <w:color w:val="000000"/>
                <w:sz w:val="18"/>
                <w:szCs w:val="18"/>
              </w:rPr>
              <w:t>ntermediate</w:t>
            </w:r>
            <w:r w:rsidR="00171009">
              <w:rPr>
                <w:color w:val="000000"/>
                <w:sz w:val="18"/>
                <w:szCs w:val="18"/>
              </w:rPr>
              <w:t xml:space="preserve"> clinical risk</w:t>
            </w:r>
            <w:r w:rsidRPr="00F016C9">
              <w:rPr>
                <w:color w:val="000000"/>
                <w:sz w:val="18"/>
                <w:szCs w:val="18"/>
              </w:rPr>
              <w:t xml:space="preserve"> (</w:t>
            </w:r>
            <w:r w:rsidR="00171009">
              <w:rPr>
                <w:color w:val="000000"/>
                <w:sz w:val="18"/>
                <w:szCs w:val="18"/>
              </w:rPr>
              <w:t>r</w:t>
            </w:r>
            <w:r w:rsidRPr="00F016C9">
              <w:rPr>
                <w:color w:val="000000"/>
                <w:sz w:val="18"/>
                <w:szCs w:val="18"/>
              </w:rPr>
              <w:t>adiotherapy)</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0E88AF06" w14:textId="2525082B" w:rsidR="003B1724" w:rsidRPr="00F016C9" w:rsidRDefault="003B1724" w:rsidP="00742F09">
            <w:pPr>
              <w:spacing w:line="360" w:lineRule="auto"/>
              <w:jc w:val="both"/>
              <w:rPr>
                <w:color w:val="000000"/>
                <w:sz w:val="18"/>
                <w:szCs w:val="18"/>
              </w:rPr>
            </w:pPr>
            <w:r w:rsidRPr="00F016C9">
              <w:rPr>
                <w:color w:val="000000"/>
                <w:sz w:val="18"/>
                <w:szCs w:val="18"/>
              </w:rPr>
              <w:t>10  (25.6)</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2CAF3426" w14:textId="42C31B24" w:rsidR="003B1724" w:rsidRPr="00F016C9" w:rsidRDefault="003B1724" w:rsidP="00742F09">
            <w:pPr>
              <w:spacing w:line="360" w:lineRule="auto"/>
              <w:jc w:val="both"/>
              <w:rPr>
                <w:color w:val="000000"/>
                <w:sz w:val="18"/>
                <w:szCs w:val="18"/>
              </w:rPr>
            </w:pPr>
            <w:r w:rsidRPr="00F016C9">
              <w:rPr>
                <w:color w:val="000000"/>
                <w:sz w:val="18"/>
                <w:szCs w:val="18"/>
              </w:rPr>
              <w:t>20  (43.5)</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58706DC5" w14:textId="40466C00" w:rsidR="003B1724" w:rsidRPr="00F016C9" w:rsidRDefault="003B1724" w:rsidP="00742F09">
            <w:pPr>
              <w:spacing w:line="360" w:lineRule="auto"/>
              <w:jc w:val="both"/>
              <w:rPr>
                <w:color w:val="000000"/>
                <w:sz w:val="18"/>
                <w:szCs w:val="18"/>
              </w:rPr>
            </w:pPr>
            <w:r w:rsidRPr="00F016C9">
              <w:rPr>
                <w:color w:val="000000"/>
                <w:sz w:val="18"/>
                <w:szCs w:val="18"/>
              </w:rPr>
              <w:t>3  (16.7)</w:t>
            </w:r>
          </w:p>
        </w:tc>
      </w:tr>
      <w:tr w:rsidR="00171009" w:rsidRPr="003B1724" w14:paraId="21363B80" w14:textId="77777777" w:rsidTr="009C1654">
        <w:trPr>
          <w:cantSplit/>
          <w:trHeight w:val="320"/>
        </w:trPr>
        <w:tc>
          <w:tcPr>
            <w:tcW w:w="245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8C3AF29" w14:textId="6192F993" w:rsidR="003B1724" w:rsidRPr="00F016C9" w:rsidRDefault="003B1724" w:rsidP="00742F09">
            <w:pPr>
              <w:spacing w:line="360" w:lineRule="auto"/>
              <w:jc w:val="both"/>
              <w:rPr>
                <w:color w:val="000000"/>
                <w:sz w:val="18"/>
                <w:szCs w:val="18"/>
              </w:rPr>
            </w:pPr>
            <w:r w:rsidRPr="00F016C9">
              <w:rPr>
                <w:color w:val="000000"/>
                <w:sz w:val="18"/>
                <w:szCs w:val="18"/>
              </w:rPr>
              <w:t xml:space="preserve">Group III, </w:t>
            </w:r>
            <w:r w:rsidR="00171009">
              <w:rPr>
                <w:color w:val="000000"/>
                <w:sz w:val="18"/>
                <w:szCs w:val="18"/>
              </w:rPr>
              <w:t>h</w:t>
            </w:r>
            <w:r w:rsidRPr="00F016C9">
              <w:rPr>
                <w:color w:val="000000"/>
                <w:sz w:val="18"/>
                <w:szCs w:val="18"/>
              </w:rPr>
              <w:t>igh</w:t>
            </w:r>
            <w:r w:rsidR="00171009">
              <w:rPr>
                <w:color w:val="000000"/>
                <w:sz w:val="18"/>
                <w:szCs w:val="18"/>
              </w:rPr>
              <w:t xml:space="preserve"> clinical risk</w:t>
            </w:r>
            <w:r w:rsidRPr="00F016C9">
              <w:rPr>
                <w:color w:val="000000"/>
                <w:sz w:val="18"/>
                <w:szCs w:val="18"/>
              </w:rPr>
              <w:t xml:space="preserve"> (</w:t>
            </w:r>
            <w:r w:rsidR="00171009">
              <w:rPr>
                <w:color w:val="000000"/>
                <w:sz w:val="18"/>
                <w:szCs w:val="18"/>
              </w:rPr>
              <w:t>r</w:t>
            </w:r>
            <w:r w:rsidRPr="00F016C9">
              <w:rPr>
                <w:color w:val="000000"/>
                <w:sz w:val="18"/>
                <w:szCs w:val="18"/>
              </w:rPr>
              <w:t>adiotherapy)</w:t>
            </w:r>
          </w:p>
        </w:tc>
        <w:tc>
          <w:tcPr>
            <w:tcW w:w="818" w:type="pct"/>
            <w:tcBorders>
              <w:top w:val="single" w:sz="4" w:space="0" w:color="auto"/>
              <w:left w:val="nil"/>
              <w:bottom w:val="single" w:sz="4" w:space="0" w:color="auto"/>
              <w:right w:val="single" w:sz="4" w:space="0" w:color="auto"/>
            </w:tcBorders>
            <w:shd w:val="clear" w:color="000000" w:fill="FFFFFF"/>
            <w:vAlign w:val="center"/>
            <w:hideMark/>
          </w:tcPr>
          <w:p w14:paraId="56237CC1" w14:textId="0D6A4BC5" w:rsidR="003B1724" w:rsidRPr="00F016C9" w:rsidRDefault="003B1724" w:rsidP="00742F09">
            <w:pPr>
              <w:spacing w:line="360" w:lineRule="auto"/>
              <w:jc w:val="both"/>
              <w:rPr>
                <w:color w:val="000000"/>
                <w:sz w:val="18"/>
                <w:szCs w:val="18"/>
              </w:rPr>
            </w:pPr>
            <w:r w:rsidRPr="00F016C9">
              <w:rPr>
                <w:color w:val="000000"/>
                <w:sz w:val="18"/>
                <w:szCs w:val="18"/>
              </w:rPr>
              <w:t>2  (5.1)</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2A75CF2E" w14:textId="371ED39B" w:rsidR="003B1724" w:rsidRPr="00F016C9" w:rsidRDefault="003B1724" w:rsidP="00742F09">
            <w:pPr>
              <w:spacing w:line="360" w:lineRule="auto"/>
              <w:jc w:val="both"/>
              <w:rPr>
                <w:color w:val="000000"/>
                <w:sz w:val="18"/>
                <w:szCs w:val="18"/>
              </w:rPr>
            </w:pPr>
            <w:r w:rsidRPr="00F016C9">
              <w:rPr>
                <w:color w:val="000000"/>
                <w:sz w:val="18"/>
                <w:szCs w:val="18"/>
              </w:rPr>
              <w:t>13  (28.3)</w:t>
            </w:r>
          </w:p>
        </w:tc>
        <w:tc>
          <w:tcPr>
            <w:tcW w:w="816" w:type="pct"/>
            <w:tcBorders>
              <w:top w:val="single" w:sz="4" w:space="0" w:color="auto"/>
              <w:left w:val="nil"/>
              <w:bottom w:val="single" w:sz="4" w:space="0" w:color="auto"/>
              <w:right w:val="single" w:sz="4" w:space="0" w:color="auto"/>
            </w:tcBorders>
            <w:shd w:val="clear" w:color="000000" w:fill="FFFFFF"/>
            <w:vAlign w:val="center"/>
            <w:hideMark/>
          </w:tcPr>
          <w:p w14:paraId="0499F41A" w14:textId="464627D1" w:rsidR="003B1724" w:rsidRPr="00F016C9" w:rsidRDefault="003B1724" w:rsidP="00742F09">
            <w:pPr>
              <w:spacing w:line="360" w:lineRule="auto"/>
              <w:jc w:val="both"/>
              <w:rPr>
                <w:color w:val="000000"/>
                <w:sz w:val="18"/>
                <w:szCs w:val="18"/>
              </w:rPr>
            </w:pPr>
            <w:r w:rsidRPr="00F016C9">
              <w:rPr>
                <w:color w:val="000000"/>
                <w:sz w:val="18"/>
                <w:szCs w:val="18"/>
              </w:rPr>
              <w:t>15  (83.3)</w:t>
            </w:r>
          </w:p>
        </w:tc>
      </w:tr>
    </w:tbl>
    <w:p w14:paraId="761DC279" w14:textId="0C724BC1" w:rsidR="003F4089" w:rsidRPr="00C128AE" w:rsidRDefault="00E81CAE" w:rsidP="00742F09">
      <w:pPr>
        <w:spacing w:after="120" w:line="360" w:lineRule="auto"/>
        <w:jc w:val="both"/>
        <w:rPr>
          <w:bCs/>
        </w:rPr>
      </w:pPr>
      <w:r w:rsidRPr="00C128AE">
        <w:rPr>
          <w:color w:val="000000"/>
        </w:rPr>
        <w:t>*Low = (0, 0.3760769], Intermediate = (0.3760769, 0.5651741], High = (0.5651741, 1.0]</w:t>
      </w:r>
    </w:p>
    <w:tbl>
      <w:tblPr>
        <w:tblW w:w="5000" w:type="pct"/>
        <w:tblLook w:val="04A0" w:firstRow="1" w:lastRow="0" w:firstColumn="1" w:lastColumn="0" w:noHBand="0" w:noVBand="1"/>
      </w:tblPr>
      <w:tblGrid>
        <w:gridCol w:w="5305"/>
        <w:gridCol w:w="810"/>
        <w:gridCol w:w="3235"/>
      </w:tblGrid>
      <w:tr w:rsidR="003B1724" w:rsidRPr="003B1724" w14:paraId="6FA49376" w14:textId="77777777" w:rsidTr="00635B4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202C74C" w14:textId="54177BC9" w:rsidR="003B1724" w:rsidRPr="009C1654" w:rsidRDefault="003B1724" w:rsidP="00742F09">
            <w:pPr>
              <w:spacing w:line="360" w:lineRule="auto"/>
              <w:jc w:val="both"/>
              <w:rPr>
                <w:b/>
                <w:bCs/>
                <w:color w:val="000000"/>
                <w:sz w:val="18"/>
                <w:szCs w:val="18"/>
              </w:rPr>
            </w:pPr>
            <w:r w:rsidRPr="009C1654">
              <w:rPr>
                <w:b/>
                <w:bCs/>
                <w:color w:val="000000"/>
                <w:sz w:val="18"/>
                <w:szCs w:val="18"/>
              </w:rPr>
              <w:t>Cox </w:t>
            </w:r>
            <w:r w:rsidR="003A6115">
              <w:rPr>
                <w:b/>
                <w:bCs/>
                <w:color w:val="000000"/>
                <w:sz w:val="18"/>
                <w:szCs w:val="18"/>
              </w:rPr>
              <w:t>p</w:t>
            </w:r>
            <w:r w:rsidRPr="009C1654">
              <w:rPr>
                <w:b/>
                <w:bCs/>
                <w:color w:val="000000"/>
                <w:sz w:val="18"/>
                <w:szCs w:val="18"/>
              </w:rPr>
              <w:t>roportional </w:t>
            </w:r>
            <w:r w:rsidR="003A6115">
              <w:rPr>
                <w:b/>
                <w:bCs/>
                <w:color w:val="000000"/>
                <w:sz w:val="18"/>
                <w:szCs w:val="18"/>
              </w:rPr>
              <w:t>h</w:t>
            </w:r>
            <w:r w:rsidRPr="009C1654">
              <w:rPr>
                <w:b/>
                <w:bCs/>
                <w:color w:val="000000"/>
                <w:sz w:val="18"/>
                <w:szCs w:val="18"/>
              </w:rPr>
              <w:t>azards </w:t>
            </w:r>
            <w:r w:rsidR="003A6115">
              <w:rPr>
                <w:b/>
                <w:bCs/>
                <w:color w:val="000000"/>
                <w:sz w:val="18"/>
                <w:szCs w:val="18"/>
              </w:rPr>
              <w:t>m</w:t>
            </w:r>
            <w:r w:rsidRPr="009C1654">
              <w:rPr>
                <w:b/>
                <w:bCs/>
                <w:color w:val="000000"/>
                <w:sz w:val="18"/>
                <w:szCs w:val="18"/>
              </w:rPr>
              <w:t>odel for </w:t>
            </w:r>
            <w:r w:rsidR="003A6115">
              <w:rPr>
                <w:b/>
                <w:bCs/>
                <w:color w:val="000000"/>
                <w:sz w:val="18"/>
                <w:szCs w:val="18"/>
              </w:rPr>
              <w:t>o</w:t>
            </w:r>
            <w:r w:rsidRPr="009C1654">
              <w:rPr>
                <w:b/>
                <w:bCs/>
                <w:color w:val="000000"/>
                <w:sz w:val="18"/>
                <w:szCs w:val="18"/>
              </w:rPr>
              <w:t>verall </w:t>
            </w:r>
            <w:r w:rsidR="003A6115">
              <w:rPr>
                <w:b/>
                <w:bCs/>
                <w:color w:val="000000"/>
                <w:sz w:val="18"/>
                <w:szCs w:val="18"/>
              </w:rPr>
              <w:t>s</w:t>
            </w:r>
            <w:r w:rsidRPr="009C1654">
              <w:rPr>
                <w:b/>
                <w:bCs/>
                <w:color w:val="000000"/>
                <w:sz w:val="18"/>
                <w:szCs w:val="18"/>
              </w:rPr>
              <w:t>urvival with </w:t>
            </w:r>
            <w:r w:rsidR="003A6115">
              <w:rPr>
                <w:b/>
                <w:bCs/>
                <w:color w:val="000000"/>
                <w:sz w:val="18"/>
                <w:szCs w:val="18"/>
              </w:rPr>
              <w:t>gene expression r</w:t>
            </w:r>
            <w:r w:rsidRPr="009C1654">
              <w:rPr>
                <w:b/>
                <w:bCs/>
                <w:color w:val="000000"/>
                <w:sz w:val="18"/>
                <w:szCs w:val="18"/>
              </w:rPr>
              <w:t>isk </w:t>
            </w:r>
            <w:r w:rsidR="003A6115">
              <w:rPr>
                <w:b/>
                <w:bCs/>
                <w:color w:val="000000"/>
                <w:sz w:val="18"/>
                <w:szCs w:val="18"/>
              </w:rPr>
              <w:t>s</w:t>
            </w:r>
            <w:r w:rsidRPr="009C1654">
              <w:rPr>
                <w:b/>
                <w:bCs/>
                <w:color w:val="000000"/>
                <w:sz w:val="18"/>
                <w:szCs w:val="18"/>
              </w:rPr>
              <w:t>core</w:t>
            </w:r>
            <w:r w:rsidR="003A6115">
              <w:rPr>
                <w:b/>
                <w:bCs/>
                <w:color w:val="000000"/>
                <w:sz w:val="18"/>
                <w:szCs w:val="18"/>
              </w:rPr>
              <w:t xml:space="preserve"> (N=87)</w:t>
            </w:r>
          </w:p>
        </w:tc>
      </w:tr>
      <w:tr w:rsidR="003B1724" w:rsidRPr="003B1724" w14:paraId="4BA8AF1F" w14:textId="77777777" w:rsidTr="00635B4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2B287F4E" w14:textId="77777777" w:rsidR="003B1724" w:rsidRPr="009C1654" w:rsidRDefault="003B1724" w:rsidP="00742F09">
            <w:pPr>
              <w:spacing w:line="360" w:lineRule="auto"/>
              <w:jc w:val="both"/>
              <w:rPr>
                <w:b/>
                <w:bCs/>
                <w:color w:val="000000"/>
                <w:sz w:val="18"/>
                <w:szCs w:val="18"/>
              </w:rPr>
            </w:pPr>
            <w:r w:rsidRPr="009C1654">
              <w:rPr>
                <w:b/>
                <w:bCs/>
                <w:color w:val="000000"/>
                <w:sz w:val="18"/>
                <w:szCs w:val="18"/>
              </w:rPr>
              <w:t> </w:t>
            </w:r>
          </w:p>
        </w:tc>
      </w:tr>
      <w:tr w:rsidR="003B1724" w:rsidRPr="003B1724" w14:paraId="632CAB07" w14:textId="77777777" w:rsidTr="009C1654">
        <w:trPr>
          <w:cantSplit/>
          <w:trHeight w:val="20"/>
        </w:trPr>
        <w:tc>
          <w:tcPr>
            <w:tcW w:w="2837" w:type="pct"/>
            <w:tcBorders>
              <w:top w:val="nil"/>
              <w:left w:val="single" w:sz="4" w:space="0" w:color="auto"/>
              <w:bottom w:val="single" w:sz="4" w:space="0" w:color="auto"/>
              <w:right w:val="single" w:sz="4" w:space="0" w:color="auto"/>
            </w:tcBorders>
            <w:shd w:val="clear" w:color="000000" w:fill="FFFFFF"/>
            <w:vAlign w:val="center"/>
            <w:hideMark/>
          </w:tcPr>
          <w:p w14:paraId="215325A9" w14:textId="77777777" w:rsidR="003B1724" w:rsidRPr="009C1654" w:rsidRDefault="003B1724" w:rsidP="00742F09">
            <w:pPr>
              <w:spacing w:line="360" w:lineRule="auto"/>
              <w:jc w:val="both"/>
              <w:rPr>
                <w:b/>
                <w:bCs/>
                <w:color w:val="000000"/>
                <w:sz w:val="18"/>
                <w:szCs w:val="18"/>
              </w:rPr>
            </w:pPr>
            <w:r w:rsidRPr="009C1654">
              <w:rPr>
                <w:b/>
                <w:bCs/>
                <w:color w:val="000000"/>
                <w:sz w:val="18"/>
                <w:szCs w:val="18"/>
              </w:rPr>
              <w:t>Variable</w:t>
            </w:r>
          </w:p>
        </w:tc>
        <w:tc>
          <w:tcPr>
            <w:tcW w:w="433" w:type="pct"/>
            <w:tcBorders>
              <w:top w:val="nil"/>
              <w:left w:val="nil"/>
              <w:bottom w:val="single" w:sz="4" w:space="0" w:color="auto"/>
              <w:right w:val="single" w:sz="4" w:space="0" w:color="auto"/>
            </w:tcBorders>
            <w:shd w:val="clear" w:color="000000" w:fill="FFFFFF"/>
            <w:vAlign w:val="center"/>
            <w:hideMark/>
          </w:tcPr>
          <w:p w14:paraId="0DD87F5E" w14:textId="23F4C169" w:rsidR="003B1724" w:rsidRPr="009C1654" w:rsidRDefault="003A6115" w:rsidP="00742F09">
            <w:pPr>
              <w:spacing w:line="360" w:lineRule="auto"/>
              <w:jc w:val="both"/>
              <w:rPr>
                <w:color w:val="000000"/>
                <w:sz w:val="18"/>
                <w:szCs w:val="18"/>
              </w:rPr>
            </w:pPr>
            <w:r>
              <w:rPr>
                <w:color w:val="000000"/>
                <w:sz w:val="18"/>
                <w:szCs w:val="18"/>
              </w:rPr>
              <w:t>P</w:t>
            </w:r>
            <w:r w:rsidR="003B1724" w:rsidRPr="009C1654">
              <w:rPr>
                <w:color w:val="000000"/>
                <w:sz w:val="18"/>
                <w:szCs w:val="18"/>
              </w:rPr>
              <w:t>-value</w:t>
            </w:r>
          </w:p>
        </w:tc>
        <w:tc>
          <w:tcPr>
            <w:tcW w:w="1730" w:type="pct"/>
            <w:tcBorders>
              <w:top w:val="nil"/>
              <w:left w:val="nil"/>
              <w:bottom w:val="single" w:sz="4" w:space="0" w:color="auto"/>
              <w:right w:val="single" w:sz="4" w:space="0" w:color="auto"/>
            </w:tcBorders>
            <w:shd w:val="clear" w:color="000000" w:fill="FFFFFF"/>
            <w:vAlign w:val="center"/>
            <w:hideMark/>
          </w:tcPr>
          <w:p w14:paraId="459AEAC0" w14:textId="1DC8D154" w:rsidR="003B1724" w:rsidRPr="009C1654" w:rsidRDefault="003B1724" w:rsidP="00742F09">
            <w:pPr>
              <w:spacing w:line="360" w:lineRule="auto"/>
              <w:jc w:val="both"/>
              <w:rPr>
                <w:color w:val="000000"/>
                <w:sz w:val="18"/>
                <w:szCs w:val="18"/>
              </w:rPr>
            </w:pPr>
            <w:r w:rsidRPr="009C1654">
              <w:rPr>
                <w:color w:val="000000"/>
                <w:sz w:val="18"/>
                <w:szCs w:val="18"/>
              </w:rPr>
              <w:t xml:space="preserve">Hazard </w:t>
            </w:r>
            <w:r w:rsidR="00171009">
              <w:rPr>
                <w:color w:val="000000"/>
                <w:sz w:val="18"/>
                <w:szCs w:val="18"/>
              </w:rPr>
              <w:t>r</w:t>
            </w:r>
            <w:r w:rsidRPr="009C1654">
              <w:rPr>
                <w:color w:val="000000"/>
                <w:sz w:val="18"/>
                <w:szCs w:val="18"/>
              </w:rPr>
              <w:t>atio (95%</w:t>
            </w:r>
            <w:r w:rsidR="003A6115">
              <w:rPr>
                <w:color w:val="000000"/>
                <w:sz w:val="18"/>
                <w:szCs w:val="18"/>
              </w:rPr>
              <w:t xml:space="preserve"> </w:t>
            </w:r>
            <w:r w:rsidR="00171009">
              <w:rPr>
                <w:color w:val="000000"/>
                <w:sz w:val="18"/>
                <w:szCs w:val="18"/>
              </w:rPr>
              <w:t>confidence interval</w:t>
            </w:r>
            <w:r w:rsidRPr="009C1654">
              <w:rPr>
                <w:color w:val="000000"/>
                <w:sz w:val="18"/>
                <w:szCs w:val="18"/>
              </w:rPr>
              <w:t>)</w:t>
            </w:r>
            <w:r w:rsidR="00171009">
              <w:rPr>
                <w:color w:val="000000"/>
                <w:sz w:val="18"/>
                <w:szCs w:val="18"/>
              </w:rPr>
              <w:t>*</w:t>
            </w:r>
          </w:p>
        </w:tc>
      </w:tr>
      <w:tr w:rsidR="003B1724" w:rsidRPr="003B1724" w14:paraId="7651FC9E" w14:textId="77777777" w:rsidTr="009C1654">
        <w:trPr>
          <w:cantSplit/>
          <w:trHeight w:val="20"/>
        </w:trPr>
        <w:tc>
          <w:tcPr>
            <w:tcW w:w="2837" w:type="pct"/>
            <w:tcBorders>
              <w:top w:val="nil"/>
              <w:left w:val="single" w:sz="4" w:space="0" w:color="auto"/>
              <w:bottom w:val="single" w:sz="4" w:space="0" w:color="auto"/>
              <w:right w:val="single" w:sz="4" w:space="0" w:color="auto"/>
            </w:tcBorders>
            <w:shd w:val="clear" w:color="000000" w:fill="FFFFFF"/>
            <w:vAlign w:val="center"/>
            <w:hideMark/>
          </w:tcPr>
          <w:p w14:paraId="43AA1F3B" w14:textId="485F7DE0" w:rsidR="003B1724" w:rsidRPr="009C1654" w:rsidRDefault="00171009" w:rsidP="00742F09">
            <w:pPr>
              <w:spacing w:line="360" w:lineRule="auto"/>
              <w:jc w:val="both"/>
              <w:rPr>
                <w:color w:val="000000"/>
                <w:sz w:val="18"/>
                <w:szCs w:val="18"/>
              </w:rPr>
            </w:pPr>
            <w:r>
              <w:rPr>
                <w:color w:val="000000"/>
                <w:sz w:val="18"/>
                <w:szCs w:val="18"/>
              </w:rPr>
              <w:t>Gene expression r</w:t>
            </w:r>
            <w:r w:rsidR="003B1724" w:rsidRPr="009C1654">
              <w:rPr>
                <w:color w:val="000000"/>
                <w:sz w:val="18"/>
                <w:szCs w:val="18"/>
              </w:rPr>
              <w:t xml:space="preserve">isk </w:t>
            </w:r>
            <w:r>
              <w:rPr>
                <w:color w:val="000000"/>
                <w:sz w:val="18"/>
                <w:szCs w:val="18"/>
              </w:rPr>
              <w:t>s</w:t>
            </w:r>
            <w:r w:rsidR="003B1724" w:rsidRPr="009C1654">
              <w:rPr>
                <w:color w:val="000000"/>
                <w:sz w:val="18"/>
                <w:szCs w:val="18"/>
              </w:rPr>
              <w:t>core (Continuous)</w:t>
            </w:r>
          </w:p>
        </w:tc>
        <w:tc>
          <w:tcPr>
            <w:tcW w:w="433" w:type="pct"/>
            <w:tcBorders>
              <w:top w:val="nil"/>
              <w:left w:val="nil"/>
              <w:bottom w:val="single" w:sz="4" w:space="0" w:color="auto"/>
              <w:right w:val="single" w:sz="4" w:space="0" w:color="auto"/>
            </w:tcBorders>
            <w:shd w:val="clear" w:color="000000" w:fill="FFFFFF"/>
            <w:vAlign w:val="center"/>
            <w:hideMark/>
          </w:tcPr>
          <w:p w14:paraId="707D05A7" w14:textId="77777777" w:rsidR="003B1724" w:rsidRPr="009C1654" w:rsidRDefault="003B1724" w:rsidP="00742F09">
            <w:pPr>
              <w:spacing w:line="360" w:lineRule="auto"/>
              <w:jc w:val="both"/>
              <w:rPr>
                <w:color w:val="000000"/>
                <w:sz w:val="18"/>
                <w:szCs w:val="18"/>
              </w:rPr>
            </w:pPr>
            <w:r w:rsidRPr="009C1654">
              <w:rPr>
                <w:color w:val="000000"/>
                <w:sz w:val="18"/>
                <w:szCs w:val="18"/>
              </w:rPr>
              <w:t>0.037</w:t>
            </w:r>
          </w:p>
        </w:tc>
        <w:tc>
          <w:tcPr>
            <w:tcW w:w="1730" w:type="pct"/>
            <w:tcBorders>
              <w:top w:val="nil"/>
              <w:left w:val="nil"/>
              <w:bottom w:val="single" w:sz="4" w:space="0" w:color="auto"/>
              <w:right w:val="single" w:sz="4" w:space="0" w:color="auto"/>
            </w:tcBorders>
            <w:shd w:val="clear" w:color="000000" w:fill="FFFFFF"/>
            <w:vAlign w:val="center"/>
            <w:hideMark/>
          </w:tcPr>
          <w:p w14:paraId="074ED51A" w14:textId="126CDE8F" w:rsidR="003B1724" w:rsidRPr="009C1654" w:rsidRDefault="003B1724" w:rsidP="00742F09">
            <w:pPr>
              <w:spacing w:line="360" w:lineRule="auto"/>
              <w:jc w:val="both"/>
              <w:rPr>
                <w:color w:val="000000"/>
                <w:sz w:val="18"/>
                <w:szCs w:val="18"/>
              </w:rPr>
            </w:pPr>
            <w:r w:rsidRPr="009C1654">
              <w:rPr>
                <w:color w:val="000000"/>
                <w:sz w:val="18"/>
                <w:szCs w:val="18"/>
              </w:rPr>
              <w:t>1.58 (1.03, 2.41)</w:t>
            </w:r>
          </w:p>
        </w:tc>
      </w:tr>
      <w:tr w:rsidR="003B1724" w:rsidRPr="003B1724" w14:paraId="537A696F" w14:textId="77777777" w:rsidTr="009C1654">
        <w:trPr>
          <w:cantSplit/>
          <w:trHeight w:val="20"/>
        </w:trPr>
        <w:tc>
          <w:tcPr>
            <w:tcW w:w="2837" w:type="pct"/>
            <w:tcBorders>
              <w:top w:val="nil"/>
              <w:left w:val="single" w:sz="4" w:space="0" w:color="auto"/>
              <w:bottom w:val="single" w:sz="4" w:space="0" w:color="auto"/>
              <w:right w:val="single" w:sz="4" w:space="0" w:color="auto"/>
            </w:tcBorders>
            <w:shd w:val="clear" w:color="000000" w:fill="FFFFFF"/>
            <w:vAlign w:val="center"/>
            <w:hideMark/>
          </w:tcPr>
          <w:p w14:paraId="42551FC0" w14:textId="75A2C1CD" w:rsidR="003B1724" w:rsidRPr="009C1654" w:rsidRDefault="003B1724" w:rsidP="00742F09">
            <w:pPr>
              <w:spacing w:line="360" w:lineRule="auto"/>
              <w:jc w:val="both"/>
              <w:rPr>
                <w:color w:val="000000"/>
                <w:sz w:val="18"/>
                <w:szCs w:val="18"/>
              </w:rPr>
            </w:pPr>
            <w:r w:rsidRPr="009C1654">
              <w:rPr>
                <w:color w:val="000000"/>
                <w:sz w:val="18"/>
                <w:szCs w:val="18"/>
              </w:rPr>
              <w:t>Extent of Resection (STR vs GTR)</w:t>
            </w:r>
          </w:p>
        </w:tc>
        <w:tc>
          <w:tcPr>
            <w:tcW w:w="433" w:type="pct"/>
            <w:tcBorders>
              <w:top w:val="nil"/>
              <w:left w:val="nil"/>
              <w:bottom w:val="single" w:sz="4" w:space="0" w:color="auto"/>
              <w:right w:val="single" w:sz="4" w:space="0" w:color="auto"/>
            </w:tcBorders>
            <w:shd w:val="clear" w:color="000000" w:fill="FFFFFF"/>
            <w:vAlign w:val="center"/>
            <w:hideMark/>
          </w:tcPr>
          <w:p w14:paraId="56AFE762" w14:textId="77777777" w:rsidR="003B1724" w:rsidRPr="009C1654" w:rsidRDefault="003B1724" w:rsidP="00742F09">
            <w:pPr>
              <w:spacing w:line="360" w:lineRule="auto"/>
              <w:jc w:val="both"/>
              <w:rPr>
                <w:color w:val="000000"/>
                <w:sz w:val="18"/>
                <w:szCs w:val="18"/>
              </w:rPr>
            </w:pPr>
            <w:r w:rsidRPr="009C1654">
              <w:rPr>
                <w:color w:val="000000"/>
                <w:sz w:val="18"/>
                <w:szCs w:val="18"/>
              </w:rPr>
              <w:t>0.013</w:t>
            </w:r>
          </w:p>
        </w:tc>
        <w:tc>
          <w:tcPr>
            <w:tcW w:w="1730" w:type="pct"/>
            <w:tcBorders>
              <w:top w:val="nil"/>
              <w:left w:val="nil"/>
              <w:bottom w:val="single" w:sz="4" w:space="0" w:color="auto"/>
              <w:right w:val="single" w:sz="4" w:space="0" w:color="auto"/>
            </w:tcBorders>
            <w:shd w:val="clear" w:color="000000" w:fill="FFFFFF"/>
            <w:vAlign w:val="center"/>
            <w:hideMark/>
          </w:tcPr>
          <w:p w14:paraId="354C8440" w14:textId="77777777" w:rsidR="003B1724" w:rsidRPr="009C1654" w:rsidRDefault="003B1724" w:rsidP="00742F09">
            <w:pPr>
              <w:spacing w:line="360" w:lineRule="auto"/>
              <w:jc w:val="both"/>
              <w:rPr>
                <w:color w:val="000000"/>
                <w:sz w:val="18"/>
                <w:szCs w:val="18"/>
              </w:rPr>
            </w:pPr>
            <w:r w:rsidRPr="009C1654">
              <w:rPr>
                <w:color w:val="000000"/>
                <w:sz w:val="18"/>
                <w:szCs w:val="18"/>
              </w:rPr>
              <w:t>4.19 (1.35, 12.99)</w:t>
            </w:r>
          </w:p>
        </w:tc>
      </w:tr>
      <w:tr w:rsidR="003B1724" w:rsidRPr="003B1724" w14:paraId="5CBDE2E0" w14:textId="77777777" w:rsidTr="009C1654">
        <w:trPr>
          <w:cantSplit/>
          <w:trHeight w:val="20"/>
        </w:trPr>
        <w:tc>
          <w:tcPr>
            <w:tcW w:w="2837" w:type="pct"/>
            <w:tcBorders>
              <w:top w:val="nil"/>
              <w:left w:val="single" w:sz="4" w:space="0" w:color="auto"/>
              <w:bottom w:val="single" w:sz="4" w:space="0" w:color="auto"/>
              <w:right w:val="single" w:sz="4" w:space="0" w:color="auto"/>
            </w:tcBorders>
            <w:shd w:val="clear" w:color="000000" w:fill="FFFFFF"/>
            <w:vAlign w:val="center"/>
            <w:hideMark/>
          </w:tcPr>
          <w:p w14:paraId="1A2BAD87" w14:textId="01C02ADA" w:rsidR="003B1724" w:rsidRPr="009C1654" w:rsidRDefault="003B1724" w:rsidP="00742F09">
            <w:pPr>
              <w:spacing w:line="360" w:lineRule="auto"/>
              <w:jc w:val="both"/>
              <w:rPr>
                <w:color w:val="000000"/>
                <w:sz w:val="18"/>
                <w:szCs w:val="18"/>
              </w:rPr>
            </w:pPr>
            <w:r w:rsidRPr="009C1654">
              <w:rPr>
                <w:color w:val="000000"/>
                <w:sz w:val="18"/>
                <w:szCs w:val="18"/>
              </w:rPr>
              <w:t xml:space="preserve">Status of </w:t>
            </w:r>
            <w:r w:rsidR="00171009">
              <w:rPr>
                <w:color w:val="000000"/>
                <w:sz w:val="18"/>
                <w:szCs w:val="18"/>
              </w:rPr>
              <w:t>t</w:t>
            </w:r>
            <w:r w:rsidRPr="009C1654">
              <w:rPr>
                <w:color w:val="000000"/>
                <w:sz w:val="18"/>
                <w:szCs w:val="18"/>
              </w:rPr>
              <w:t xml:space="preserve">umor (Recurrent vs </w:t>
            </w:r>
            <w:r w:rsidR="00171009">
              <w:rPr>
                <w:color w:val="000000"/>
                <w:sz w:val="18"/>
                <w:szCs w:val="18"/>
              </w:rPr>
              <w:t>primary</w:t>
            </w:r>
            <w:r w:rsidRPr="009C1654">
              <w:rPr>
                <w:color w:val="000000"/>
                <w:sz w:val="18"/>
                <w:szCs w:val="18"/>
              </w:rPr>
              <w:t>)</w:t>
            </w:r>
          </w:p>
        </w:tc>
        <w:tc>
          <w:tcPr>
            <w:tcW w:w="433" w:type="pct"/>
            <w:tcBorders>
              <w:top w:val="nil"/>
              <w:left w:val="nil"/>
              <w:bottom w:val="single" w:sz="4" w:space="0" w:color="auto"/>
              <w:right w:val="single" w:sz="4" w:space="0" w:color="auto"/>
            </w:tcBorders>
            <w:shd w:val="clear" w:color="000000" w:fill="FFFFFF"/>
            <w:vAlign w:val="center"/>
            <w:hideMark/>
          </w:tcPr>
          <w:p w14:paraId="18ACE498" w14:textId="77777777" w:rsidR="003B1724" w:rsidRPr="009C1654" w:rsidRDefault="003B1724" w:rsidP="00742F09">
            <w:pPr>
              <w:spacing w:line="360" w:lineRule="auto"/>
              <w:jc w:val="both"/>
              <w:rPr>
                <w:color w:val="000000"/>
                <w:sz w:val="18"/>
                <w:szCs w:val="18"/>
              </w:rPr>
            </w:pPr>
            <w:r w:rsidRPr="009C1654">
              <w:rPr>
                <w:color w:val="000000"/>
                <w:sz w:val="18"/>
                <w:szCs w:val="18"/>
              </w:rPr>
              <w:t>0.202</w:t>
            </w:r>
          </w:p>
        </w:tc>
        <w:tc>
          <w:tcPr>
            <w:tcW w:w="1730" w:type="pct"/>
            <w:tcBorders>
              <w:top w:val="nil"/>
              <w:left w:val="nil"/>
              <w:bottom w:val="single" w:sz="4" w:space="0" w:color="auto"/>
              <w:right w:val="single" w:sz="4" w:space="0" w:color="auto"/>
            </w:tcBorders>
            <w:shd w:val="clear" w:color="000000" w:fill="FFFFFF"/>
            <w:vAlign w:val="center"/>
            <w:hideMark/>
          </w:tcPr>
          <w:p w14:paraId="3BCA58CF" w14:textId="77777777" w:rsidR="003B1724" w:rsidRPr="009C1654" w:rsidRDefault="003B1724" w:rsidP="00742F09">
            <w:pPr>
              <w:spacing w:line="360" w:lineRule="auto"/>
              <w:jc w:val="both"/>
              <w:rPr>
                <w:color w:val="000000"/>
                <w:sz w:val="18"/>
                <w:szCs w:val="18"/>
              </w:rPr>
            </w:pPr>
            <w:r w:rsidRPr="009C1654">
              <w:rPr>
                <w:color w:val="000000"/>
                <w:sz w:val="18"/>
                <w:szCs w:val="18"/>
              </w:rPr>
              <w:t>2.26 (0.65, 7.91)</w:t>
            </w:r>
          </w:p>
        </w:tc>
      </w:tr>
      <w:tr w:rsidR="003B1724" w:rsidRPr="003B1724" w14:paraId="265DB009" w14:textId="77777777" w:rsidTr="009C1654">
        <w:trPr>
          <w:cantSplit/>
          <w:trHeight w:val="20"/>
        </w:trPr>
        <w:tc>
          <w:tcPr>
            <w:tcW w:w="2837" w:type="pct"/>
            <w:tcBorders>
              <w:top w:val="nil"/>
              <w:left w:val="single" w:sz="4" w:space="0" w:color="auto"/>
              <w:bottom w:val="single" w:sz="4" w:space="0" w:color="auto"/>
              <w:right w:val="single" w:sz="4" w:space="0" w:color="auto"/>
            </w:tcBorders>
            <w:shd w:val="clear" w:color="000000" w:fill="FFFFFF"/>
            <w:vAlign w:val="center"/>
            <w:hideMark/>
          </w:tcPr>
          <w:p w14:paraId="7BB597DE" w14:textId="3C110499" w:rsidR="003B1724" w:rsidRPr="009C1654" w:rsidRDefault="003B1724" w:rsidP="00742F09">
            <w:pPr>
              <w:spacing w:line="360" w:lineRule="auto"/>
              <w:jc w:val="both"/>
              <w:rPr>
                <w:color w:val="000000"/>
                <w:sz w:val="18"/>
                <w:szCs w:val="18"/>
              </w:rPr>
            </w:pPr>
            <w:r w:rsidRPr="009C1654">
              <w:rPr>
                <w:color w:val="000000"/>
                <w:sz w:val="18"/>
                <w:szCs w:val="18"/>
              </w:rPr>
              <w:t xml:space="preserve">Meningioma </w:t>
            </w:r>
            <w:r w:rsidR="00171009">
              <w:rPr>
                <w:color w:val="000000"/>
                <w:sz w:val="18"/>
                <w:szCs w:val="18"/>
              </w:rPr>
              <w:t>g</w:t>
            </w:r>
            <w:r w:rsidRPr="009C1654">
              <w:rPr>
                <w:color w:val="000000"/>
                <w:sz w:val="18"/>
                <w:szCs w:val="18"/>
              </w:rPr>
              <w:t>rade (</w:t>
            </w:r>
            <w:r w:rsidR="000168EF" w:rsidRPr="009C1654">
              <w:rPr>
                <w:color w:val="000000"/>
                <w:sz w:val="18"/>
                <w:szCs w:val="18"/>
              </w:rPr>
              <w:t xml:space="preserve">WHO </w:t>
            </w:r>
            <w:r w:rsidR="00171009">
              <w:rPr>
                <w:color w:val="000000"/>
                <w:sz w:val="18"/>
                <w:szCs w:val="18"/>
              </w:rPr>
              <w:t>g</w:t>
            </w:r>
            <w:r w:rsidR="000168EF" w:rsidRPr="009C1654">
              <w:rPr>
                <w:color w:val="000000"/>
                <w:sz w:val="18"/>
                <w:szCs w:val="18"/>
              </w:rPr>
              <w:t xml:space="preserve">rade 3 vs </w:t>
            </w:r>
            <w:r w:rsidR="00171009">
              <w:rPr>
                <w:color w:val="000000"/>
                <w:sz w:val="18"/>
                <w:szCs w:val="18"/>
              </w:rPr>
              <w:t>g</w:t>
            </w:r>
            <w:r w:rsidR="000168EF" w:rsidRPr="009C1654">
              <w:rPr>
                <w:color w:val="000000"/>
                <w:sz w:val="18"/>
                <w:szCs w:val="18"/>
              </w:rPr>
              <w:t>rade 1)</w:t>
            </w:r>
          </w:p>
        </w:tc>
        <w:tc>
          <w:tcPr>
            <w:tcW w:w="433" w:type="pct"/>
            <w:tcBorders>
              <w:top w:val="nil"/>
              <w:left w:val="nil"/>
              <w:bottom w:val="single" w:sz="4" w:space="0" w:color="auto"/>
              <w:right w:val="single" w:sz="4" w:space="0" w:color="auto"/>
            </w:tcBorders>
            <w:shd w:val="clear" w:color="000000" w:fill="FFFFFF"/>
            <w:vAlign w:val="center"/>
            <w:hideMark/>
          </w:tcPr>
          <w:p w14:paraId="00902074" w14:textId="77777777" w:rsidR="003B1724" w:rsidRPr="009C1654" w:rsidRDefault="003B1724" w:rsidP="00742F09">
            <w:pPr>
              <w:spacing w:line="360" w:lineRule="auto"/>
              <w:jc w:val="both"/>
              <w:rPr>
                <w:color w:val="000000"/>
                <w:sz w:val="18"/>
                <w:szCs w:val="18"/>
              </w:rPr>
            </w:pPr>
            <w:r w:rsidRPr="009C1654">
              <w:rPr>
                <w:color w:val="000000"/>
                <w:sz w:val="18"/>
                <w:szCs w:val="18"/>
              </w:rPr>
              <w:t>0.889</w:t>
            </w:r>
          </w:p>
        </w:tc>
        <w:tc>
          <w:tcPr>
            <w:tcW w:w="1730" w:type="pct"/>
            <w:tcBorders>
              <w:top w:val="nil"/>
              <w:left w:val="nil"/>
              <w:bottom w:val="single" w:sz="4" w:space="0" w:color="auto"/>
              <w:right w:val="single" w:sz="4" w:space="0" w:color="auto"/>
            </w:tcBorders>
            <w:shd w:val="clear" w:color="000000" w:fill="FFFFFF"/>
            <w:vAlign w:val="center"/>
            <w:hideMark/>
          </w:tcPr>
          <w:p w14:paraId="3439BEE9" w14:textId="77777777" w:rsidR="003B1724" w:rsidRPr="009C1654" w:rsidRDefault="003B1724" w:rsidP="00742F09">
            <w:pPr>
              <w:spacing w:line="360" w:lineRule="auto"/>
              <w:jc w:val="both"/>
              <w:rPr>
                <w:color w:val="000000"/>
                <w:sz w:val="18"/>
                <w:szCs w:val="18"/>
              </w:rPr>
            </w:pPr>
            <w:r w:rsidRPr="009C1654">
              <w:rPr>
                <w:color w:val="000000"/>
                <w:sz w:val="18"/>
                <w:szCs w:val="18"/>
              </w:rPr>
              <w:t>1.15 (0.15, 8.63)</w:t>
            </w:r>
          </w:p>
        </w:tc>
      </w:tr>
      <w:tr w:rsidR="003B1724" w:rsidRPr="003B1724" w14:paraId="73590FBC" w14:textId="77777777" w:rsidTr="009C1654">
        <w:trPr>
          <w:cantSplit/>
          <w:trHeight w:val="20"/>
        </w:trPr>
        <w:tc>
          <w:tcPr>
            <w:tcW w:w="2837" w:type="pct"/>
            <w:tcBorders>
              <w:top w:val="nil"/>
              <w:left w:val="single" w:sz="4" w:space="0" w:color="auto"/>
              <w:bottom w:val="single" w:sz="4" w:space="0" w:color="auto"/>
              <w:right w:val="single" w:sz="4" w:space="0" w:color="auto"/>
            </w:tcBorders>
            <w:shd w:val="clear" w:color="000000" w:fill="FFFFFF"/>
            <w:vAlign w:val="center"/>
            <w:hideMark/>
          </w:tcPr>
          <w:p w14:paraId="733721DF" w14:textId="790831A8" w:rsidR="003B1724" w:rsidRPr="009C1654" w:rsidRDefault="003B1724" w:rsidP="00742F09">
            <w:pPr>
              <w:spacing w:line="360" w:lineRule="auto"/>
              <w:jc w:val="both"/>
              <w:rPr>
                <w:color w:val="000000"/>
                <w:sz w:val="18"/>
                <w:szCs w:val="18"/>
              </w:rPr>
            </w:pPr>
            <w:r w:rsidRPr="009C1654">
              <w:rPr>
                <w:color w:val="000000"/>
                <w:sz w:val="18"/>
                <w:szCs w:val="18"/>
              </w:rPr>
              <w:t xml:space="preserve">                                (</w:t>
            </w:r>
            <w:r w:rsidR="000168EF" w:rsidRPr="009C1654">
              <w:rPr>
                <w:color w:val="000000"/>
                <w:sz w:val="18"/>
                <w:szCs w:val="18"/>
              </w:rPr>
              <w:t xml:space="preserve">WHO </w:t>
            </w:r>
            <w:r w:rsidR="00171009">
              <w:rPr>
                <w:color w:val="000000"/>
                <w:sz w:val="18"/>
                <w:szCs w:val="18"/>
              </w:rPr>
              <w:t>g</w:t>
            </w:r>
            <w:r w:rsidR="000168EF" w:rsidRPr="009C1654">
              <w:rPr>
                <w:color w:val="000000"/>
                <w:sz w:val="18"/>
                <w:szCs w:val="18"/>
              </w:rPr>
              <w:t xml:space="preserve">rade 2 vs </w:t>
            </w:r>
            <w:r w:rsidR="00171009">
              <w:rPr>
                <w:color w:val="000000"/>
                <w:sz w:val="18"/>
                <w:szCs w:val="18"/>
              </w:rPr>
              <w:t>g</w:t>
            </w:r>
            <w:r w:rsidR="000168EF" w:rsidRPr="009C1654">
              <w:rPr>
                <w:color w:val="000000"/>
                <w:sz w:val="18"/>
                <w:szCs w:val="18"/>
              </w:rPr>
              <w:t>rade 1)</w:t>
            </w:r>
          </w:p>
        </w:tc>
        <w:tc>
          <w:tcPr>
            <w:tcW w:w="433" w:type="pct"/>
            <w:tcBorders>
              <w:top w:val="nil"/>
              <w:left w:val="nil"/>
              <w:bottom w:val="single" w:sz="4" w:space="0" w:color="auto"/>
              <w:right w:val="single" w:sz="4" w:space="0" w:color="auto"/>
            </w:tcBorders>
            <w:shd w:val="clear" w:color="000000" w:fill="FFFFFF"/>
            <w:vAlign w:val="center"/>
            <w:hideMark/>
          </w:tcPr>
          <w:p w14:paraId="251B4CFB" w14:textId="77777777" w:rsidR="003B1724" w:rsidRPr="009C1654" w:rsidRDefault="003B1724" w:rsidP="00742F09">
            <w:pPr>
              <w:spacing w:line="360" w:lineRule="auto"/>
              <w:jc w:val="both"/>
              <w:rPr>
                <w:color w:val="000000"/>
                <w:sz w:val="18"/>
                <w:szCs w:val="18"/>
              </w:rPr>
            </w:pPr>
            <w:r w:rsidRPr="009C1654">
              <w:rPr>
                <w:color w:val="000000"/>
                <w:sz w:val="18"/>
                <w:szCs w:val="18"/>
              </w:rPr>
              <w:t>0.578</w:t>
            </w:r>
          </w:p>
        </w:tc>
        <w:tc>
          <w:tcPr>
            <w:tcW w:w="1730" w:type="pct"/>
            <w:tcBorders>
              <w:top w:val="nil"/>
              <w:left w:val="nil"/>
              <w:bottom w:val="single" w:sz="4" w:space="0" w:color="auto"/>
              <w:right w:val="single" w:sz="4" w:space="0" w:color="auto"/>
            </w:tcBorders>
            <w:shd w:val="clear" w:color="000000" w:fill="FFFFFF"/>
            <w:vAlign w:val="center"/>
            <w:hideMark/>
          </w:tcPr>
          <w:p w14:paraId="2364F6B4" w14:textId="77777777" w:rsidR="003B1724" w:rsidRPr="009C1654" w:rsidRDefault="003B1724" w:rsidP="00742F09">
            <w:pPr>
              <w:spacing w:line="360" w:lineRule="auto"/>
              <w:jc w:val="both"/>
              <w:rPr>
                <w:color w:val="000000"/>
                <w:sz w:val="18"/>
                <w:szCs w:val="18"/>
              </w:rPr>
            </w:pPr>
            <w:r w:rsidRPr="009C1654">
              <w:rPr>
                <w:color w:val="000000"/>
                <w:sz w:val="18"/>
                <w:szCs w:val="18"/>
              </w:rPr>
              <w:t>1.48 (0.37, 5.83)</w:t>
            </w:r>
          </w:p>
        </w:tc>
      </w:tr>
    </w:tbl>
    <w:p w14:paraId="1E802A07" w14:textId="3FCC67D4" w:rsidR="00F524D9" w:rsidRPr="00C128AE" w:rsidRDefault="00E81CAE">
      <w:pPr>
        <w:spacing w:after="120" w:line="360" w:lineRule="auto"/>
        <w:rPr>
          <w:bCs/>
        </w:rPr>
      </w:pPr>
      <w:r w:rsidRPr="00C128AE">
        <w:rPr>
          <w:color w:val="000000"/>
        </w:rPr>
        <w:t>*HR corresponds to 0.1 increment</w:t>
      </w:r>
      <w:r w:rsidR="00171009" w:rsidRPr="00C128AE">
        <w:rPr>
          <w:color w:val="000000"/>
        </w:rPr>
        <w:t>s</w:t>
      </w:r>
      <w:r w:rsidRPr="00C128AE">
        <w:rPr>
          <w:color w:val="000000"/>
        </w:rPr>
        <w:t xml:space="preserve"> in </w:t>
      </w:r>
      <w:r w:rsidR="00171009" w:rsidRPr="00C128AE">
        <w:rPr>
          <w:color w:val="000000"/>
        </w:rPr>
        <w:t xml:space="preserve">gene expression </w:t>
      </w:r>
      <w:r w:rsidRPr="00C128AE">
        <w:rPr>
          <w:color w:val="000000"/>
        </w:rPr>
        <w:t>risk score</w:t>
      </w:r>
      <w:r w:rsidR="00F524D9" w:rsidRPr="00C128AE">
        <w:rPr>
          <w:bCs/>
        </w:rPr>
        <w:br w:type="page"/>
      </w:r>
    </w:p>
    <w:p w14:paraId="590D1FCC" w14:textId="26C29D45" w:rsidR="00F524D9" w:rsidRDefault="00F524D9">
      <w:pPr>
        <w:spacing w:after="120" w:line="360" w:lineRule="auto"/>
        <w:rPr>
          <w:b/>
          <w:bCs/>
        </w:rPr>
      </w:pPr>
      <w:r>
        <w:rPr>
          <w:b/>
          <w:bCs/>
        </w:rPr>
        <w:lastRenderedPageBreak/>
        <w:t xml:space="preserve">Table S15. </w:t>
      </w:r>
      <w:r w:rsidR="004724E1" w:rsidRPr="004724E1">
        <w:rPr>
          <w:b/>
        </w:rPr>
        <w:t>Gene expression biomarker reclassification rates compared to clinical criteria.</w:t>
      </w:r>
    </w:p>
    <w:tbl>
      <w:tblPr>
        <w:tblW w:w="9445" w:type="dxa"/>
        <w:tblLook w:val="04A0" w:firstRow="1" w:lastRow="0" w:firstColumn="1" w:lastColumn="0" w:noHBand="0" w:noVBand="1"/>
      </w:tblPr>
      <w:tblGrid>
        <w:gridCol w:w="2785"/>
        <w:gridCol w:w="2095"/>
        <w:gridCol w:w="2405"/>
        <w:gridCol w:w="2160"/>
      </w:tblGrid>
      <w:tr w:rsidR="004724E1" w:rsidRPr="00830CEE" w14:paraId="1310CDF7" w14:textId="77777777" w:rsidTr="00F579E8">
        <w:trPr>
          <w:trHeight w:val="170"/>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E90FC" w14:textId="06C13FED" w:rsidR="004724E1" w:rsidRPr="004724E1" w:rsidRDefault="004724E1" w:rsidP="004724E1">
            <w:pPr>
              <w:rPr>
                <w:b/>
                <w:bCs/>
                <w:color w:val="000000"/>
                <w:sz w:val="18"/>
                <w:szCs w:val="18"/>
              </w:rPr>
            </w:pPr>
            <w:r w:rsidRPr="004724E1">
              <w:rPr>
                <w:b/>
                <w:bCs/>
                <w:color w:val="000000"/>
                <w:sz w:val="18"/>
                <w:szCs w:val="18"/>
              </w:rPr>
              <w:t>Retrospective clinical validation cohort</w:t>
            </w:r>
          </w:p>
        </w:tc>
        <w:tc>
          <w:tcPr>
            <w:tcW w:w="2095" w:type="dxa"/>
            <w:tcBorders>
              <w:top w:val="single" w:sz="4" w:space="0" w:color="auto"/>
              <w:left w:val="nil"/>
              <w:bottom w:val="single" w:sz="4" w:space="0" w:color="auto"/>
              <w:right w:val="single" w:sz="4" w:space="0" w:color="auto"/>
            </w:tcBorders>
            <w:shd w:val="clear" w:color="auto" w:fill="auto"/>
            <w:noWrap/>
            <w:vAlign w:val="center"/>
            <w:hideMark/>
          </w:tcPr>
          <w:p w14:paraId="2FCCD87B" w14:textId="37BB14BD" w:rsidR="004724E1" w:rsidRPr="004724E1" w:rsidRDefault="004724E1" w:rsidP="004724E1">
            <w:pPr>
              <w:rPr>
                <w:color w:val="000000"/>
                <w:sz w:val="18"/>
                <w:szCs w:val="18"/>
              </w:rPr>
            </w:pPr>
            <w:r w:rsidRPr="004724E1">
              <w:rPr>
                <w:b/>
                <w:bCs/>
                <w:color w:val="000000"/>
                <w:sz w:val="18"/>
                <w:szCs w:val="18"/>
              </w:rPr>
              <w:t xml:space="preserve">Gene </w:t>
            </w:r>
            <w:r>
              <w:rPr>
                <w:b/>
                <w:bCs/>
                <w:color w:val="000000"/>
                <w:sz w:val="18"/>
                <w:szCs w:val="18"/>
              </w:rPr>
              <w:t>e</w:t>
            </w:r>
            <w:r w:rsidRPr="004724E1">
              <w:rPr>
                <w:b/>
                <w:bCs/>
                <w:color w:val="000000"/>
                <w:sz w:val="18"/>
                <w:szCs w:val="18"/>
              </w:rPr>
              <w:t xml:space="preserve">xpression </w:t>
            </w:r>
            <w:r>
              <w:rPr>
                <w:b/>
                <w:bCs/>
                <w:color w:val="000000"/>
                <w:sz w:val="18"/>
                <w:szCs w:val="18"/>
              </w:rPr>
              <w:t>l</w:t>
            </w:r>
            <w:r w:rsidRPr="004724E1">
              <w:rPr>
                <w:b/>
                <w:bCs/>
                <w:color w:val="000000"/>
                <w:sz w:val="18"/>
                <w:szCs w:val="18"/>
              </w:rPr>
              <w:t>ow</w:t>
            </w:r>
            <w:r>
              <w:rPr>
                <w:b/>
                <w:bCs/>
                <w:color w:val="000000"/>
                <w:sz w:val="18"/>
                <w:szCs w:val="18"/>
              </w:rPr>
              <w:t xml:space="preserve"> risk</w:t>
            </w:r>
          </w:p>
        </w:tc>
        <w:tc>
          <w:tcPr>
            <w:tcW w:w="2405" w:type="dxa"/>
            <w:tcBorders>
              <w:top w:val="single" w:sz="4" w:space="0" w:color="auto"/>
              <w:left w:val="nil"/>
              <w:bottom w:val="single" w:sz="4" w:space="0" w:color="auto"/>
              <w:right w:val="single" w:sz="4" w:space="0" w:color="auto"/>
            </w:tcBorders>
            <w:shd w:val="clear" w:color="auto" w:fill="auto"/>
            <w:noWrap/>
            <w:vAlign w:val="center"/>
            <w:hideMark/>
          </w:tcPr>
          <w:p w14:paraId="6099C4B8" w14:textId="60EA942E" w:rsidR="004724E1" w:rsidRPr="004724E1" w:rsidRDefault="004724E1" w:rsidP="004724E1">
            <w:pPr>
              <w:rPr>
                <w:color w:val="000000"/>
                <w:sz w:val="18"/>
                <w:szCs w:val="18"/>
              </w:rPr>
            </w:pPr>
            <w:r w:rsidRPr="004724E1">
              <w:rPr>
                <w:b/>
                <w:bCs/>
                <w:color w:val="000000"/>
                <w:sz w:val="18"/>
                <w:szCs w:val="18"/>
              </w:rPr>
              <w:t xml:space="preserve">Gene </w:t>
            </w:r>
            <w:r>
              <w:rPr>
                <w:b/>
                <w:bCs/>
                <w:color w:val="000000"/>
                <w:sz w:val="18"/>
                <w:szCs w:val="18"/>
              </w:rPr>
              <w:t>e</w:t>
            </w:r>
            <w:r w:rsidRPr="004724E1">
              <w:rPr>
                <w:b/>
                <w:bCs/>
                <w:color w:val="000000"/>
                <w:sz w:val="18"/>
                <w:szCs w:val="18"/>
              </w:rPr>
              <w:t>xpression</w:t>
            </w:r>
            <w:r>
              <w:rPr>
                <w:b/>
                <w:bCs/>
                <w:color w:val="000000"/>
                <w:sz w:val="18"/>
                <w:szCs w:val="18"/>
              </w:rPr>
              <w:t xml:space="preserve"> intermediate risk</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061C9F1D" w14:textId="14C8B7D1" w:rsidR="004724E1" w:rsidRPr="004724E1" w:rsidRDefault="004724E1" w:rsidP="004724E1">
            <w:pPr>
              <w:rPr>
                <w:color w:val="000000"/>
                <w:sz w:val="18"/>
                <w:szCs w:val="18"/>
              </w:rPr>
            </w:pPr>
            <w:r w:rsidRPr="004724E1">
              <w:rPr>
                <w:b/>
                <w:bCs/>
                <w:color w:val="000000"/>
                <w:sz w:val="18"/>
                <w:szCs w:val="18"/>
              </w:rPr>
              <w:t xml:space="preserve">Gene </w:t>
            </w:r>
            <w:r>
              <w:rPr>
                <w:b/>
                <w:bCs/>
                <w:color w:val="000000"/>
                <w:sz w:val="18"/>
                <w:szCs w:val="18"/>
              </w:rPr>
              <w:t>e</w:t>
            </w:r>
            <w:r w:rsidRPr="004724E1">
              <w:rPr>
                <w:b/>
                <w:bCs/>
                <w:color w:val="000000"/>
                <w:sz w:val="18"/>
                <w:szCs w:val="18"/>
              </w:rPr>
              <w:t>xpression</w:t>
            </w:r>
            <w:r>
              <w:rPr>
                <w:b/>
                <w:bCs/>
                <w:color w:val="000000"/>
                <w:sz w:val="18"/>
                <w:szCs w:val="18"/>
              </w:rPr>
              <w:t xml:space="preserve"> high risk</w:t>
            </w:r>
          </w:p>
        </w:tc>
      </w:tr>
      <w:tr w:rsidR="004724E1" w:rsidRPr="00830CEE" w14:paraId="5D64262A" w14:textId="77777777" w:rsidTr="00F579E8">
        <w:trPr>
          <w:trHeight w:val="34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06BA3993" w14:textId="5D5889A9" w:rsidR="004724E1" w:rsidRPr="004724E1" w:rsidRDefault="004724E1" w:rsidP="004724E1">
            <w:pPr>
              <w:rPr>
                <w:color w:val="000000"/>
                <w:sz w:val="18"/>
                <w:szCs w:val="18"/>
              </w:rPr>
            </w:pPr>
            <w:r w:rsidRPr="004724E1">
              <w:rPr>
                <w:color w:val="000000"/>
                <w:sz w:val="18"/>
                <w:szCs w:val="18"/>
              </w:rPr>
              <w:t xml:space="preserve">RTOG 0539 </w:t>
            </w:r>
            <w:r>
              <w:rPr>
                <w:color w:val="000000"/>
                <w:sz w:val="18"/>
                <w:szCs w:val="18"/>
              </w:rPr>
              <w:t>l</w:t>
            </w:r>
            <w:r w:rsidRPr="004724E1">
              <w:rPr>
                <w:color w:val="000000"/>
                <w:sz w:val="18"/>
                <w:szCs w:val="18"/>
              </w:rPr>
              <w:t>ow</w:t>
            </w:r>
            <w:r>
              <w:rPr>
                <w:color w:val="000000"/>
                <w:sz w:val="18"/>
                <w:szCs w:val="18"/>
              </w:rPr>
              <w:t xml:space="preserve"> clinical risk</w:t>
            </w:r>
          </w:p>
        </w:tc>
        <w:tc>
          <w:tcPr>
            <w:tcW w:w="2095" w:type="dxa"/>
            <w:tcBorders>
              <w:top w:val="nil"/>
              <w:left w:val="nil"/>
              <w:bottom w:val="single" w:sz="4" w:space="0" w:color="auto"/>
              <w:right w:val="single" w:sz="4" w:space="0" w:color="auto"/>
            </w:tcBorders>
            <w:shd w:val="clear" w:color="auto" w:fill="auto"/>
            <w:noWrap/>
            <w:vAlign w:val="center"/>
            <w:hideMark/>
          </w:tcPr>
          <w:p w14:paraId="313F82C3" w14:textId="77777777" w:rsidR="004724E1" w:rsidRPr="004724E1" w:rsidRDefault="004724E1" w:rsidP="004724E1">
            <w:pPr>
              <w:rPr>
                <w:color w:val="000000"/>
                <w:sz w:val="18"/>
                <w:szCs w:val="18"/>
              </w:rPr>
            </w:pPr>
            <w:r w:rsidRPr="004724E1">
              <w:rPr>
                <w:color w:val="000000"/>
                <w:sz w:val="18"/>
                <w:szCs w:val="18"/>
              </w:rPr>
              <w:t>173 (40.8%)</w:t>
            </w:r>
          </w:p>
        </w:tc>
        <w:tc>
          <w:tcPr>
            <w:tcW w:w="2405" w:type="dxa"/>
            <w:tcBorders>
              <w:top w:val="nil"/>
              <w:left w:val="nil"/>
              <w:bottom w:val="single" w:sz="4" w:space="0" w:color="auto"/>
              <w:right w:val="single" w:sz="4" w:space="0" w:color="auto"/>
            </w:tcBorders>
            <w:shd w:val="clear" w:color="auto" w:fill="auto"/>
            <w:noWrap/>
            <w:vAlign w:val="center"/>
            <w:hideMark/>
          </w:tcPr>
          <w:p w14:paraId="6C883BD1" w14:textId="77777777" w:rsidR="004724E1" w:rsidRPr="004724E1" w:rsidRDefault="004724E1" w:rsidP="004724E1">
            <w:pPr>
              <w:rPr>
                <w:color w:val="000000"/>
                <w:sz w:val="18"/>
                <w:szCs w:val="18"/>
              </w:rPr>
            </w:pPr>
            <w:r w:rsidRPr="004724E1">
              <w:rPr>
                <w:color w:val="000000"/>
                <w:sz w:val="18"/>
                <w:szCs w:val="18"/>
              </w:rPr>
              <w:t>224 (52.8%)</w:t>
            </w:r>
          </w:p>
        </w:tc>
        <w:tc>
          <w:tcPr>
            <w:tcW w:w="2160" w:type="dxa"/>
            <w:tcBorders>
              <w:top w:val="nil"/>
              <w:left w:val="nil"/>
              <w:bottom w:val="single" w:sz="4" w:space="0" w:color="auto"/>
              <w:right w:val="single" w:sz="4" w:space="0" w:color="auto"/>
            </w:tcBorders>
            <w:shd w:val="clear" w:color="auto" w:fill="auto"/>
            <w:noWrap/>
            <w:vAlign w:val="center"/>
            <w:hideMark/>
          </w:tcPr>
          <w:p w14:paraId="416BBDFB" w14:textId="77777777" w:rsidR="004724E1" w:rsidRPr="004724E1" w:rsidRDefault="004724E1" w:rsidP="004724E1">
            <w:pPr>
              <w:rPr>
                <w:color w:val="000000"/>
                <w:sz w:val="18"/>
                <w:szCs w:val="18"/>
              </w:rPr>
            </w:pPr>
            <w:r w:rsidRPr="004724E1">
              <w:rPr>
                <w:color w:val="000000"/>
                <w:sz w:val="18"/>
                <w:szCs w:val="18"/>
              </w:rPr>
              <w:t>27 (3.4%)</w:t>
            </w:r>
          </w:p>
        </w:tc>
      </w:tr>
      <w:tr w:rsidR="004724E1" w:rsidRPr="00830CEE" w14:paraId="556770E3" w14:textId="77777777" w:rsidTr="00F579E8">
        <w:trPr>
          <w:trHeight w:val="320"/>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66190D3F" w14:textId="031F4465" w:rsidR="004724E1" w:rsidRPr="004724E1" w:rsidRDefault="004724E1" w:rsidP="004724E1">
            <w:pPr>
              <w:rPr>
                <w:color w:val="000000"/>
                <w:sz w:val="18"/>
                <w:szCs w:val="18"/>
              </w:rPr>
            </w:pPr>
            <w:r w:rsidRPr="004724E1">
              <w:rPr>
                <w:color w:val="000000"/>
                <w:sz w:val="18"/>
                <w:szCs w:val="18"/>
              </w:rPr>
              <w:t xml:space="preserve">RTOG 0539 </w:t>
            </w:r>
            <w:r>
              <w:rPr>
                <w:color w:val="000000"/>
                <w:sz w:val="18"/>
                <w:szCs w:val="18"/>
              </w:rPr>
              <w:t>i</w:t>
            </w:r>
            <w:r w:rsidRPr="004724E1">
              <w:rPr>
                <w:color w:val="000000"/>
                <w:sz w:val="18"/>
                <w:szCs w:val="18"/>
              </w:rPr>
              <w:t>ntermediate</w:t>
            </w:r>
            <w:r>
              <w:rPr>
                <w:color w:val="000000"/>
                <w:sz w:val="18"/>
                <w:szCs w:val="18"/>
              </w:rPr>
              <w:t xml:space="preserve"> clinical risk</w:t>
            </w:r>
          </w:p>
        </w:tc>
        <w:tc>
          <w:tcPr>
            <w:tcW w:w="2095" w:type="dxa"/>
            <w:tcBorders>
              <w:top w:val="nil"/>
              <w:left w:val="nil"/>
              <w:bottom w:val="single" w:sz="4" w:space="0" w:color="auto"/>
              <w:right w:val="single" w:sz="4" w:space="0" w:color="auto"/>
            </w:tcBorders>
            <w:shd w:val="clear" w:color="auto" w:fill="auto"/>
            <w:noWrap/>
            <w:vAlign w:val="center"/>
            <w:hideMark/>
          </w:tcPr>
          <w:p w14:paraId="6A1E0A9E" w14:textId="77777777" w:rsidR="004724E1" w:rsidRPr="004724E1" w:rsidRDefault="004724E1" w:rsidP="004724E1">
            <w:pPr>
              <w:rPr>
                <w:color w:val="000000"/>
                <w:sz w:val="18"/>
                <w:szCs w:val="18"/>
              </w:rPr>
            </w:pPr>
            <w:r w:rsidRPr="004724E1">
              <w:rPr>
                <w:color w:val="000000"/>
                <w:sz w:val="18"/>
                <w:szCs w:val="18"/>
              </w:rPr>
              <w:t>32 (21.3%)</w:t>
            </w:r>
          </w:p>
        </w:tc>
        <w:tc>
          <w:tcPr>
            <w:tcW w:w="2405" w:type="dxa"/>
            <w:tcBorders>
              <w:top w:val="nil"/>
              <w:left w:val="nil"/>
              <w:bottom w:val="single" w:sz="4" w:space="0" w:color="auto"/>
              <w:right w:val="single" w:sz="4" w:space="0" w:color="auto"/>
            </w:tcBorders>
            <w:shd w:val="clear" w:color="auto" w:fill="auto"/>
            <w:noWrap/>
            <w:vAlign w:val="center"/>
            <w:hideMark/>
          </w:tcPr>
          <w:p w14:paraId="1D8A3C59" w14:textId="77777777" w:rsidR="004724E1" w:rsidRPr="004724E1" w:rsidRDefault="004724E1" w:rsidP="004724E1">
            <w:pPr>
              <w:rPr>
                <w:color w:val="000000"/>
                <w:sz w:val="18"/>
                <w:szCs w:val="18"/>
              </w:rPr>
            </w:pPr>
            <w:r w:rsidRPr="004724E1">
              <w:rPr>
                <w:color w:val="000000"/>
                <w:sz w:val="18"/>
                <w:szCs w:val="18"/>
              </w:rPr>
              <w:t>80 (53.3%)</w:t>
            </w:r>
          </w:p>
        </w:tc>
        <w:tc>
          <w:tcPr>
            <w:tcW w:w="2160" w:type="dxa"/>
            <w:tcBorders>
              <w:top w:val="nil"/>
              <w:left w:val="nil"/>
              <w:bottom w:val="single" w:sz="4" w:space="0" w:color="auto"/>
              <w:right w:val="single" w:sz="4" w:space="0" w:color="auto"/>
            </w:tcBorders>
            <w:shd w:val="clear" w:color="auto" w:fill="auto"/>
            <w:noWrap/>
            <w:vAlign w:val="center"/>
            <w:hideMark/>
          </w:tcPr>
          <w:p w14:paraId="5B39D9DA" w14:textId="77777777" w:rsidR="004724E1" w:rsidRPr="004724E1" w:rsidRDefault="004724E1" w:rsidP="004724E1">
            <w:pPr>
              <w:rPr>
                <w:color w:val="000000"/>
                <w:sz w:val="18"/>
                <w:szCs w:val="18"/>
              </w:rPr>
            </w:pPr>
            <w:r w:rsidRPr="004724E1">
              <w:rPr>
                <w:color w:val="000000"/>
                <w:sz w:val="18"/>
                <w:szCs w:val="18"/>
              </w:rPr>
              <w:t>38 (25.3%)</w:t>
            </w:r>
          </w:p>
        </w:tc>
      </w:tr>
      <w:tr w:rsidR="004724E1" w:rsidRPr="00830CEE" w14:paraId="6DAC5573" w14:textId="77777777" w:rsidTr="00F579E8">
        <w:trPr>
          <w:trHeight w:val="320"/>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7C62957E" w14:textId="57B4E7D3" w:rsidR="004724E1" w:rsidRPr="004724E1" w:rsidRDefault="004724E1" w:rsidP="004724E1">
            <w:pPr>
              <w:rPr>
                <w:color w:val="000000"/>
                <w:sz w:val="18"/>
                <w:szCs w:val="18"/>
              </w:rPr>
            </w:pPr>
            <w:r w:rsidRPr="004724E1">
              <w:rPr>
                <w:color w:val="000000"/>
                <w:sz w:val="18"/>
                <w:szCs w:val="18"/>
              </w:rPr>
              <w:t xml:space="preserve">RTOG 0539 </w:t>
            </w:r>
            <w:r>
              <w:rPr>
                <w:color w:val="000000"/>
                <w:sz w:val="18"/>
                <w:szCs w:val="18"/>
              </w:rPr>
              <w:t>h</w:t>
            </w:r>
            <w:r w:rsidRPr="004724E1">
              <w:rPr>
                <w:color w:val="000000"/>
                <w:sz w:val="18"/>
                <w:szCs w:val="18"/>
              </w:rPr>
              <w:t>igh</w:t>
            </w:r>
            <w:r>
              <w:rPr>
                <w:color w:val="000000"/>
                <w:sz w:val="18"/>
                <w:szCs w:val="18"/>
              </w:rPr>
              <w:t xml:space="preserve"> clinical risk</w:t>
            </w:r>
          </w:p>
        </w:tc>
        <w:tc>
          <w:tcPr>
            <w:tcW w:w="2095" w:type="dxa"/>
            <w:tcBorders>
              <w:top w:val="nil"/>
              <w:left w:val="nil"/>
              <w:bottom w:val="single" w:sz="4" w:space="0" w:color="auto"/>
              <w:right w:val="single" w:sz="4" w:space="0" w:color="auto"/>
            </w:tcBorders>
            <w:shd w:val="clear" w:color="auto" w:fill="auto"/>
            <w:noWrap/>
            <w:vAlign w:val="center"/>
            <w:hideMark/>
          </w:tcPr>
          <w:p w14:paraId="6D0E0B97" w14:textId="77777777" w:rsidR="004724E1" w:rsidRPr="004724E1" w:rsidRDefault="004724E1" w:rsidP="004724E1">
            <w:pPr>
              <w:rPr>
                <w:color w:val="000000"/>
                <w:sz w:val="18"/>
                <w:szCs w:val="18"/>
              </w:rPr>
            </w:pPr>
            <w:r w:rsidRPr="004724E1">
              <w:rPr>
                <w:color w:val="000000"/>
                <w:sz w:val="18"/>
                <w:szCs w:val="18"/>
              </w:rPr>
              <w:t>16 (7.3%)</w:t>
            </w:r>
          </w:p>
        </w:tc>
        <w:tc>
          <w:tcPr>
            <w:tcW w:w="2405" w:type="dxa"/>
            <w:tcBorders>
              <w:top w:val="nil"/>
              <w:left w:val="nil"/>
              <w:bottom w:val="single" w:sz="4" w:space="0" w:color="auto"/>
              <w:right w:val="single" w:sz="4" w:space="0" w:color="auto"/>
            </w:tcBorders>
            <w:shd w:val="clear" w:color="auto" w:fill="auto"/>
            <w:noWrap/>
            <w:vAlign w:val="center"/>
            <w:hideMark/>
          </w:tcPr>
          <w:p w14:paraId="4EDF93C5" w14:textId="77777777" w:rsidR="004724E1" w:rsidRPr="004724E1" w:rsidRDefault="004724E1" w:rsidP="004724E1">
            <w:pPr>
              <w:rPr>
                <w:color w:val="000000"/>
                <w:sz w:val="18"/>
                <w:szCs w:val="18"/>
              </w:rPr>
            </w:pPr>
            <w:r w:rsidRPr="004724E1">
              <w:rPr>
                <w:color w:val="000000"/>
                <w:sz w:val="18"/>
                <w:szCs w:val="18"/>
              </w:rPr>
              <w:t>75 (34.3%)</w:t>
            </w:r>
          </w:p>
        </w:tc>
        <w:tc>
          <w:tcPr>
            <w:tcW w:w="2160" w:type="dxa"/>
            <w:tcBorders>
              <w:top w:val="nil"/>
              <w:left w:val="nil"/>
              <w:bottom w:val="single" w:sz="4" w:space="0" w:color="auto"/>
              <w:right w:val="single" w:sz="4" w:space="0" w:color="auto"/>
            </w:tcBorders>
            <w:shd w:val="clear" w:color="auto" w:fill="auto"/>
            <w:noWrap/>
            <w:vAlign w:val="center"/>
            <w:hideMark/>
          </w:tcPr>
          <w:p w14:paraId="7234C667" w14:textId="77777777" w:rsidR="004724E1" w:rsidRPr="004724E1" w:rsidRDefault="004724E1" w:rsidP="004724E1">
            <w:pPr>
              <w:rPr>
                <w:color w:val="000000"/>
                <w:sz w:val="18"/>
                <w:szCs w:val="18"/>
              </w:rPr>
            </w:pPr>
            <w:r w:rsidRPr="004724E1">
              <w:rPr>
                <w:color w:val="000000"/>
                <w:sz w:val="18"/>
                <w:szCs w:val="18"/>
              </w:rPr>
              <w:t>128 (58.4%)</w:t>
            </w:r>
          </w:p>
        </w:tc>
      </w:tr>
    </w:tbl>
    <w:p w14:paraId="74EBE91E" w14:textId="2B57709D" w:rsidR="00830CEE" w:rsidRDefault="009F0A2F">
      <w:pPr>
        <w:spacing w:after="120" w:line="360" w:lineRule="auto"/>
        <w:rPr>
          <w:bCs/>
        </w:rPr>
      </w:pPr>
      <w:r>
        <w:rPr>
          <w:bCs/>
        </w:rPr>
        <w:t>Reclassification rate defined as sum of non-diagonal values: N=412 of 793, 52.0%.</w:t>
      </w:r>
      <w:r w:rsidR="00C07C58">
        <w:rPr>
          <w:bCs/>
        </w:rPr>
        <w:t xml:space="preserve"> Postoperative refinement rate de</w:t>
      </w:r>
      <w:r w:rsidR="004724E1">
        <w:rPr>
          <w:bCs/>
        </w:rPr>
        <w:t>f</w:t>
      </w:r>
      <w:r w:rsidR="00C07C58">
        <w:rPr>
          <w:bCs/>
        </w:rPr>
        <w:t xml:space="preserve">ined as sum of </w:t>
      </w:r>
      <w:r w:rsidR="004724E1">
        <w:rPr>
          <w:bCs/>
        </w:rPr>
        <w:t>g</w:t>
      </w:r>
      <w:r w:rsidR="00C07C58">
        <w:rPr>
          <w:bCs/>
        </w:rPr>
        <w:t>ene expression low:</w:t>
      </w:r>
      <w:r w:rsidR="004724E1">
        <w:rPr>
          <w:bCs/>
        </w:rPr>
        <w:t>u</w:t>
      </w:r>
      <w:r w:rsidR="00C07C58">
        <w:rPr>
          <w:bCs/>
        </w:rPr>
        <w:t xml:space="preserve">nfavorable, </w:t>
      </w:r>
      <w:r w:rsidR="004724E1">
        <w:rPr>
          <w:bCs/>
        </w:rPr>
        <w:t>g</w:t>
      </w:r>
      <w:r w:rsidR="00C07C58">
        <w:rPr>
          <w:bCs/>
        </w:rPr>
        <w:t>ene expression intermediate/high:</w:t>
      </w:r>
      <w:r w:rsidR="004724E1">
        <w:rPr>
          <w:bCs/>
        </w:rPr>
        <w:t>f</w:t>
      </w:r>
      <w:r w:rsidR="00C07C58">
        <w:rPr>
          <w:bCs/>
        </w:rPr>
        <w:t>avorable, divided by all available samples, or N=235 of 789, 29.8%.</w:t>
      </w:r>
    </w:p>
    <w:tbl>
      <w:tblPr>
        <w:tblW w:w="9445" w:type="dxa"/>
        <w:tblLook w:val="04A0" w:firstRow="1" w:lastRow="0" w:firstColumn="1" w:lastColumn="0" w:noHBand="0" w:noVBand="1"/>
      </w:tblPr>
      <w:tblGrid>
        <w:gridCol w:w="2785"/>
        <w:gridCol w:w="2095"/>
        <w:gridCol w:w="2405"/>
        <w:gridCol w:w="2160"/>
      </w:tblGrid>
      <w:tr w:rsidR="00830CEE" w:rsidRPr="00830CEE" w14:paraId="2EF23E0C" w14:textId="77777777" w:rsidTr="00F579E8">
        <w:trPr>
          <w:trHeight w:val="224"/>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1F64C" w14:textId="77777777" w:rsidR="00830CEE" w:rsidRPr="004724E1" w:rsidRDefault="00830CEE" w:rsidP="004724E1">
            <w:pPr>
              <w:rPr>
                <w:b/>
                <w:bCs/>
                <w:color w:val="000000"/>
                <w:sz w:val="18"/>
                <w:szCs w:val="18"/>
              </w:rPr>
            </w:pPr>
            <w:r w:rsidRPr="004724E1">
              <w:rPr>
                <w:b/>
                <w:bCs/>
                <w:color w:val="000000"/>
                <w:sz w:val="18"/>
                <w:szCs w:val="18"/>
              </w:rPr>
              <w:t>Prospective Clinical Validation Cohort</w:t>
            </w:r>
          </w:p>
        </w:tc>
        <w:tc>
          <w:tcPr>
            <w:tcW w:w="2095" w:type="dxa"/>
            <w:tcBorders>
              <w:top w:val="single" w:sz="4" w:space="0" w:color="auto"/>
              <w:left w:val="nil"/>
              <w:bottom w:val="single" w:sz="4" w:space="0" w:color="auto"/>
              <w:right w:val="single" w:sz="4" w:space="0" w:color="auto"/>
            </w:tcBorders>
            <w:shd w:val="clear" w:color="auto" w:fill="auto"/>
            <w:noWrap/>
            <w:vAlign w:val="center"/>
            <w:hideMark/>
          </w:tcPr>
          <w:p w14:paraId="3F4295FB" w14:textId="578D9DC6" w:rsidR="00830CEE" w:rsidRPr="004724E1" w:rsidRDefault="00830CEE" w:rsidP="004724E1">
            <w:pPr>
              <w:rPr>
                <w:b/>
                <w:bCs/>
                <w:color w:val="000000"/>
                <w:sz w:val="18"/>
                <w:szCs w:val="18"/>
              </w:rPr>
            </w:pPr>
            <w:r w:rsidRPr="004724E1">
              <w:rPr>
                <w:b/>
                <w:bCs/>
                <w:color w:val="000000"/>
                <w:sz w:val="18"/>
                <w:szCs w:val="18"/>
              </w:rPr>
              <w:t xml:space="preserve">Gene </w:t>
            </w:r>
            <w:r w:rsidR="004724E1">
              <w:rPr>
                <w:b/>
                <w:bCs/>
                <w:color w:val="000000"/>
                <w:sz w:val="18"/>
                <w:szCs w:val="18"/>
              </w:rPr>
              <w:t>e</w:t>
            </w:r>
            <w:r w:rsidRPr="004724E1">
              <w:rPr>
                <w:b/>
                <w:bCs/>
                <w:color w:val="000000"/>
                <w:sz w:val="18"/>
                <w:szCs w:val="18"/>
              </w:rPr>
              <w:t xml:space="preserve">xpression </w:t>
            </w:r>
            <w:r w:rsidR="004724E1">
              <w:rPr>
                <w:b/>
                <w:bCs/>
                <w:color w:val="000000"/>
                <w:sz w:val="18"/>
                <w:szCs w:val="18"/>
              </w:rPr>
              <w:t>l</w:t>
            </w:r>
            <w:r w:rsidRPr="004724E1">
              <w:rPr>
                <w:b/>
                <w:bCs/>
                <w:color w:val="000000"/>
                <w:sz w:val="18"/>
                <w:szCs w:val="18"/>
              </w:rPr>
              <w:t>ow</w:t>
            </w:r>
            <w:r w:rsidR="004724E1">
              <w:rPr>
                <w:b/>
                <w:bCs/>
                <w:color w:val="000000"/>
                <w:sz w:val="18"/>
                <w:szCs w:val="18"/>
              </w:rPr>
              <w:t xml:space="preserve"> risk</w:t>
            </w:r>
          </w:p>
        </w:tc>
        <w:tc>
          <w:tcPr>
            <w:tcW w:w="2405" w:type="dxa"/>
            <w:tcBorders>
              <w:top w:val="single" w:sz="4" w:space="0" w:color="auto"/>
              <w:left w:val="nil"/>
              <w:bottom w:val="single" w:sz="4" w:space="0" w:color="auto"/>
              <w:right w:val="single" w:sz="4" w:space="0" w:color="auto"/>
            </w:tcBorders>
            <w:shd w:val="clear" w:color="auto" w:fill="auto"/>
            <w:noWrap/>
            <w:vAlign w:val="center"/>
            <w:hideMark/>
          </w:tcPr>
          <w:p w14:paraId="788085E3" w14:textId="4C66A9D0" w:rsidR="00830CEE" w:rsidRPr="004724E1" w:rsidRDefault="004724E1" w:rsidP="004724E1">
            <w:pPr>
              <w:rPr>
                <w:b/>
                <w:bCs/>
                <w:color w:val="000000"/>
                <w:sz w:val="18"/>
                <w:szCs w:val="18"/>
              </w:rPr>
            </w:pPr>
            <w:r w:rsidRPr="004724E1">
              <w:rPr>
                <w:b/>
                <w:bCs/>
                <w:color w:val="000000"/>
                <w:sz w:val="18"/>
                <w:szCs w:val="18"/>
              </w:rPr>
              <w:t xml:space="preserve">Gene </w:t>
            </w:r>
            <w:r>
              <w:rPr>
                <w:b/>
                <w:bCs/>
                <w:color w:val="000000"/>
                <w:sz w:val="18"/>
                <w:szCs w:val="18"/>
              </w:rPr>
              <w:t>e</w:t>
            </w:r>
            <w:r w:rsidRPr="004724E1">
              <w:rPr>
                <w:b/>
                <w:bCs/>
                <w:color w:val="000000"/>
                <w:sz w:val="18"/>
                <w:szCs w:val="18"/>
              </w:rPr>
              <w:t>xpression</w:t>
            </w:r>
            <w:r>
              <w:rPr>
                <w:b/>
                <w:bCs/>
                <w:color w:val="000000"/>
                <w:sz w:val="18"/>
                <w:szCs w:val="18"/>
              </w:rPr>
              <w:t xml:space="preserve"> intermediate risk</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759D4F25" w14:textId="5324C39F" w:rsidR="00830CEE" w:rsidRPr="004724E1" w:rsidRDefault="004724E1" w:rsidP="004724E1">
            <w:pPr>
              <w:rPr>
                <w:b/>
                <w:bCs/>
                <w:color w:val="000000"/>
                <w:sz w:val="18"/>
                <w:szCs w:val="18"/>
              </w:rPr>
            </w:pPr>
            <w:r w:rsidRPr="004724E1">
              <w:rPr>
                <w:b/>
                <w:bCs/>
                <w:color w:val="000000"/>
                <w:sz w:val="18"/>
                <w:szCs w:val="18"/>
              </w:rPr>
              <w:t xml:space="preserve">Gene </w:t>
            </w:r>
            <w:r>
              <w:rPr>
                <w:b/>
                <w:bCs/>
                <w:color w:val="000000"/>
                <w:sz w:val="18"/>
                <w:szCs w:val="18"/>
              </w:rPr>
              <w:t>e</w:t>
            </w:r>
            <w:r w:rsidRPr="004724E1">
              <w:rPr>
                <w:b/>
                <w:bCs/>
                <w:color w:val="000000"/>
                <w:sz w:val="18"/>
                <w:szCs w:val="18"/>
              </w:rPr>
              <w:t>xpression</w:t>
            </w:r>
            <w:r>
              <w:rPr>
                <w:b/>
                <w:bCs/>
                <w:color w:val="000000"/>
                <w:sz w:val="18"/>
                <w:szCs w:val="18"/>
              </w:rPr>
              <w:t xml:space="preserve"> high risk</w:t>
            </w:r>
          </w:p>
        </w:tc>
      </w:tr>
      <w:tr w:rsidR="00830CEE" w:rsidRPr="00830CEE" w14:paraId="7635DFDF" w14:textId="77777777" w:rsidTr="00F579E8">
        <w:trPr>
          <w:trHeight w:val="340"/>
        </w:trPr>
        <w:tc>
          <w:tcPr>
            <w:tcW w:w="2785" w:type="dxa"/>
            <w:tcBorders>
              <w:top w:val="nil"/>
              <w:left w:val="single" w:sz="4" w:space="0" w:color="auto"/>
              <w:bottom w:val="single" w:sz="4" w:space="0" w:color="auto"/>
              <w:right w:val="single" w:sz="4" w:space="0" w:color="auto"/>
            </w:tcBorders>
            <w:shd w:val="clear" w:color="auto" w:fill="auto"/>
            <w:vAlign w:val="center"/>
            <w:hideMark/>
          </w:tcPr>
          <w:p w14:paraId="1E4312BA" w14:textId="275AB6D1" w:rsidR="00830CEE" w:rsidRPr="004724E1" w:rsidRDefault="00830CEE" w:rsidP="004724E1">
            <w:pPr>
              <w:rPr>
                <w:color w:val="000000"/>
                <w:sz w:val="18"/>
                <w:szCs w:val="18"/>
              </w:rPr>
            </w:pPr>
            <w:r w:rsidRPr="004724E1">
              <w:rPr>
                <w:color w:val="000000"/>
                <w:sz w:val="18"/>
                <w:szCs w:val="18"/>
              </w:rPr>
              <w:t xml:space="preserve">RTOG 0539 </w:t>
            </w:r>
            <w:r w:rsidR="004724E1">
              <w:rPr>
                <w:color w:val="000000"/>
                <w:sz w:val="18"/>
                <w:szCs w:val="18"/>
              </w:rPr>
              <w:t>l</w:t>
            </w:r>
            <w:r w:rsidRPr="004724E1">
              <w:rPr>
                <w:color w:val="000000"/>
                <w:sz w:val="18"/>
                <w:szCs w:val="18"/>
              </w:rPr>
              <w:t>ow</w:t>
            </w:r>
            <w:r w:rsidR="004724E1">
              <w:rPr>
                <w:color w:val="000000"/>
                <w:sz w:val="18"/>
                <w:szCs w:val="18"/>
              </w:rPr>
              <w:t xml:space="preserve"> clinical risk</w:t>
            </w:r>
          </w:p>
        </w:tc>
        <w:tc>
          <w:tcPr>
            <w:tcW w:w="2095" w:type="dxa"/>
            <w:tcBorders>
              <w:top w:val="nil"/>
              <w:left w:val="nil"/>
              <w:bottom w:val="single" w:sz="4" w:space="0" w:color="auto"/>
              <w:right w:val="single" w:sz="4" w:space="0" w:color="auto"/>
            </w:tcBorders>
            <w:shd w:val="clear" w:color="auto" w:fill="auto"/>
            <w:noWrap/>
            <w:vAlign w:val="center"/>
            <w:hideMark/>
          </w:tcPr>
          <w:p w14:paraId="0E321E2C" w14:textId="77777777" w:rsidR="00830CEE" w:rsidRPr="004724E1" w:rsidRDefault="00830CEE" w:rsidP="004724E1">
            <w:pPr>
              <w:rPr>
                <w:color w:val="000000"/>
                <w:sz w:val="18"/>
                <w:szCs w:val="18"/>
              </w:rPr>
            </w:pPr>
            <w:r w:rsidRPr="004724E1">
              <w:rPr>
                <w:color w:val="000000"/>
                <w:sz w:val="18"/>
                <w:szCs w:val="18"/>
              </w:rPr>
              <w:t>27 (67.5%)</w:t>
            </w:r>
          </w:p>
        </w:tc>
        <w:tc>
          <w:tcPr>
            <w:tcW w:w="2405" w:type="dxa"/>
            <w:tcBorders>
              <w:top w:val="nil"/>
              <w:left w:val="nil"/>
              <w:bottom w:val="single" w:sz="4" w:space="0" w:color="auto"/>
              <w:right w:val="single" w:sz="4" w:space="0" w:color="auto"/>
            </w:tcBorders>
            <w:shd w:val="clear" w:color="auto" w:fill="auto"/>
            <w:noWrap/>
            <w:vAlign w:val="center"/>
            <w:hideMark/>
          </w:tcPr>
          <w:p w14:paraId="33BC4518" w14:textId="77777777" w:rsidR="00830CEE" w:rsidRPr="004724E1" w:rsidRDefault="00830CEE" w:rsidP="004724E1">
            <w:pPr>
              <w:rPr>
                <w:color w:val="000000"/>
                <w:sz w:val="18"/>
                <w:szCs w:val="18"/>
              </w:rPr>
            </w:pPr>
            <w:r w:rsidRPr="004724E1">
              <w:rPr>
                <w:color w:val="000000"/>
                <w:sz w:val="18"/>
                <w:szCs w:val="18"/>
              </w:rPr>
              <w:t>13 (22.5%)</w:t>
            </w:r>
          </w:p>
        </w:tc>
        <w:tc>
          <w:tcPr>
            <w:tcW w:w="2160" w:type="dxa"/>
            <w:tcBorders>
              <w:top w:val="nil"/>
              <w:left w:val="nil"/>
              <w:bottom w:val="single" w:sz="4" w:space="0" w:color="auto"/>
              <w:right w:val="single" w:sz="4" w:space="0" w:color="auto"/>
            </w:tcBorders>
            <w:shd w:val="clear" w:color="auto" w:fill="auto"/>
            <w:noWrap/>
            <w:vAlign w:val="center"/>
            <w:hideMark/>
          </w:tcPr>
          <w:p w14:paraId="58B36BA8" w14:textId="77777777" w:rsidR="00830CEE" w:rsidRPr="004724E1" w:rsidRDefault="00830CEE" w:rsidP="004724E1">
            <w:pPr>
              <w:rPr>
                <w:color w:val="000000"/>
                <w:sz w:val="18"/>
                <w:szCs w:val="18"/>
              </w:rPr>
            </w:pPr>
            <w:r w:rsidRPr="004724E1">
              <w:rPr>
                <w:color w:val="000000"/>
                <w:sz w:val="18"/>
                <w:szCs w:val="18"/>
              </w:rPr>
              <w:t>0 (0.0%)</w:t>
            </w:r>
          </w:p>
        </w:tc>
      </w:tr>
      <w:tr w:rsidR="00830CEE" w:rsidRPr="00830CEE" w14:paraId="25474059" w14:textId="77777777" w:rsidTr="00F579E8">
        <w:trPr>
          <w:trHeight w:val="320"/>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0BDA7808" w14:textId="05FB3122" w:rsidR="00830CEE" w:rsidRPr="004724E1" w:rsidRDefault="00830CEE" w:rsidP="004724E1">
            <w:pPr>
              <w:rPr>
                <w:color w:val="000000"/>
                <w:sz w:val="18"/>
                <w:szCs w:val="18"/>
              </w:rPr>
            </w:pPr>
            <w:r w:rsidRPr="004724E1">
              <w:rPr>
                <w:color w:val="000000"/>
                <w:sz w:val="18"/>
                <w:szCs w:val="18"/>
              </w:rPr>
              <w:t xml:space="preserve">RTOG 0539 </w:t>
            </w:r>
            <w:r w:rsidR="004724E1">
              <w:rPr>
                <w:color w:val="000000"/>
                <w:sz w:val="18"/>
                <w:szCs w:val="18"/>
              </w:rPr>
              <w:t>i</w:t>
            </w:r>
            <w:r w:rsidRPr="004724E1">
              <w:rPr>
                <w:color w:val="000000"/>
                <w:sz w:val="18"/>
                <w:szCs w:val="18"/>
              </w:rPr>
              <w:t>ntermediate</w:t>
            </w:r>
            <w:r w:rsidR="004724E1">
              <w:rPr>
                <w:color w:val="000000"/>
                <w:sz w:val="18"/>
                <w:szCs w:val="18"/>
              </w:rPr>
              <w:t xml:space="preserve"> clinical risk</w:t>
            </w:r>
          </w:p>
        </w:tc>
        <w:tc>
          <w:tcPr>
            <w:tcW w:w="2095" w:type="dxa"/>
            <w:tcBorders>
              <w:top w:val="nil"/>
              <w:left w:val="nil"/>
              <w:bottom w:val="single" w:sz="4" w:space="0" w:color="auto"/>
              <w:right w:val="single" w:sz="4" w:space="0" w:color="auto"/>
            </w:tcBorders>
            <w:shd w:val="clear" w:color="auto" w:fill="auto"/>
            <w:noWrap/>
            <w:vAlign w:val="center"/>
            <w:hideMark/>
          </w:tcPr>
          <w:p w14:paraId="573B94DC" w14:textId="77777777" w:rsidR="00830CEE" w:rsidRPr="004724E1" w:rsidRDefault="00830CEE" w:rsidP="004724E1">
            <w:pPr>
              <w:rPr>
                <w:color w:val="000000"/>
                <w:sz w:val="18"/>
                <w:szCs w:val="18"/>
              </w:rPr>
            </w:pPr>
            <w:r w:rsidRPr="004724E1">
              <w:rPr>
                <w:color w:val="000000"/>
                <w:sz w:val="18"/>
                <w:szCs w:val="18"/>
              </w:rPr>
              <w:t>10 (30.3%)</w:t>
            </w:r>
          </w:p>
        </w:tc>
        <w:tc>
          <w:tcPr>
            <w:tcW w:w="2405" w:type="dxa"/>
            <w:tcBorders>
              <w:top w:val="nil"/>
              <w:left w:val="nil"/>
              <w:bottom w:val="single" w:sz="4" w:space="0" w:color="auto"/>
              <w:right w:val="single" w:sz="4" w:space="0" w:color="auto"/>
            </w:tcBorders>
            <w:shd w:val="clear" w:color="auto" w:fill="auto"/>
            <w:noWrap/>
            <w:vAlign w:val="center"/>
            <w:hideMark/>
          </w:tcPr>
          <w:p w14:paraId="23CAA07A" w14:textId="77777777" w:rsidR="00830CEE" w:rsidRPr="004724E1" w:rsidRDefault="00830CEE" w:rsidP="004724E1">
            <w:pPr>
              <w:rPr>
                <w:color w:val="000000"/>
                <w:sz w:val="18"/>
                <w:szCs w:val="18"/>
              </w:rPr>
            </w:pPr>
            <w:r w:rsidRPr="004724E1">
              <w:rPr>
                <w:color w:val="000000"/>
                <w:sz w:val="18"/>
                <w:szCs w:val="18"/>
              </w:rPr>
              <w:t>20 (60.6%)</w:t>
            </w:r>
          </w:p>
        </w:tc>
        <w:tc>
          <w:tcPr>
            <w:tcW w:w="2160" w:type="dxa"/>
            <w:tcBorders>
              <w:top w:val="nil"/>
              <w:left w:val="nil"/>
              <w:bottom w:val="single" w:sz="4" w:space="0" w:color="auto"/>
              <w:right w:val="single" w:sz="4" w:space="0" w:color="auto"/>
            </w:tcBorders>
            <w:shd w:val="clear" w:color="auto" w:fill="auto"/>
            <w:noWrap/>
            <w:vAlign w:val="center"/>
            <w:hideMark/>
          </w:tcPr>
          <w:p w14:paraId="2F7B3905" w14:textId="77777777" w:rsidR="00830CEE" w:rsidRPr="004724E1" w:rsidRDefault="00830CEE" w:rsidP="004724E1">
            <w:pPr>
              <w:rPr>
                <w:color w:val="000000"/>
                <w:sz w:val="18"/>
                <w:szCs w:val="18"/>
              </w:rPr>
            </w:pPr>
            <w:r w:rsidRPr="004724E1">
              <w:rPr>
                <w:color w:val="000000"/>
                <w:sz w:val="18"/>
                <w:szCs w:val="18"/>
              </w:rPr>
              <w:t>3 (9.0%)</w:t>
            </w:r>
          </w:p>
        </w:tc>
      </w:tr>
      <w:tr w:rsidR="00830CEE" w:rsidRPr="00830CEE" w14:paraId="580A1B46" w14:textId="77777777" w:rsidTr="00F579E8">
        <w:trPr>
          <w:trHeight w:val="320"/>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397C4D68" w14:textId="1FA5EC60" w:rsidR="00830CEE" w:rsidRPr="004724E1" w:rsidRDefault="00830CEE" w:rsidP="004724E1">
            <w:pPr>
              <w:rPr>
                <w:color w:val="000000"/>
                <w:sz w:val="18"/>
                <w:szCs w:val="18"/>
              </w:rPr>
            </w:pPr>
            <w:r w:rsidRPr="004724E1">
              <w:rPr>
                <w:color w:val="000000"/>
                <w:sz w:val="18"/>
                <w:szCs w:val="18"/>
              </w:rPr>
              <w:t xml:space="preserve">RTOG 0539 </w:t>
            </w:r>
            <w:r w:rsidR="004724E1">
              <w:rPr>
                <w:color w:val="000000"/>
                <w:sz w:val="18"/>
                <w:szCs w:val="18"/>
              </w:rPr>
              <w:t>h</w:t>
            </w:r>
            <w:r w:rsidRPr="004724E1">
              <w:rPr>
                <w:color w:val="000000"/>
                <w:sz w:val="18"/>
                <w:szCs w:val="18"/>
              </w:rPr>
              <w:t>igh</w:t>
            </w:r>
            <w:r w:rsidR="004724E1">
              <w:rPr>
                <w:color w:val="000000"/>
                <w:sz w:val="18"/>
                <w:szCs w:val="18"/>
              </w:rPr>
              <w:t xml:space="preserve"> clinical risk</w:t>
            </w:r>
          </w:p>
        </w:tc>
        <w:tc>
          <w:tcPr>
            <w:tcW w:w="2095" w:type="dxa"/>
            <w:tcBorders>
              <w:top w:val="nil"/>
              <w:left w:val="nil"/>
              <w:bottom w:val="single" w:sz="4" w:space="0" w:color="auto"/>
              <w:right w:val="single" w:sz="4" w:space="0" w:color="auto"/>
            </w:tcBorders>
            <w:shd w:val="clear" w:color="auto" w:fill="auto"/>
            <w:noWrap/>
            <w:vAlign w:val="center"/>
            <w:hideMark/>
          </w:tcPr>
          <w:p w14:paraId="70B255A9" w14:textId="77777777" w:rsidR="00830CEE" w:rsidRPr="004724E1" w:rsidRDefault="00830CEE" w:rsidP="004724E1">
            <w:pPr>
              <w:rPr>
                <w:color w:val="000000"/>
                <w:sz w:val="18"/>
                <w:szCs w:val="18"/>
              </w:rPr>
            </w:pPr>
            <w:r w:rsidRPr="004724E1">
              <w:rPr>
                <w:color w:val="000000"/>
                <w:sz w:val="18"/>
                <w:szCs w:val="18"/>
              </w:rPr>
              <w:t>2 (6.7%)</w:t>
            </w:r>
          </w:p>
        </w:tc>
        <w:tc>
          <w:tcPr>
            <w:tcW w:w="2405" w:type="dxa"/>
            <w:tcBorders>
              <w:top w:val="nil"/>
              <w:left w:val="nil"/>
              <w:bottom w:val="single" w:sz="4" w:space="0" w:color="auto"/>
              <w:right w:val="single" w:sz="4" w:space="0" w:color="auto"/>
            </w:tcBorders>
            <w:shd w:val="clear" w:color="auto" w:fill="auto"/>
            <w:noWrap/>
            <w:vAlign w:val="center"/>
            <w:hideMark/>
          </w:tcPr>
          <w:p w14:paraId="048D2E28" w14:textId="77777777" w:rsidR="00830CEE" w:rsidRPr="004724E1" w:rsidRDefault="00830CEE" w:rsidP="004724E1">
            <w:pPr>
              <w:rPr>
                <w:color w:val="000000"/>
                <w:sz w:val="18"/>
                <w:szCs w:val="18"/>
              </w:rPr>
            </w:pPr>
            <w:r w:rsidRPr="004724E1">
              <w:rPr>
                <w:color w:val="000000"/>
                <w:sz w:val="18"/>
                <w:szCs w:val="18"/>
              </w:rPr>
              <w:t>13 (43.3%)</w:t>
            </w:r>
          </w:p>
        </w:tc>
        <w:tc>
          <w:tcPr>
            <w:tcW w:w="2160" w:type="dxa"/>
            <w:tcBorders>
              <w:top w:val="nil"/>
              <w:left w:val="nil"/>
              <w:bottom w:val="single" w:sz="4" w:space="0" w:color="auto"/>
              <w:right w:val="single" w:sz="4" w:space="0" w:color="auto"/>
            </w:tcBorders>
            <w:shd w:val="clear" w:color="auto" w:fill="auto"/>
            <w:noWrap/>
            <w:vAlign w:val="center"/>
            <w:hideMark/>
          </w:tcPr>
          <w:p w14:paraId="37306E74" w14:textId="77777777" w:rsidR="00830CEE" w:rsidRPr="004724E1" w:rsidRDefault="00830CEE" w:rsidP="004724E1">
            <w:pPr>
              <w:rPr>
                <w:color w:val="000000"/>
                <w:sz w:val="18"/>
                <w:szCs w:val="18"/>
              </w:rPr>
            </w:pPr>
            <w:r w:rsidRPr="004724E1">
              <w:rPr>
                <w:color w:val="000000"/>
                <w:sz w:val="18"/>
                <w:szCs w:val="18"/>
              </w:rPr>
              <w:t>15 (50.0%)</w:t>
            </w:r>
          </w:p>
        </w:tc>
      </w:tr>
    </w:tbl>
    <w:p w14:paraId="061621E0" w14:textId="65A0D7A1" w:rsidR="009F0A2F" w:rsidRDefault="009F0A2F" w:rsidP="004724E1">
      <w:pPr>
        <w:spacing w:after="120" w:line="360" w:lineRule="auto"/>
        <w:rPr>
          <w:bCs/>
        </w:rPr>
      </w:pPr>
      <w:r>
        <w:rPr>
          <w:bCs/>
        </w:rPr>
        <w:t>Reclassification rate defined as sum of non-diagonal values: N=41 of 103, 39.8%.</w:t>
      </w:r>
    </w:p>
    <w:p w14:paraId="1C846867" w14:textId="166200D2" w:rsidR="00522BA6" w:rsidRPr="00CE4E1F" w:rsidRDefault="00F524D9" w:rsidP="00742F09">
      <w:pPr>
        <w:widowControl w:val="0"/>
        <w:autoSpaceDE w:val="0"/>
        <w:autoSpaceDN w:val="0"/>
        <w:adjustRightInd w:val="0"/>
        <w:spacing w:line="360" w:lineRule="auto"/>
        <w:contextualSpacing/>
        <w:jc w:val="both"/>
        <w:rPr>
          <w:b/>
          <w:bCs/>
        </w:rPr>
      </w:pPr>
      <w:r w:rsidRPr="004724E1">
        <w:br w:type="page"/>
      </w:r>
      <w:r w:rsidR="00773F71" w:rsidRPr="00CE4E1F">
        <w:rPr>
          <w:b/>
          <w:bCs/>
        </w:rPr>
        <w:lastRenderedPageBreak/>
        <w:t>Supplemental References</w:t>
      </w:r>
    </w:p>
    <w:p w14:paraId="4AEBABE3" w14:textId="56702117" w:rsidR="000F4EF5" w:rsidRPr="000F4EF5" w:rsidRDefault="00773F71" w:rsidP="00742F09">
      <w:pPr>
        <w:widowControl w:val="0"/>
        <w:autoSpaceDE w:val="0"/>
        <w:autoSpaceDN w:val="0"/>
        <w:adjustRightInd w:val="0"/>
        <w:spacing w:line="360" w:lineRule="auto"/>
        <w:ind w:left="640" w:hanging="640"/>
        <w:jc w:val="both"/>
        <w:rPr>
          <w:noProof/>
        </w:rPr>
      </w:pPr>
      <w:r w:rsidRPr="00CE4E1F">
        <w:rPr>
          <w:b/>
          <w:bCs/>
        </w:rPr>
        <w:fldChar w:fldCharType="begin" w:fldLock="1"/>
      </w:r>
      <w:r w:rsidRPr="00CE4E1F">
        <w:rPr>
          <w:b/>
          <w:bCs/>
        </w:rPr>
        <w:instrText xml:space="preserve">ADDIN Mendeley Bibliography CSL_BIBLIOGRAPHY </w:instrText>
      </w:r>
      <w:r w:rsidRPr="00CE4E1F">
        <w:rPr>
          <w:b/>
          <w:bCs/>
        </w:rPr>
        <w:fldChar w:fldCharType="separate"/>
      </w:r>
      <w:r w:rsidR="000F4EF5" w:rsidRPr="000F4EF5">
        <w:rPr>
          <w:noProof/>
        </w:rPr>
        <w:t xml:space="preserve">1. </w:t>
      </w:r>
      <w:r w:rsidR="000F4EF5" w:rsidRPr="000F4EF5">
        <w:rPr>
          <w:noProof/>
        </w:rPr>
        <w:tab/>
        <w:t xml:space="preserve">Choudhury A, Magill ST, Eaton CD, et al. Meningioma DNA methylation groups identify biological drivers and therapeutic vulnerabilities. </w:t>
      </w:r>
      <w:r w:rsidR="000F4EF5" w:rsidRPr="000F4EF5">
        <w:rPr>
          <w:i/>
          <w:iCs/>
          <w:noProof/>
        </w:rPr>
        <w:t>Nat Genet</w:t>
      </w:r>
      <w:r w:rsidR="000F4EF5" w:rsidRPr="000F4EF5">
        <w:rPr>
          <w:noProof/>
        </w:rPr>
        <w:t>. 2022;54(5):649-659. doi:10.1038/s41588-022-01061-8</w:t>
      </w:r>
    </w:p>
    <w:p w14:paraId="4E2DFCDB"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 </w:t>
      </w:r>
      <w:r w:rsidRPr="000F4EF5">
        <w:rPr>
          <w:noProof/>
        </w:rPr>
        <w:tab/>
        <w:t xml:space="preserve">Chang CW, Cheng WC, Chen CR, et al. Identification of human housekeeping genes and Tissue-Selective genes by microarray Meta-Analysis. </w:t>
      </w:r>
      <w:r w:rsidRPr="000F4EF5">
        <w:rPr>
          <w:i/>
          <w:iCs/>
          <w:noProof/>
        </w:rPr>
        <w:t>PLoS One</w:t>
      </w:r>
      <w:r w:rsidRPr="000F4EF5">
        <w:rPr>
          <w:noProof/>
        </w:rPr>
        <w:t>. 2011. doi:10.1371/journal.pone.0022859</w:t>
      </w:r>
    </w:p>
    <w:p w14:paraId="554A2BC8"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 </w:t>
      </w:r>
      <w:r w:rsidRPr="000F4EF5">
        <w:rPr>
          <w:noProof/>
        </w:rPr>
        <w:tab/>
        <w:t xml:space="preserve">Pfister C, Tatabiga MS, Roser F. Selection of suitable reference genes for quantitative real-time polymerase chain reaction in human meningiomas and arachnoidea. </w:t>
      </w:r>
      <w:r w:rsidRPr="000F4EF5">
        <w:rPr>
          <w:i/>
          <w:iCs/>
          <w:noProof/>
        </w:rPr>
        <w:t>BMC Res Notes</w:t>
      </w:r>
      <w:r w:rsidRPr="000F4EF5">
        <w:rPr>
          <w:noProof/>
        </w:rPr>
        <w:t>. 2011;4. doi:10.1186/1756-0500-4-275</w:t>
      </w:r>
    </w:p>
    <w:p w14:paraId="197E89C6"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4. </w:t>
      </w:r>
      <w:r w:rsidRPr="000F4EF5">
        <w:rPr>
          <w:noProof/>
        </w:rPr>
        <w:tab/>
        <w:t xml:space="preserve">De Ferrari L, Aitken S. Mining housekeeping genes with a Naive Bayes classifier. </w:t>
      </w:r>
      <w:r w:rsidRPr="000F4EF5">
        <w:rPr>
          <w:i/>
          <w:iCs/>
          <w:noProof/>
        </w:rPr>
        <w:t>BMC Genomics</w:t>
      </w:r>
      <w:r w:rsidRPr="000F4EF5">
        <w:rPr>
          <w:noProof/>
        </w:rPr>
        <w:t>. 2006. doi:10.1186/1471-2164-7-277</w:t>
      </w:r>
    </w:p>
    <w:p w14:paraId="26783CE9"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5. </w:t>
      </w:r>
      <w:r w:rsidRPr="000F4EF5">
        <w:rPr>
          <w:noProof/>
        </w:rPr>
        <w:tab/>
        <w:t xml:space="preserve">Chen WC, Vasudevan HN, Choudhury A, et al. A prognostic gene-expression signature and risk score for meningioma recurrence after resection. </w:t>
      </w:r>
      <w:r w:rsidRPr="000F4EF5">
        <w:rPr>
          <w:i/>
          <w:iCs/>
          <w:noProof/>
        </w:rPr>
        <w:t>Neurosurgery</w:t>
      </w:r>
      <w:r w:rsidRPr="000F4EF5">
        <w:rPr>
          <w:noProof/>
        </w:rPr>
        <w:t>. 2021;88(1):202-210. doi:10.1093/neuros/nyaa355</w:t>
      </w:r>
    </w:p>
    <w:p w14:paraId="6DC57129"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6. </w:t>
      </w:r>
      <w:r w:rsidRPr="000F4EF5">
        <w:rPr>
          <w:noProof/>
        </w:rPr>
        <w:tab/>
        <w:t xml:space="preserve">Breiman L. Bagging predictors - Springer. </w:t>
      </w:r>
      <w:r w:rsidRPr="000F4EF5">
        <w:rPr>
          <w:i/>
          <w:iCs/>
          <w:noProof/>
        </w:rPr>
        <w:t>Mach Learn</w:t>
      </w:r>
      <w:r w:rsidRPr="000F4EF5">
        <w:rPr>
          <w:noProof/>
        </w:rPr>
        <w:t>. 1996;(24):123-140.</w:t>
      </w:r>
    </w:p>
    <w:p w14:paraId="4A932CC7"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7. </w:t>
      </w:r>
      <w:r w:rsidRPr="000F4EF5">
        <w:rPr>
          <w:noProof/>
        </w:rPr>
        <w:tab/>
        <w:t xml:space="preserve">Choudhury A, Chen WC, Lucas C-HG, et al. Hypermitotic meningiomas harbor DNA methylation subgroups with distinct biological and clinical features. </w:t>
      </w:r>
      <w:r w:rsidRPr="000F4EF5">
        <w:rPr>
          <w:i/>
          <w:iCs/>
          <w:noProof/>
        </w:rPr>
        <w:t>Neuro Oncol</w:t>
      </w:r>
      <w:r w:rsidRPr="000F4EF5">
        <w:rPr>
          <w:noProof/>
        </w:rPr>
        <w:t>. October 2022. doi:10.1093/neuonc/noac224</w:t>
      </w:r>
    </w:p>
    <w:p w14:paraId="0B29A3F1"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8. </w:t>
      </w:r>
      <w:r w:rsidRPr="000F4EF5">
        <w:rPr>
          <w:noProof/>
        </w:rPr>
        <w:tab/>
        <w:t xml:space="preserve">Louis DN, Perry A, Wesseling P, et al. The 2021 WHO classification of tumors of the central nervous system: A summary. </w:t>
      </w:r>
      <w:r w:rsidRPr="000F4EF5">
        <w:rPr>
          <w:i/>
          <w:iCs/>
          <w:noProof/>
        </w:rPr>
        <w:t>Neuro Oncol</w:t>
      </w:r>
      <w:r w:rsidRPr="000F4EF5">
        <w:rPr>
          <w:noProof/>
        </w:rPr>
        <w:t>. 2021;23(8):1231-1251. doi:10.1093/neuonc/noab106</w:t>
      </w:r>
    </w:p>
    <w:p w14:paraId="5782F944"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9. </w:t>
      </w:r>
      <w:r w:rsidRPr="000F4EF5">
        <w:rPr>
          <w:noProof/>
        </w:rPr>
        <w:tab/>
        <w:t xml:space="preserve">Louis DN, Perry A, Reifenberger G, et al. The 2016 World Health Organization Classification of Tumors of the Central Nervous System: a summary. </w:t>
      </w:r>
      <w:r w:rsidRPr="000F4EF5">
        <w:rPr>
          <w:i/>
          <w:iCs/>
          <w:noProof/>
        </w:rPr>
        <w:t>Acta Neuropathol</w:t>
      </w:r>
      <w:r w:rsidRPr="000F4EF5">
        <w:rPr>
          <w:noProof/>
        </w:rPr>
        <w:t>. 2016;131(6):803-820. doi:10.1007/s00401-016-1545-1</w:t>
      </w:r>
    </w:p>
    <w:p w14:paraId="56A17FB1"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10. </w:t>
      </w:r>
      <w:r w:rsidRPr="000F4EF5">
        <w:rPr>
          <w:noProof/>
        </w:rPr>
        <w:tab/>
        <w:t xml:space="preserve">Rogers CL, Perry A, Pugh S, et al. Pathology concordance levels for meningioma classification and grading in NRG Oncology RTOG Trial 0539. </w:t>
      </w:r>
      <w:r w:rsidRPr="000F4EF5">
        <w:rPr>
          <w:i/>
          <w:iCs/>
          <w:noProof/>
        </w:rPr>
        <w:t>Neuro Oncol</w:t>
      </w:r>
      <w:r w:rsidRPr="000F4EF5">
        <w:rPr>
          <w:noProof/>
        </w:rPr>
        <w:t>. 2016;18(4):565-574. doi:10.1093/neuonc/nov247</w:t>
      </w:r>
    </w:p>
    <w:p w14:paraId="0CAC88EA"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11. </w:t>
      </w:r>
      <w:r w:rsidRPr="000F4EF5">
        <w:rPr>
          <w:noProof/>
        </w:rPr>
        <w:tab/>
        <w:t xml:space="preserve">Rogers L, Zhang P, Vogelbaum MA, et al. Intermediate-risk meningioma: Initial outcomes from NRG Oncology RTOG 0539. </w:t>
      </w:r>
      <w:r w:rsidRPr="000F4EF5">
        <w:rPr>
          <w:i/>
          <w:iCs/>
          <w:noProof/>
        </w:rPr>
        <w:t>J Neurosurg</w:t>
      </w:r>
      <w:r w:rsidRPr="000F4EF5">
        <w:rPr>
          <w:noProof/>
        </w:rPr>
        <w:t>. 2018;129(1):35-47. doi:10.3171/2016.11.JNS161170</w:t>
      </w:r>
    </w:p>
    <w:p w14:paraId="520D23CB"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lastRenderedPageBreak/>
        <w:t xml:space="preserve">12. </w:t>
      </w:r>
      <w:r w:rsidRPr="000F4EF5">
        <w:rPr>
          <w:noProof/>
        </w:rPr>
        <w:tab/>
        <w:t xml:space="preserve">Rogers CL, Won M, Vogelbaum MA, et al. High-risk Meningioma: Initial Outcomes From NRG Oncology/RTOG 0539. </w:t>
      </w:r>
      <w:r w:rsidRPr="000F4EF5">
        <w:rPr>
          <w:i/>
          <w:iCs/>
          <w:noProof/>
        </w:rPr>
        <w:t>Int J Radiat Oncol Biol Phys</w:t>
      </w:r>
      <w:r w:rsidRPr="000F4EF5">
        <w:rPr>
          <w:noProof/>
        </w:rPr>
        <w:t>. 2020;106(4):790-799. doi:10.1016/j.ijrobp.2019.11.028</w:t>
      </w:r>
    </w:p>
    <w:p w14:paraId="5D22F1B8"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13. </w:t>
      </w:r>
      <w:r w:rsidRPr="000F4EF5">
        <w:rPr>
          <w:noProof/>
        </w:rPr>
        <w:tab/>
        <w:t xml:space="preserve">Goldbrunner R, Stavrinou P, Jenkinson MD, et al. EANO guideline on the diagnosis and management of meningiomas. </w:t>
      </w:r>
      <w:r w:rsidRPr="000F4EF5">
        <w:rPr>
          <w:i/>
          <w:iCs/>
          <w:noProof/>
        </w:rPr>
        <w:t>Neuro Oncol</w:t>
      </w:r>
      <w:r w:rsidRPr="000F4EF5">
        <w:rPr>
          <w:noProof/>
        </w:rPr>
        <w:t>. 2021;23(11):1821-1834. doi:10.1093/neuonc/noab150</w:t>
      </w:r>
    </w:p>
    <w:p w14:paraId="20A00AEB"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14. </w:t>
      </w:r>
      <w:r w:rsidRPr="000F4EF5">
        <w:rPr>
          <w:noProof/>
        </w:rPr>
        <w:tab/>
        <w:t xml:space="preserve">Rogers CL, Pugh SL, Vogelbaum MA, et al. Low-Risk Meningioma: Initial Outcomes from NRG Oncology/RTOG 0539. </w:t>
      </w:r>
      <w:r w:rsidRPr="000F4EF5">
        <w:rPr>
          <w:i/>
          <w:iCs/>
          <w:noProof/>
        </w:rPr>
        <w:t>Neuro Oncol</w:t>
      </w:r>
      <w:r w:rsidRPr="000F4EF5">
        <w:rPr>
          <w:noProof/>
        </w:rPr>
        <w:t>. June 2022. doi:10.1093/neuonc/noac137</w:t>
      </w:r>
    </w:p>
    <w:p w14:paraId="36CFA281"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15. </w:t>
      </w:r>
      <w:r w:rsidRPr="000F4EF5">
        <w:rPr>
          <w:noProof/>
        </w:rPr>
        <w:tab/>
        <w:t xml:space="preserve">Patel AJ, Wan YW, Al-Ouran R, et al. Molecular profiling predicts meningioma recurrence and reveals loss of DREAM complex repression in aggressive tumors. </w:t>
      </w:r>
      <w:r w:rsidRPr="000F4EF5">
        <w:rPr>
          <w:i/>
          <w:iCs/>
          <w:noProof/>
        </w:rPr>
        <w:t>Proc Natl Acad Sci U S A</w:t>
      </w:r>
      <w:r w:rsidRPr="000F4EF5">
        <w:rPr>
          <w:noProof/>
        </w:rPr>
        <w:t>. 2019;116(43):21715-21726. doi:10.1073/pnas.1912858116</w:t>
      </w:r>
    </w:p>
    <w:p w14:paraId="5699ED21"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16. </w:t>
      </w:r>
      <w:r w:rsidRPr="000F4EF5">
        <w:rPr>
          <w:noProof/>
        </w:rPr>
        <w:tab/>
        <w:t xml:space="preserve">Sahm F, Schrimpf D, Stichel D, et al. DNA methylation-based classification and grading system for meningioma: a multicentre, retrospective analysis. </w:t>
      </w:r>
      <w:r w:rsidRPr="000F4EF5">
        <w:rPr>
          <w:i/>
          <w:iCs/>
          <w:noProof/>
        </w:rPr>
        <w:t>Lancet Oncol</w:t>
      </w:r>
      <w:r w:rsidRPr="000F4EF5">
        <w:rPr>
          <w:noProof/>
        </w:rPr>
        <w:t>. 2017;18(5):682-694. doi:10.1016/S1470-2045(17)30155-9</w:t>
      </w:r>
    </w:p>
    <w:p w14:paraId="6A2AE2A7"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17. </w:t>
      </w:r>
      <w:r w:rsidRPr="000F4EF5">
        <w:rPr>
          <w:noProof/>
        </w:rPr>
        <w:tab/>
        <w:t xml:space="preserve">Maas SLN, Stichel D, Hielscher T, et al. Integrated Molecular-Morphologic Meningioma Classification: A Multicenter Retrospective Analysis, Retrospectively and Prospectively Validated. </w:t>
      </w:r>
      <w:r w:rsidRPr="000F4EF5">
        <w:rPr>
          <w:i/>
          <w:iCs/>
          <w:noProof/>
        </w:rPr>
        <w:t>J Clin Oncol</w:t>
      </w:r>
      <w:r w:rsidRPr="000F4EF5">
        <w:rPr>
          <w:noProof/>
        </w:rPr>
        <w:t>. 2021;39(34):3839-3852. doi:10.1200/JCO.21.00784</w:t>
      </w:r>
    </w:p>
    <w:p w14:paraId="0A460E71"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18. </w:t>
      </w:r>
      <w:r w:rsidRPr="000F4EF5">
        <w:rPr>
          <w:noProof/>
        </w:rPr>
        <w:tab/>
        <w:t xml:space="preserve">Driver J, Hoffman SE, Tavakol S, et al. A molecularly integrated grade for meningioma. </w:t>
      </w:r>
      <w:r w:rsidRPr="000F4EF5">
        <w:rPr>
          <w:i/>
          <w:iCs/>
          <w:noProof/>
        </w:rPr>
        <w:t>Neuro Oncol</w:t>
      </w:r>
      <w:r w:rsidRPr="000F4EF5">
        <w:rPr>
          <w:noProof/>
        </w:rPr>
        <w:t>. 2022;24(5):796-808. doi:10.1093/neuonc/noab213</w:t>
      </w:r>
    </w:p>
    <w:p w14:paraId="3CA4BC80"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19. </w:t>
      </w:r>
      <w:r w:rsidRPr="000F4EF5">
        <w:rPr>
          <w:noProof/>
        </w:rPr>
        <w:tab/>
        <w:t xml:space="preserve">Sievers P, Hielscher T, Schrimpf D, et al. CDKN2A/B homozygous deletion is associated with early recurrence in meningiomas. </w:t>
      </w:r>
      <w:r w:rsidRPr="000F4EF5">
        <w:rPr>
          <w:i/>
          <w:iCs/>
          <w:noProof/>
        </w:rPr>
        <w:t>Acta Neuropathol</w:t>
      </w:r>
      <w:r w:rsidRPr="000F4EF5">
        <w:rPr>
          <w:noProof/>
        </w:rPr>
        <w:t>. 2020;140(3):409-413. doi:10.1007/s00401-020-02188-w</w:t>
      </w:r>
    </w:p>
    <w:p w14:paraId="16E03DDD"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20. </w:t>
      </w:r>
      <w:r w:rsidRPr="000F4EF5">
        <w:rPr>
          <w:noProof/>
        </w:rPr>
        <w:tab/>
        <w:t xml:space="preserve">Koelsche C, Sahm F, Capper D, et al. Distribution of TERT promoter mutations in pediatric and adult tumors of the nervous system. </w:t>
      </w:r>
      <w:r w:rsidRPr="000F4EF5">
        <w:rPr>
          <w:i/>
          <w:iCs/>
          <w:noProof/>
        </w:rPr>
        <w:t>Acta Neuropathol</w:t>
      </w:r>
      <w:r w:rsidRPr="000F4EF5">
        <w:rPr>
          <w:noProof/>
        </w:rPr>
        <w:t>. 2013;126(6):907-915. doi:10.1007/s00401-013-1195-5</w:t>
      </w:r>
    </w:p>
    <w:p w14:paraId="33B20613"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21. </w:t>
      </w:r>
      <w:r w:rsidRPr="000F4EF5">
        <w:rPr>
          <w:noProof/>
        </w:rPr>
        <w:tab/>
        <w:t xml:space="preserve">Youngblood MW, Duran D, Montejo JD, et al. Correlations between genomic subgroup and clinical features in a cohort of more than 3000 meningiomas. </w:t>
      </w:r>
      <w:r w:rsidRPr="000F4EF5">
        <w:rPr>
          <w:i/>
          <w:iCs/>
          <w:noProof/>
        </w:rPr>
        <w:t>J Neurosurg</w:t>
      </w:r>
      <w:r w:rsidRPr="000F4EF5">
        <w:rPr>
          <w:noProof/>
        </w:rPr>
        <w:t>. 2020;133(5):1345-1354. doi:10.3171/2019.8.JNS191266</w:t>
      </w:r>
    </w:p>
    <w:p w14:paraId="4F9FE8FC"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22. </w:t>
      </w:r>
      <w:r w:rsidRPr="000F4EF5">
        <w:rPr>
          <w:noProof/>
        </w:rPr>
        <w:tab/>
        <w:t xml:space="preserve">Youngblood MW, Miyagishima DF, Jin L, et al. Associations of meningioma molecular subgroup and tumor recurrence. </w:t>
      </w:r>
      <w:r w:rsidRPr="000F4EF5">
        <w:rPr>
          <w:i/>
          <w:iCs/>
          <w:noProof/>
        </w:rPr>
        <w:t>Neuro Oncol</w:t>
      </w:r>
      <w:r w:rsidRPr="000F4EF5">
        <w:rPr>
          <w:noProof/>
        </w:rPr>
        <w:t>. 2021;23(5):783-794. doi:10.1093/neuonc/noaa226</w:t>
      </w:r>
    </w:p>
    <w:p w14:paraId="44B9DC78"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lastRenderedPageBreak/>
        <w:t xml:space="preserve">23. </w:t>
      </w:r>
      <w:r w:rsidRPr="000F4EF5">
        <w:rPr>
          <w:noProof/>
        </w:rPr>
        <w:tab/>
        <w:t xml:space="preserve">Li MM, Datto M, Duncavage EJ, et al. Standards and Guidelines for the Interpretation and Reporting of Sequence Variants in Cancer: A Joint Consensus Recommendation of the Association for Molecular Pathology, American Society of Clinical Oncology, and College of American Pathologists. </w:t>
      </w:r>
      <w:r w:rsidRPr="000F4EF5">
        <w:rPr>
          <w:i/>
          <w:iCs/>
          <w:noProof/>
        </w:rPr>
        <w:t>J Mol Diagnostics</w:t>
      </w:r>
      <w:r w:rsidRPr="000F4EF5">
        <w:rPr>
          <w:noProof/>
        </w:rPr>
        <w:t>. 2017;19(1):4-23. doi:10.1016/j.jmoldx.2016.10.002</w:t>
      </w:r>
    </w:p>
    <w:p w14:paraId="294BC807"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24. </w:t>
      </w:r>
      <w:r w:rsidRPr="000F4EF5">
        <w:rPr>
          <w:noProof/>
        </w:rPr>
        <w:tab/>
        <w:t xml:space="preserve">Olar A, Wani KM, Wilson CD, et al. Global epigenetic profiling identifies methylation subgroups associated with recurrence-free survival in meningioma. </w:t>
      </w:r>
      <w:r w:rsidRPr="000F4EF5">
        <w:rPr>
          <w:i/>
          <w:iCs/>
          <w:noProof/>
        </w:rPr>
        <w:t>Acta Neuropathol</w:t>
      </w:r>
      <w:r w:rsidRPr="000F4EF5">
        <w:rPr>
          <w:noProof/>
        </w:rPr>
        <w:t>. 2017;133(3):431-444. doi:10.1007/s00401-017-1678-x</w:t>
      </w:r>
    </w:p>
    <w:p w14:paraId="5B45859D"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25. </w:t>
      </w:r>
      <w:r w:rsidRPr="000F4EF5">
        <w:rPr>
          <w:noProof/>
        </w:rPr>
        <w:tab/>
        <w:t xml:space="preserve">Therneau T. A Package for Survival Analysis in S. R package version. </w:t>
      </w:r>
      <w:r w:rsidRPr="000F4EF5">
        <w:rPr>
          <w:i/>
          <w:iCs/>
          <w:noProof/>
        </w:rPr>
        <w:t>Survival (Lond)</w:t>
      </w:r>
      <w:r w:rsidRPr="000F4EF5">
        <w:rPr>
          <w:noProof/>
        </w:rPr>
        <w:t>. 2012:1-3. http://r-forge.r-project.org.</w:t>
      </w:r>
    </w:p>
    <w:p w14:paraId="1523C668"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26. </w:t>
      </w:r>
      <w:r w:rsidRPr="000F4EF5">
        <w:rPr>
          <w:noProof/>
        </w:rPr>
        <w:tab/>
        <w:t xml:space="preserve">Lin H, Zelterman D. Modeling Survival Data: Extending the Cox Model. In: </w:t>
      </w:r>
      <w:r w:rsidRPr="000F4EF5">
        <w:rPr>
          <w:i/>
          <w:iCs/>
          <w:noProof/>
        </w:rPr>
        <w:t>Technometrics</w:t>
      </w:r>
      <w:r w:rsidRPr="000F4EF5">
        <w:rPr>
          <w:noProof/>
        </w:rPr>
        <w:t>. Vol 44. ; 2002:85-86. doi:10.1198/tech.2002.s656</w:t>
      </w:r>
    </w:p>
    <w:p w14:paraId="187F4C9D"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27. </w:t>
      </w:r>
      <w:r w:rsidRPr="000F4EF5">
        <w:rPr>
          <w:noProof/>
        </w:rPr>
        <w:tab/>
        <w:t xml:space="preserve">Simon N, Friedman J, Hastie T, Tibshirani R. Regularization paths for Cox’s proportional hazards model via coordinate descent. </w:t>
      </w:r>
      <w:r w:rsidRPr="000F4EF5">
        <w:rPr>
          <w:i/>
          <w:iCs/>
          <w:noProof/>
        </w:rPr>
        <w:t>J Stat Softw</w:t>
      </w:r>
      <w:r w:rsidRPr="000F4EF5">
        <w:rPr>
          <w:noProof/>
        </w:rPr>
        <w:t>. 2011;39(5):1-13. doi:10.18637/jss.v039.i05</w:t>
      </w:r>
    </w:p>
    <w:p w14:paraId="66AAEBCA"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28. </w:t>
      </w:r>
      <w:r w:rsidRPr="000F4EF5">
        <w:rPr>
          <w:noProof/>
        </w:rPr>
        <w:tab/>
        <w:t xml:space="preserve">Mogensen UB, Ishwaran H, Gerds TA. Evaluating Random Forests for Survival Analysis Using Prediction Error Curves. </w:t>
      </w:r>
      <w:r w:rsidRPr="000F4EF5">
        <w:rPr>
          <w:i/>
          <w:iCs/>
          <w:noProof/>
        </w:rPr>
        <w:t>J Stat Softw</w:t>
      </w:r>
      <w:r w:rsidRPr="000F4EF5">
        <w:rPr>
          <w:noProof/>
        </w:rPr>
        <w:t>. 2012;50(11):1-23. doi:10.18637/jss.v050.i11</w:t>
      </w:r>
    </w:p>
    <w:p w14:paraId="46248C88"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29. </w:t>
      </w:r>
      <w:r w:rsidRPr="000F4EF5">
        <w:rPr>
          <w:noProof/>
        </w:rPr>
        <w:tab/>
        <w:t xml:space="preserve">Ho DE, Imai K, King G, Stuart EA. MatchIt: Nonparametric preprocessing for parametric causal inference. </w:t>
      </w:r>
      <w:r w:rsidRPr="000F4EF5">
        <w:rPr>
          <w:i/>
          <w:iCs/>
          <w:noProof/>
        </w:rPr>
        <w:t>J Stat Softw</w:t>
      </w:r>
      <w:r w:rsidRPr="000F4EF5">
        <w:rPr>
          <w:noProof/>
        </w:rPr>
        <w:t>. 2011;42(8):1-28. doi:10.18637/jss.v042.i08</w:t>
      </w:r>
    </w:p>
    <w:p w14:paraId="033029AF"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30. </w:t>
      </w:r>
      <w:r w:rsidRPr="000F4EF5">
        <w:rPr>
          <w:noProof/>
        </w:rPr>
        <w:tab/>
        <w:t>Saha-Chaudhuri P. Time-dependent ROC curve estimation from censored survival data. 2013;1:2-6. https://cran.r-project.org/package=survivalROC.</w:t>
      </w:r>
    </w:p>
    <w:p w14:paraId="69BBBDBE"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31. </w:t>
      </w:r>
      <w:r w:rsidRPr="000F4EF5">
        <w:rPr>
          <w:noProof/>
        </w:rPr>
        <w:tab/>
        <w:t>Harrell Jr FE. rms: Regression Modeling Strategies. 2018:1-246. https://cran.r-project.org/web/packages/rms/rms.pdf.</w:t>
      </w:r>
    </w:p>
    <w:p w14:paraId="626B1171"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32. </w:t>
      </w:r>
      <w:r w:rsidRPr="000F4EF5">
        <w:rPr>
          <w:noProof/>
        </w:rPr>
        <w:tab/>
        <w:t xml:space="preserve">Friedman J, Hastie T, Tibshirani R. Regularization paths for generalized linear models via coordinate descent. </w:t>
      </w:r>
      <w:r w:rsidRPr="000F4EF5">
        <w:rPr>
          <w:i/>
          <w:iCs/>
          <w:noProof/>
        </w:rPr>
        <w:t>J Stat Softw</w:t>
      </w:r>
      <w:r w:rsidRPr="000F4EF5">
        <w:rPr>
          <w:noProof/>
        </w:rPr>
        <w:t>. 2010;33(1):1-22. doi:10.18637/jss.v033.i01</w:t>
      </w:r>
    </w:p>
    <w:p w14:paraId="408910B7"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33. </w:t>
      </w:r>
      <w:r w:rsidRPr="000F4EF5">
        <w:rPr>
          <w:noProof/>
        </w:rPr>
        <w:tab/>
        <w:t xml:space="preserve">Vuong QH. Likelihood Ratio Tests for Model Selection and Non-Nested Hypotheses. </w:t>
      </w:r>
      <w:r w:rsidRPr="000F4EF5">
        <w:rPr>
          <w:i/>
          <w:iCs/>
          <w:noProof/>
        </w:rPr>
        <w:t>Econometrica</w:t>
      </w:r>
      <w:r w:rsidRPr="000F4EF5">
        <w:rPr>
          <w:noProof/>
        </w:rPr>
        <w:t>. 1989;57(2):307. doi:10.2307/1912557</w:t>
      </w:r>
    </w:p>
    <w:p w14:paraId="65530F33"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34. </w:t>
      </w:r>
      <w:r w:rsidRPr="000F4EF5">
        <w:rPr>
          <w:noProof/>
        </w:rPr>
        <w:tab/>
        <w:t xml:space="preserve">Efron B. Bootstrap Methods: Another Look at the Jackknife. </w:t>
      </w:r>
      <w:r w:rsidRPr="000F4EF5">
        <w:rPr>
          <w:i/>
          <w:iCs/>
          <w:noProof/>
        </w:rPr>
        <w:t>Ann Stat</w:t>
      </w:r>
      <w:r w:rsidRPr="000F4EF5">
        <w:rPr>
          <w:noProof/>
        </w:rPr>
        <w:t>. 2007;7(1). doi:10.1214/aos/1176344552</w:t>
      </w:r>
    </w:p>
    <w:p w14:paraId="3E7B05BF"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35. </w:t>
      </w:r>
      <w:r w:rsidRPr="000F4EF5">
        <w:rPr>
          <w:noProof/>
        </w:rPr>
        <w:tab/>
        <w:t xml:space="preserve">Ledell E, Petersen M, Van Der Laan M. Computationally efficient confidence intervals for cross-validated area under the ROC curve estimates. </w:t>
      </w:r>
      <w:r w:rsidRPr="000F4EF5">
        <w:rPr>
          <w:i/>
          <w:iCs/>
          <w:noProof/>
        </w:rPr>
        <w:t>Electron J Stat</w:t>
      </w:r>
      <w:r w:rsidRPr="000F4EF5">
        <w:rPr>
          <w:noProof/>
        </w:rPr>
        <w:t xml:space="preserve">. 2015;9(1):1583-1607. </w:t>
      </w:r>
      <w:r w:rsidRPr="000F4EF5">
        <w:rPr>
          <w:noProof/>
        </w:rPr>
        <w:lastRenderedPageBreak/>
        <w:t>doi:10.1214/15-EJS1035</w:t>
      </w:r>
    </w:p>
    <w:p w14:paraId="109851A6"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36. </w:t>
      </w:r>
      <w:r w:rsidRPr="000F4EF5">
        <w:rPr>
          <w:noProof/>
        </w:rPr>
        <w:tab/>
        <w:t xml:space="preserve">Baik B, Yoon S, Nam D. Benchmarking RNA-seq differential expression analysis methods using spike-in and simulation data. </w:t>
      </w:r>
      <w:r w:rsidRPr="000F4EF5">
        <w:rPr>
          <w:i/>
          <w:iCs/>
          <w:noProof/>
        </w:rPr>
        <w:t>PLoS One</w:t>
      </w:r>
      <w:r w:rsidRPr="000F4EF5">
        <w:rPr>
          <w:noProof/>
        </w:rPr>
        <w:t>. 2020;15(4). doi:10.1371/journal.pone.0232271</w:t>
      </w:r>
    </w:p>
    <w:p w14:paraId="3E80F7F0"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37. </w:t>
      </w:r>
      <w:r w:rsidRPr="000F4EF5">
        <w:rPr>
          <w:noProof/>
        </w:rPr>
        <w:tab/>
        <w:t xml:space="preserve">Domany E. Using high-throughput transcriptomic data for prognosis: A critical overview and perspectives. </w:t>
      </w:r>
      <w:r w:rsidRPr="000F4EF5">
        <w:rPr>
          <w:i/>
          <w:iCs/>
          <w:noProof/>
        </w:rPr>
        <w:t>Cancer Res</w:t>
      </w:r>
      <w:r w:rsidRPr="000F4EF5">
        <w:rPr>
          <w:noProof/>
        </w:rPr>
        <w:t>. 2014;74(17):4612-4621. doi:10.1158/0008-5472.CAN-13-3338</w:t>
      </w:r>
    </w:p>
    <w:p w14:paraId="74B49996"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38. </w:t>
      </w:r>
      <w:r w:rsidRPr="000F4EF5">
        <w:rPr>
          <w:noProof/>
        </w:rPr>
        <w:tab/>
        <w:t xml:space="preserve">Chen WC, Magill ST, Wu A, et al. Histopathological features predictive of local control of atypical meningioma after surgery and adjuvant radiotherapy. </w:t>
      </w:r>
      <w:r w:rsidRPr="000F4EF5">
        <w:rPr>
          <w:i/>
          <w:iCs/>
          <w:noProof/>
        </w:rPr>
        <w:t>J Neurosurg</w:t>
      </w:r>
      <w:r w:rsidRPr="000F4EF5">
        <w:rPr>
          <w:noProof/>
        </w:rPr>
        <w:t>. 2019;130(2):443-450. doi:10.3171/2017.9.JNS171609</w:t>
      </w:r>
    </w:p>
    <w:p w14:paraId="4F7502CE"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39. </w:t>
      </w:r>
      <w:r w:rsidRPr="000F4EF5">
        <w:rPr>
          <w:noProof/>
        </w:rPr>
        <w:tab/>
        <w:t xml:space="preserve">Bi WL, Greenwald NF, Abedalthagafi M, et al. Genomic landscape of high-grade meningiomas. </w:t>
      </w:r>
      <w:r w:rsidRPr="000F4EF5">
        <w:rPr>
          <w:i/>
          <w:iCs/>
          <w:noProof/>
        </w:rPr>
        <w:t>npj Genomic Med</w:t>
      </w:r>
      <w:r w:rsidRPr="000F4EF5">
        <w:rPr>
          <w:noProof/>
        </w:rPr>
        <w:t>. 2017;2(1). doi:10.1038/s41525-017-0014-7</w:t>
      </w:r>
    </w:p>
    <w:p w14:paraId="56F987A7" w14:textId="77777777" w:rsidR="000F4EF5" w:rsidRPr="000F4EF5" w:rsidRDefault="000F4EF5" w:rsidP="00742F09">
      <w:pPr>
        <w:widowControl w:val="0"/>
        <w:autoSpaceDE w:val="0"/>
        <w:autoSpaceDN w:val="0"/>
        <w:adjustRightInd w:val="0"/>
        <w:spacing w:line="360" w:lineRule="auto"/>
        <w:ind w:left="640" w:hanging="640"/>
        <w:jc w:val="both"/>
        <w:rPr>
          <w:noProof/>
        </w:rPr>
      </w:pPr>
      <w:r w:rsidRPr="000F4EF5">
        <w:rPr>
          <w:noProof/>
        </w:rPr>
        <w:t xml:space="preserve">40. </w:t>
      </w:r>
      <w:r w:rsidRPr="000F4EF5">
        <w:rPr>
          <w:noProof/>
        </w:rPr>
        <w:tab/>
        <w:t xml:space="preserve">Von Spreckelsen N, Waldt N, Poetschke R, et al. KLF4 K409Q-mutated meningiomas show enhanced hypoxia signaling and respond to mTORC1 inhibitor treatment. </w:t>
      </w:r>
      <w:r w:rsidRPr="000F4EF5">
        <w:rPr>
          <w:i/>
          <w:iCs/>
          <w:noProof/>
        </w:rPr>
        <w:t>Acta Neuropathol Commun</w:t>
      </w:r>
      <w:r w:rsidRPr="000F4EF5">
        <w:rPr>
          <w:noProof/>
        </w:rPr>
        <w:t>. 2020. doi:10.1186/s40478-020-00912-x</w:t>
      </w:r>
    </w:p>
    <w:p w14:paraId="2A622FC5" w14:textId="42AAC006" w:rsidR="00773F71" w:rsidRPr="00CE4E1F" w:rsidRDefault="000F4EF5" w:rsidP="00742F09">
      <w:pPr>
        <w:widowControl w:val="0"/>
        <w:autoSpaceDE w:val="0"/>
        <w:autoSpaceDN w:val="0"/>
        <w:adjustRightInd w:val="0"/>
        <w:spacing w:line="360" w:lineRule="auto"/>
        <w:ind w:left="640" w:hanging="640"/>
        <w:jc w:val="both"/>
        <w:rPr>
          <w:b/>
          <w:bCs/>
        </w:rPr>
      </w:pPr>
      <w:r w:rsidRPr="000F4EF5">
        <w:rPr>
          <w:noProof/>
        </w:rPr>
        <w:t xml:space="preserve">41. </w:t>
      </w:r>
      <w:r w:rsidRPr="000F4EF5">
        <w:rPr>
          <w:noProof/>
        </w:rPr>
        <w:tab/>
        <w:t xml:space="preserve">Leek JT, Johnson WE, Parker HS, Jaffe AE, Storey JD. The SVA package for removing batch effects and other unwanted variation in high-throughput experiments. </w:t>
      </w:r>
      <w:r w:rsidRPr="000F4EF5">
        <w:rPr>
          <w:i/>
          <w:iCs/>
          <w:noProof/>
        </w:rPr>
        <w:t>Bioinformatics</w:t>
      </w:r>
      <w:r w:rsidRPr="000F4EF5">
        <w:rPr>
          <w:noProof/>
        </w:rPr>
        <w:t>. 2012. doi:10.1093/bioinformatics/bts034</w:t>
      </w:r>
      <w:r w:rsidR="00773F71" w:rsidRPr="00CE4E1F">
        <w:rPr>
          <w:b/>
          <w:bCs/>
        </w:rPr>
        <w:fldChar w:fldCharType="end"/>
      </w:r>
    </w:p>
    <w:sectPr w:rsidR="00773F71" w:rsidRPr="00CE4E1F" w:rsidSect="00017C3F">
      <w:headerReference w:type="default" r:id="rId17"/>
      <w:footerReference w:type="even" r:id="rId18"/>
      <w:footerReference w:type="default" r:id="rId19"/>
      <w:type w:val="continuous"/>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705F9" w14:textId="77777777" w:rsidR="00793276" w:rsidRDefault="00793276" w:rsidP="001A0FF5">
      <w:r>
        <w:separator/>
      </w:r>
    </w:p>
  </w:endnote>
  <w:endnote w:type="continuationSeparator" w:id="0">
    <w:p w14:paraId="333E0E2F" w14:textId="77777777" w:rsidR="00793276" w:rsidRDefault="00793276" w:rsidP="001A0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1738600"/>
      <w:docPartObj>
        <w:docPartGallery w:val="Page Numbers (Bottom of Page)"/>
        <w:docPartUnique/>
      </w:docPartObj>
    </w:sdtPr>
    <w:sdtContent>
      <w:p w14:paraId="68649BD0" w14:textId="74C69E28" w:rsidR="00080869" w:rsidRDefault="00080869" w:rsidP="009D7D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4078BB" w14:textId="77777777" w:rsidR="00080869" w:rsidRDefault="00080869" w:rsidP="00DF56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248524"/>
      <w:docPartObj>
        <w:docPartGallery w:val="Page Numbers (Bottom of Page)"/>
        <w:docPartUnique/>
      </w:docPartObj>
    </w:sdtPr>
    <w:sdtContent>
      <w:p w14:paraId="661F9D9A" w14:textId="1056C67E" w:rsidR="00080869" w:rsidRDefault="00080869" w:rsidP="009D7DC5">
        <w:pPr>
          <w:pStyle w:val="Footer"/>
          <w:framePr w:wrap="none" w:vAnchor="text" w:hAnchor="margin" w:xAlign="right" w:y="1"/>
          <w:rPr>
            <w:rStyle w:val="PageNumber"/>
          </w:rPr>
        </w:pPr>
        <w:r w:rsidRPr="002C2171">
          <w:rPr>
            <w:rStyle w:val="PageNumber"/>
            <w:rFonts w:ascii="Times New Roman" w:hAnsi="Times New Roman" w:cs="Times New Roman"/>
          </w:rPr>
          <w:fldChar w:fldCharType="begin"/>
        </w:r>
        <w:r w:rsidRPr="002C2171">
          <w:rPr>
            <w:rStyle w:val="PageNumber"/>
            <w:rFonts w:ascii="Times New Roman" w:hAnsi="Times New Roman" w:cs="Times New Roman"/>
          </w:rPr>
          <w:instrText xml:space="preserve"> PAGE </w:instrText>
        </w:r>
        <w:r w:rsidRPr="002C2171">
          <w:rPr>
            <w:rStyle w:val="PageNumber"/>
            <w:rFonts w:ascii="Times New Roman" w:hAnsi="Times New Roman" w:cs="Times New Roman"/>
          </w:rPr>
          <w:fldChar w:fldCharType="separate"/>
        </w:r>
        <w:r w:rsidRPr="002C2171">
          <w:rPr>
            <w:rStyle w:val="PageNumber"/>
            <w:rFonts w:ascii="Times New Roman" w:hAnsi="Times New Roman" w:cs="Times New Roman"/>
            <w:noProof/>
          </w:rPr>
          <w:t>10</w:t>
        </w:r>
        <w:r w:rsidRPr="002C2171">
          <w:rPr>
            <w:rStyle w:val="PageNumber"/>
            <w:rFonts w:ascii="Times New Roman" w:hAnsi="Times New Roman" w:cs="Times New Roman"/>
          </w:rPr>
          <w:fldChar w:fldCharType="end"/>
        </w:r>
      </w:p>
    </w:sdtContent>
  </w:sdt>
  <w:p w14:paraId="63F91821" w14:textId="77777777" w:rsidR="00080869" w:rsidRDefault="00080869" w:rsidP="00DF56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A4666" w14:textId="77777777" w:rsidR="00793276" w:rsidRDefault="00793276" w:rsidP="001A0FF5">
      <w:r>
        <w:separator/>
      </w:r>
    </w:p>
  </w:footnote>
  <w:footnote w:type="continuationSeparator" w:id="0">
    <w:p w14:paraId="4A6FE5C3" w14:textId="77777777" w:rsidR="00793276" w:rsidRDefault="00793276" w:rsidP="001A0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5886" w14:textId="0CA2DF08" w:rsidR="00080869" w:rsidRPr="007031F9" w:rsidRDefault="00080869">
    <w:pPr>
      <w:pStyle w:val="Header"/>
      <w:rPr>
        <w:rFonts w:ascii="Times New Roman" w:hAnsi="Times New Roman" w:cs="Times New Roman"/>
        <w:i/>
      </w:rPr>
    </w:pPr>
    <w:r w:rsidRPr="007031F9">
      <w:rPr>
        <w:rFonts w:ascii="Times New Roman" w:hAnsi="Times New Roman" w:cs="Times New Roman"/>
        <w:i/>
      </w:rPr>
      <w:t xml:space="preserve">Meningioma gene expression </w:t>
    </w:r>
    <w:r>
      <w:rPr>
        <w:rFonts w:ascii="Times New Roman" w:hAnsi="Times New Roman" w:cs="Times New Roman"/>
        <w:i/>
      </w:rPr>
      <w:t>risk score</w:t>
    </w:r>
    <w:r w:rsidRPr="007031F9" w:rsidDel="005839D0">
      <w:rPr>
        <w:rFonts w:ascii="Times New Roman" w:hAnsi="Times New Roman" w:cs="Times New Roman"/>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2C6D"/>
    <w:multiLevelType w:val="hybridMultilevel"/>
    <w:tmpl w:val="F9166D06"/>
    <w:lvl w:ilvl="0" w:tplc="C3EE0A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41AA9"/>
    <w:multiLevelType w:val="hybridMultilevel"/>
    <w:tmpl w:val="3CB691A6"/>
    <w:lvl w:ilvl="0" w:tplc="76CE59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733E3F"/>
    <w:multiLevelType w:val="hybridMultilevel"/>
    <w:tmpl w:val="B03C7D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3A307E3"/>
    <w:multiLevelType w:val="hybridMultilevel"/>
    <w:tmpl w:val="4C9A3088"/>
    <w:lvl w:ilvl="0" w:tplc="092C4DE2">
      <w:start w:val="1"/>
      <w:numFmt w:val="upperLetter"/>
      <w:lvlText w:val="%1)"/>
      <w:lvlJc w:val="left"/>
      <w:pPr>
        <w:ind w:left="380" w:hanging="3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4A07CE8"/>
    <w:multiLevelType w:val="hybridMultilevel"/>
    <w:tmpl w:val="A0044BC4"/>
    <w:lvl w:ilvl="0" w:tplc="D27A0E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A50CCE"/>
    <w:multiLevelType w:val="hybridMultilevel"/>
    <w:tmpl w:val="6C5E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263FFE"/>
    <w:multiLevelType w:val="hybridMultilevel"/>
    <w:tmpl w:val="5B843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EE75B2"/>
    <w:multiLevelType w:val="hybridMultilevel"/>
    <w:tmpl w:val="75501D3A"/>
    <w:lvl w:ilvl="0" w:tplc="1454300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4792670">
    <w:abstractNumId w:val="2"/>
  </w:num>
  <w:num w:numId="2" w16cid:durableId="282883864">
    <w:abstractNumId w:val="4"/>
  </w:num>
  <w:num w:numId="3" w16cid:durableId="134757799">
    <w:abstractNumId w:val="7"/>
  </w:num>
  <w:num w:numId="4" w16cid:durableId="1355495365">
    <w:abstractNumId w:val="1"/>
  </w:num>
  <w:num w:numId="5" w16cid:durableId="2051371849">
    <w:abstractNumId w:val="0"/>
  </w:num>
  <w:num w:numId="6" w16cid:durableId="167670608">
    <w:abstractNumId w:val="3"/>
  </w:num>
  <w:num w:numId="7" w16cid:durableId="1199389415">
    <w:abstractNumId w:val="5"/>
  </w:num>
  <w:num w:numId="8" w16cid:durableId="1303576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FF5"/>
    <w:rsid w:val="0000066E"/>
    <w:rsid w:val="00000692"/>
    <w:rsid w:val="00000ACC"/>
    <w:rsid w:val="000021E3"/>
    <w:rsid w:val="000029EF"/>
    <w:rsid w:val="00003ED3"/>
    <w:rsid w:val="00004796"/>
    <w:rsid w:val="00004F53"/>
    <w:rsid w:val="00005602"/>
    <w:rsid w:val="0000632E"/>
    <w:rsid w:val="00007936"/>
    <w:rsid w:val="00010078"/>
    <w:rsid w:val="00010C3D"/>
    <w:rsid w:val="00010FF4"/>
    <w:rsid w:val="0001190B"/>
    <w:rsid w:val="00011EA4"/>
    <w:rsid w:val="00012E8C"/>
    <w:rsid w:val="00013874"/>
    <w:rsid w:val="0001391B"/>
    <w:rsid w:val="000144D2"/>
    <w:rsid w:val="00014763"/>
    <w:rsid w:val="00014797"/>
    <w:rsid w:val="000156C2"/>
    <w:rsid w:val="00015F14"/>
    <w:rsid w:val="000168EF"/>
    <w:rsid w:val="00016E51"/>
    <w:rsid w:val="00017160"/>
    <w:rsid w:val="00017877"/>
    <w:rsid w:val="00017BB1"/>
    <w:rsid w:val="00017C3F"/>
    <w:rsid w:val="00017F71"/>
    <w:rsid w:val="00017F8A"/>
    <w:rsid w:val="0002001B"/>
    <w:rsid w:val="00021399"/>
    <w:rsid w:val="00021B20"/>
    <w:rsid w:val="00021D44"/>
    <w:rsid w:val="000223D1"/>
    <w:rsid w:val="000229E4"/>
    <w:rsid w:val="00022D4D"/>
    <w:rsid w:val="000239D5"/>
    <w:rsid w:val="00023AD5"/>
    <w:rsid w:val="0002438E"/>
    <w:rsid w:val="00024A81"/>
    <w:rsid w:val="00024DAE"/>
    <w:rsid w:val="000260C3"/>
    <w:rsid w:val="00026A1A"/>
    <w:rsid w:val="00026A71"/>
    <w:rsid w:val="0002734B"/>
    <w:rsid w:val="00027FB7"/>
    <w:rsid w:val="00030214"/>
    <w:rsid w:val="000304A4"/>
    <w:rsid w:val="000304E8"/>
    <w:rsid w:val="00030615"/>
    <w:rsid w:val="00032493"/>
    <w:rsid w:val="000326BC"/>
    <w:rsid w:val="00033BEF"/>
    <w:rsid w:val="000344B7"/>
    <w:rsid w:val="000344FB"/>
    <w:rsid w:val="00034919"/>
    <w:rsid w:val="000349A0"/>
    <w:rsid w:val="00034E11"/>
    <w:rsid w:val="000350CD"/>
    <w:rsid w:val="00036043"/>
    <w:rsid w:val="0003718F"/>
    <w:rsid w:val="00037CFD"/>
    <w:rsid w:val="00037EE9"/>
    <w:rsid w:val="000405A4"/>
    <w:rsid w:val="00040858"/>
    <w:rsid w:val="00040B73"/>
    <w:rsid w:val="00040CB8"/>
    <w:rsid w:val="00040ED5"/>
    <w:rsid w:val="00041012"/>
    <w:rsid w:val="00041695"/>
    <w:rsid w:val="00041ACA"/>
    <w:rsid w:val="000422D9"/>
    <w:rsid w:val="00042638"/>
    <w:rsid w:val="000431A0"/>
    <w:rsid w:val="00043215"/>
    <w:rsid w:val="000440CB"/>
    <w:rsid w:val="0004526D"/>
    <w:rsid w:val="0004537B"/>
    <w:rsid w:val="00045D35"/>
    <w:rsid w:val="00046B35"/>
    <w:rsid w:val="000473C4"/>
    <w:rsid w:val="00047F3A"/>
    <w:rsid w:val="00051600"/>
    <w:rsid w:val="0005173A"/>
    <w:rsid w:val="000524DD"/>
    <w:rsid w:val="00052911"/>
    <w:rsid w:val="00052BED"/>
    <w:rsid w:val="000531AC"/>
    <w:rsid w:val="000531CA"/>
    <w:rsid w:val="00053456"/>
    <w:rsid w:val="000537D2"/>
    <w:rsid w:val="000537E5"/>
    <w:rsid w:val="00053D34"/>
    <w:rsid w:val="0005411E"/>
    <w:rsid w:val="0005465A"/>
    <w:rsid w:val="00054A03"/>
    <w:rsid w:val="00055293"/>
    <w:rsid w:val="00056C9D"/>
    <w:rsid w:val="00057C8A"/>
    <w:rsid w:val="0006114E"/>
    <w:rsid w:val="00061F6F"/>
    <w:rsid w:val="00062303"/>
    <w:rsid w:val="0006242C"/>
    <w:rsid w:val="0006295B"/>
    <w:rsid w:val="00063610"/>
    <w:rsid w:val="00065311"/>
    <w:rsid w:val="00066012"/>
    <w:rsid w:val="0006621D"/>
    <w:rsid w:val="000664FF"/>
    <w:rsid w:val="00066954"/>
    <w:rsid w:val="00067EB1"/>
    <w:rsid w:val="00070129"/>
    <w:rsid w:val="00071358"/>
    <w:rsid w:val="00071F22"/>
    <w:rsid w:val="00072B8C"/>
    <w:rsid w:val="00072F67"/>
    <w:rsid w:val="000733C2"/>
    <w:rsid w:val="000741B7"/>
    <w:rsid w:val="0007614C"/>
    <w:rsid w:val="00076701"/>
    <w:rsid w:val="000770D4"/>
    <w:rsid w:val="0008008A"/>
    <w:rsid w:val="00080869"/>
    <w:rsid w:val="00080973"/>
    <w:rsid w:val="00080EA4"/>
    <w:rsid w:val="00080FD6"/>
    <w:rsid w:val="00081252"/>
    <w:rsid w:val="00081385"/>
    <w:rsid w:val="00081556"/>
    <w:rsid w:val="00082A56"/>
    <w:rsid w:val="00083A0E"/>
    <w:rsid w:val="000846CC"/>
    <w:rsid w:val="00084CBA"/>
    <w:rsid w:val="00084ED7"/>
    <w:rsid w:val="00085B5D"/>
    <w:rsid w:val="00085E7E"/>
    <w:rsid w:val="00086FA3"/>
    <w:rsid w:val="00090128"/>
    <w:rsid w:val="00091A27"/>
    <w:rsid w:val="00093089"/>
    <w:rsid w:val="00093BF0"/>
    <w:rsid w:val="00094654"/>
    <w:rsid w:val="000953DD"/>
    <w:rsid w:val="000961AC"/>
    <w:rsid w:val="00097202"/>
    <w:rsid w:val="000A044E"/>
    <w:rsid w:val="000A172D"/>
    <w:rsid w:val="000A19EB"/>
    <w:rsid w:val="000A2714"/>
    <w:rsid w:val="000A370D"/>
    <w:rsid w:val="000A3BF3"/>
    <w:rsid w:val="000A431F"/>
    <w:rsid w:val="000A472B"/>
    <w:rsid w:val="000A4B64"/>
    <w:rsid w:val="000A5926"/>
    <w:rsid w:val="000A65E8"/>
    <w:rsid w:val="000A70F8"/>
    <w:rsid w:val="000A7630"/>
    <w:rsid w:val="000A7663"/>
    <w:rsid w:val="000A7761"/>
    <w:rsid w:val="000A7806"/>
    <w:rsid w:val="000B03C1"/>
    <w:rsid w:val="000B0B59"/>
    <w:rsid w:val="000B229C"/>
    <w:rsid w:val="000B229E"/>
    <w:rsid w:val="000B3499"/>
    <w:rsid w:val="000B3780"/>
    <w:rsid w:val="000B3A89"/>
    <w:rsid w:val="000B3BF2"/>
    <w:rsid w:val="000B56BA"/>
    <w:rsid w:val="000B5A8E"/>
    <w:rsid w:val="000B67C5"/>
    <w:rsid w:val="000B747A"/>
    <w:rsid w:val="000C02BC"/>
    <w:rsid w:val="000C0A71"/>
    <w:rsid w:val="000C0EB9"/>
    <w:rsid w:val="000C1374"/>
    <w:rsid w:val="000C20FE"/>
    <w:rsid w:val="000C22D5"/>
    <w:rsid w:val="000C2890"/>
    <w:rsid w:val="000C2929"/>
    <w:rsid w:val="000C2C5D"/>
    <w:rsid w:val="000C3053"/>
    <w:rsid w:val="000C30D8"/>
    <w:rsid w:val="000C4C41"/>
    <w:rsid w:val="000C5727"/>
    <w:rsid w:val="000C61E6"/>
    <w:rsid w:val="000C766B"/>
    <w:rsid w:val="000C7973"/>
    <w:rsid w:val="000D0469"/>
    <w:rsid w:val="000D1097"/>
    <w:rsid w:val="000D11A5"/>
    <w:rsid w:val="000D15F3"/>
    <w:rsid w:val="000D4922"/>
    <w:rsid w:val="000D5869"/>
    <w:rsid w:val="000D59B1"/>
    <w:rsid w:val="000D63AB"/>
    <w:rsid w:val="000D68A0"/>
    <w:rsid w:val="000D70BB"/>
    <w:rsid w:val="000D7B42"/>
    <w:rsid w:val="000D7BE2"/>
    <w:rsid w:val="000E09A2"/>
    <w:rsid w:val="000E1A46"/>
    <w:rsid w:val="000E21D0"/>
    <w:rsid w:val="000E228E"/>
    <w:rsid w:val="000E2648"/>
    <w:rsid w:val="000E2A2B"/>
    <w:rsid w:val="000E33AB"/>
    <w:rsid w:val="000E46EE"/>
    <w:rsid w:val="000E4AAF"/>
    <w:rsid w:val="000E539B"/>
    <w:rsid w:val="000E5A3D"/>
    <w:rsid w:val="000E5BAA"/>
    <w:rsid w:val="000E62A2"/>
    <w:rsid w:val="000E6911"/>
    <w:rsid w:val="000F09E1"/>
    <w:rsid w:val="000F1024"/>
    <w:rsid w:val="000F13D1"/>
    <w:rsid w:val="000F1410"/>
    <w:rsid w:val="000F187D"/>
    <w:rsid w:val="000F1E5A"/>
    <w:rsid w:val="000F213B"/>
    <w:rsid w:val="000F280B"/>
    <w:rsid w:val="000F2919"/>
    <w:rsid w:val="000F2974"/>
    <w:rsid w:val="000F2D8B"/>
    <w:rsid w:val="000F35F4"/>
    <w:rsid w:val="000F4EF5"/>
    <w:rsid w:val="000F52EB"/>
    <w:rsid w:val="000F7FE0"/>
    <w:rsid w:val="0010124A"/>
    <w:rsid w:val="001018D0"/>
    <w:rsid w:val="00101DD0"/>
    <w:rsid w:val="00102726"/>
    <w:rsid w:val="00102A3B"/>
    <w:rsid w:val="00103F7F"/>
    <w:rsid w:val="00105BC7"/>
    <w:rsid w:val="00105EB0"/>
    <w:rsid w:val="001063CD"/>
    <w:rsid w:val="00106898"/>
    <w:rsid w:val="001069F8"/>
    <w:rsid w:val="001077AA"/>
    <w:rsid w:val="001077B9"/>
    <w:rsid w:val="00107F2A"/>
    <w:rsid w:val="0011104F"/>
    <w:rsid w:val="00111CCE"/>
    <w:rsid w:val="00112856"/>
    <w:rsid w:val="00112919"/>
    <w:rsid w:val="00112ECC"/>
    <w:rsid w:val="00113155"/>
    <w:rsid w:val="00113550"/>
    <w:rsid w:val="00113997"/>
    <w:rsid w:val="00113FA8"/>
    <w:rsid w:val="00114A86"/>
    <w:rsid w:val="00115C61"/>
    <w:rsid w:val="00116D89"/>
    <w:rsid w:val="001175C5"/>
    <w:rsid w:val="0012015F"/>
    <w:rsid w:val="00120CB3"/>
    <w:rsid w:val="00120D71"/>
    <w:rsid w:val="00120F21"/>
    <w:rsid w:val="001210F7"/>
    <w:rsid w:val="00121B81"/>
    <w:rsid w:val="001225D8"/>
    <w:rsid w:val="00122839"/>
    <w:rsid w:val="00124365"/>
    <w:rsid w:val="00125131"/>
    <w:rsid w:val="00125C6A"/>
    <w:rsid w:val="0012642D"/>
    <w:rsid w:val="0012642F"/>
    <w:rsid w:val="00126723"/>
    <w:rsid w:val="00126F72"/>
    <w:rsid w:val="00127E06"/>
    <w:rsid w:val="00130049"/>
    <w:rsid w:val="00130133"/>
    <w:rsid w:val="00130F30"/>
    <w:rsid w:val="001311B7"/>
    <w:rsid w:val="00131F6C"/>
    <w:rsid w:val="00132507"/>
    <w:rsid w:val="0013291C"/>
    <w:rsid w:val="00132DB2"/>
    <w:rsid w:val="00133A0F"/>
    <w:rsid w:val="00133A7A"/>
    <w:rsid w:val="00133C76"/>
    <w:rsid w:val="00134B7A"/>
    <w:rsid w:val="00134E95"/>
    <w:rsid w:val="001360ED"/>
    <w:rsid w:val="001366A8"/>
    <w:rsid w:val="001374D8"/>
    <w:rsid w:val="001377BB"/>
    <w:rsid w:val="00140345"/>
    <w:rsid w:val="00140818"/>
    <w:rsid w:val="00140CA5"/>
    <w:rsid w:val="001417ED"/>
    <w:rsid w:val="0014186E"/>
    <w:rsid w:val="001418E4"/>
    <w:rsid w:val="0014219F"/>
    <w:rsid w:val="00143830"/>
    <w:rsid w:val="0014541F"/>
    <w:rsid w:val="00145547"/>
    <w:rsid w:val="00145DEC"/>
    <w:rsid w:val="00146E1B"/>
    <w:rsid w:val="0014724D"/>
    <w:rsid w:val="001479D2"/>
    <w:rsid w:val="00147E75"/>
    <w:rsid w:val="00150ADD"/>
    <w:rsid w:val="001511BA"/>
    <w:rsid w:val="00151D22"/>
    <w:rsid w:val="00152C65"/>
    <w:rsid w:val="0015313C"/>
    <w:rsid w:val="001533F5"/>
    <w:rsid w:val="001578A1"/>
    <w:rsid w:val="00160532"/>
    <w:rsid w:val="00160B61"/>
    <w:rsid w:val="00160D52"/>
    <w:rsid w:val="00160DFD"/>
    <w:rsid w:val="0016127C"/>
    <w:rsid w:val="001615EF"/>
    <w:rsid w:val="00161667"/>
    <w:rsid w:val="00161A7B"/>
    <w:rsid w:val="00163EAA"/>
    <w:rsid w:val="001641B7"/>
    <w:rsid w:val="0016421C"/>
    <w:rsid w:val="00164BBE"/>
    <w:rsid w:val="001659C0"/>
    <w:rsid w:val="0016771A"/>
    <w:rsid w:val="00167837"/>
    <w:rsid w:val="0017055A"/>
    <w:rsid w:val="00170937"/>
    <w:rsid w:val="00171009"/>
    <w:rsid w:val="00172208"/>
    <w:rsid w:val="0017223A"/>
    <w:rsid w:val="00172282"/>
    <w:rsid w:val="00173CC9"/>
    <w:rsid w:val="00174751"/>
    <w:rsid w:val="00174F84"/>
    <w:rsid w:val="001757EE"/>
    <w:rsid w:val="00176395"/>
    <w:rsid w:val="00176D92"/>
    <w:rsid w:val="0017755E"/>
    <w:rsid w:val="00180BE6"/>
    <w:rsid w:val="00181A22"/>
    <w:rsid w:val="00182C2C"/>
    <w:rsid w:val="00183771"/>
    <w:rsid w:val="001837F6"/>
    <w:rsid w:val="00183EAA"/>
    <w:rsid w:val="0018489E"/>
    <w:rsid w:val="00184D21"/>
    <w:rsid w:val="00184D9A"/>
    <w:rsid w:val="001856B4"/>
    <w:rsid w:val="001861A9"/>
    <w:rsid w:val="00187B9B"/>
    <w:rsid w:val="001914D7"/>
    <w:rsid w:val="001917FB"/>
    <w:rsid w:val="00191A4A"/>
    <w:rsid w:val="00191FE1"/>
    <w:rsid w:val="00192379"/>
    <w:rsid w:val="00192A4A"/>
    <w:rsid w:val="00192BB3"/>
    <w:rsid w:val="00193072"/>
    <w:rsid w:val="001939F8"/>
    <w:rsid w:val="00195A08"/>
    <w:rsid w:val="00195E3B"/>
    <w:rsid w:val="001978B0"/>
    <w:rsid w:val="00197AE5"/>
    <w:rsid w:val="001A0DD9"/>
    <w:rsid w:val="001A0EA1"/>
    <w:rsid w:val="001A0FF5"/>
    <w:rsid w:val="001A1EF6"/>
    <w:rsid w:val="001A22B7"/>
    <w:rsid w:val="001A327A"/>
    <w:rsid w:val="001A4532"/>
    <w:rsid w:val="001A662D"/>
    <w:rsid w:val="001A6CAC"/>
    <w:rsid w:val="001B0AE5"/>
    <w:rsid w:val="001B126E"/>
    <w:rsid w:val="001B1581"/>
    <w:rsid w:val="001B17AD"/>
    <w:rsid w:val="001B19C6"/>
    <w:rsid w:val="001B2507"/>
    <w:rsid w:val="001B3216"/>
    <w:rsid w:val="001B3A06"/>
    <w:rsid w:val="001B4529"/>
    <w:rsid w:val="001B4A8F"/>
    <w:rsid w:val="001B4E1B"/>
    <w:rsid w:val="001B5D51"/>
    <w:rsid w:val="001B6AB9"/>
    <w:rsid w:val="001B70C9"/>
    <w:rsid w:val="001B7790"/>
    <w:rsid w:val="001B79B5"/>
    <w:rsid w:val="001C02B8"/>
    <w:rsid w:val="001C073E"/>
    <w:rsid w:val="001C22BC"/>
    <w:rsid w:val="001C2B46"/>
    <w:rsid w:val="001C2B83"/>
    <w:rsid w:val="001C3180"/>
    <w:rsid w:val="001C35E3"/>
    <w:rsid w:val="001C3A81"/>
    <w:rsid w:val="001C3B4A"/>
    <w:rsid w:val="001C4A14"/>
    <w:rsid w:val="001C53BA"/>
    <w:rsid w:val="001C5901"/>
    <w:rsid w:val="001D012A"/>
    <w:rsid w:val="001D0270"/>
    <w:rsid w:val="001D04A7"/>
    <w:rsid w:val="001D1025"/>
    <w:rsid w:val="001D182C"/>
    <w:rsid w:val="001D3D6A"/>
    <w:rsid w:val="001D546B"/>
    <w:rsid w:val="001D671A"/>
    <w:rsid w:val="001D674D"/>
    <w:rsid w:val="001D67E9"/>
    <w:rsid w:val="001D6946"/>
    <w:rsid w:val="001D7C1E"/>
    <w:rsid w:val="001D7E7E"/>
    <w:rsid w:val="001E0BCD"/>
    <w:rsid w:val="001E0C84"/>
    <w:rsid w:val="001E1506"/>
    <w:rsid w:val="001E3A5D"/>
    <w:rsid w:val="001E3BDB"/>
    <w:rsid w:val="001E42EC"/>
    <w:rsid w:val="001E431B"/>
    <w:rsid w:val="001E476C"/>
    <w:rsid w:val="001E50A4"/>
    <w:rsid w:val="001E5792"/>
    <w:rsid w:val="001E66DD"/>
    <w:rsid w:val="001E69AA"/>
    <w:rsid w:val="001F19FF"/>
    <w:rsid w:val="001F1A2C"/>
    <w:rsid w:val="001F1D88"/>
    <w:rsid w:val="001F1DA5"/>
    <w:rsid w:val="001F21D7"/>
    <w:rsid w:val="001F2B26"/>
    <w:rsid w:val="001F2F54"/>
    <w:rsid w:val="001F3B4F"/>
    <w:rsid w:val="001F4DAB"/>
    <w:rsid w:val="001F4E55"/>
    <w:rsid w:val="001F50C4"/>
    <w:rsid w:val="001F54BA"/>
    <w:rsid w:val="001F5D82"/>
    <w:rsid w:val="001F72D3"/>
    <w:rsid w:val="001F73B4"/>
    <w:rsid w:val="001F74A0"/>
    <w:rsid w:val="001F7B03"/>
    <w:rsid w:val="002010C6"/>
    <w:rsid w:val="002010D3"/>
    <w:rsid w:val="0020135F"/>
    <w:rsid w:val="002036DA"/>
    <w:rsid w:val="00204A7F"/>
    <w:rsid w:val="00206D62"/>
    <w:rsid w:val="002070FF"/>
    <w:rsid w:val="0021048B"/>
    <w:rsid w:val="0021093C"/>
    <w:rsid w:val="00210D96"/>
    <w:rsid w:val="002128E3"/>
    <w:rsid w:val="0021292B"/>
    <w:rsid w:val="00213065"/>
    <w:rsid w:val="00213095"/>
    <w:rsid w:val="0021351E"/>
    <w:rsid w:val="002140A8"/>
    <w:rsid w:val="0021441C"/>
    <w:rsid w:val="00214685"/>
    <w:rsid w:val="00215298"/>
    <w:rsid w:val="0021551C"/>
    <w:rsid w:val="0021571F"/>
    <w:rsid w:val="00216084"/>
    <w:rsid w:val="00216510"/>
    <w:rsid w:val="002170AD"/>
    <w:rsid w:val="00221506"/>
    <w:rsid w:val="00221AEB"/>
    <w:rsid w:val="00221FE7"/>
    <w:rsid w:val="00222A26"/>
    <w:rsid w:val="0022302E"/>
    <w:rsid w:val="00223258"/>
    <w:rsid w:val="002235BC"/>
    <w:rsid w:val="00224B40"/>
    <w:rsid w:val="00224CD5"/>
    <w:rsid w:val="00225459"/>
    <w:rsid w:val="00225599"/>
    <w:rsid w:val="0022573B"/>
    <w:rsid w:val="002257BE"/>
    <w:rsid w:val="002273C5"/>
    <w:rsid w:val="00231562"/>
    <w:rsid w:val="00234A82"/>
    <w:rsid w:val="002355A7"/>
    <w:rsid w:val="00235AC8"/>
    <w:rsid w:val="00235D37"/>
    <w:rsid w:val="00236265"/>
    <w:rsid w:val="00236351"/>
    <w:rsid w:val="00237AAD"/>
    <w:rsid w:val="00237ABF"/>
    <w:rsid w:val="00237D21"/>
    <w:rsid w:val="00237D71"/>
    <w:rsid w:val="00237E41"/>
    <w:rsid w:val="00240A63"/>
    <w:rsid w:val="00240BF9"/>
    <w:rsid w:val="002419B6"/>
    <w:rsid w:val="00242078"/>
    <w:rsid w:val="002429D3"/>
    <w:rsid w:val="0024327C"/>
    <w:rsid w:val="00243B8E"/>
    <w:rsid w:val="0024494B"/>
    <w:rsid w:val="00245409"/>
    <w:rsid w:val="00247FB6"/>
    <w:rsid w:val="00250370"/>
    <w:rsid w:val="0025068B"/>
    <w:rsid w:val="00250B38"/>
    <w:rsid w:val="002515E7"/>
    <w:rsid w:val="002515F2"/>
    <w:rsid w:val="00251FC0"/>
    <w:rsid w:val="00253094"/>
    <w:rsid w:val="0025373F"/>
    <w:rsid w:val="00253D3D"/>
    <w:rsid w:val="00254417"/>
    <w:rsid w:val="0025649F"/>
    <w:rsid w:val="00256F30"/>
    <w:rsid w:val="00257477"/>
    <w:rsid w:val="002575CC"/>
    <w:rsid w:val="002601FC"/>
    <w:rsid w:val="002604AB"/>
    <w:rsid w:val="002609BA"/>
    <w:rsid w:val="002612C8"/>
    <w:rsid w:val="00261F7C"/>
    <w:rsid w:val="002623B4"/>
    <w:rsid w:val="002630EB"/>
    <w:rsid w:val="002637C2"/>
    <w:rsid w:val="00263BD2"/>
    <w:rsid w:val="002642EB"/>
    <w:rsid w:val="002645C4"/>
    <w:rsid w:val="002658A9"/>
    <w:rsid w:val="00266A25"/>
    <w:rsid w:val="00266B18"/>
    <w:rsid w:val="00270224"/>
    <w:rsid w:val="00270708"/>
    <w:rsid w:val="0027075C"/>
    <w:rsid w:val="00270A64"/>
    <w:rsid w:val="00270C6B"/>
    <w:rsid w:val="00270DCE"/>
    <w:rsid w:val="00272358"/>
    <w:rsid w:val="00272696"/>
    <w:rsid w:val="00273A34"/>
    <w:rsid w:val="0027553A"/>
    <w:rsid w:val="002757DF"/>
    <w:rsid w:val="00276C8E"/>
    <w:rsid w:val="00276D67"/>
    <w:rsid w:val="002777F0"/>
    <w:rsid w:val="00280F60"/>
    <w:rsid w:val="002817D9"/>
    <w:rsid w:val="002845B5"/>
    <w:rsid w:val="00284AB9"/>
    <w:rsid w:val="00284F38"/>
    <w:rsid w:val="002856C3"/>
    <w:rsid w:val="00286886"/>
    <w:rsid w:val="00286EED"/>
    <w:rsid w:val="0029015D"/>
    <w:rsid w:val="00291296"/>
    <w:rsid w:val="00292D11"/>
    <w:rsid w:val="002946F0"/>
    <w:rsid w:val="00294ED2"/>
    <w:rsid w:val="002961B6"/>
    <w:rsid w:val="00296AB3"/>
    <w:rsid w:val="00297A32"/>
    <w:rsid w:val="00297BB1"/>
    <w:rsid w:val="002A01AB"/>
    <w:rsid w:val="002A14C4"/>
    <w:rsid w:val="002A15E2"/>
    <w:rsid w:val="002A2048"/>
    <w:rsid w:val="002A236C"/>
    <w:rsid w:val="002A2B79"/>
    <w:rsid w:val="002A333C"/>
    <w:rsid w:val="002A383E"/>
    <w:rsid w:val="002A43F1"/>
    <w:rsid w:val="002A4775"/>
    <w:rsid w:val="002A5546"/>
    <w:rsid w:val="002A5AAE"/>
    <w:rsid w:val="002A5DA3"/>
    <w:rsid w:val="002A6019"/>
    <w:rsid w:val="002A7E84"/>
    <w:rsid w:val="002A7F64"/>
    <w:rsid w:val="002B0D92"/>
    <w:rsid w:val="002B14BF"/>
    <w:rsid w:val="002B38AE"/>
    <w:rsid w:val="002B3C0B"/>
    <w:rsid w:val="002B3C8E"/>
    <w:rsid w:val="002B4039"/>
    <w:rsid w:val="002B4633"/>
    <w:rsid w:val="002B48D2"/>
    <w:rsid w:val="002B4EC8"/>
    <w:rsid w:val="002B54FF"/>
    <w:rsid w:val="002B64D8"/>
    <w:rsid w:val="002B66F6"/>
    <w:rsid w:val="002B716A"/>
    <w:rsid w:val="002B7AA9"/>
    <w:rsid w:val="002C0B63"/>
    <w:rsid w:val="002C20B6"/>
    <w:rsid w:val="002C2171"/>
    <w:rsid w:val="002C2201"/>
    <w:rsid w:val="002C2FE8"/>
    <w:rsid w:val="002C36AA"/>
    <w:rsid w:val="002C3CAA"/>
    <w:rsid w:val="002C4AE7"/>
    <w:rsid w:val="002C5562"/>
    <w:rsid w:val="002C6234"/>
    <w:rsid w:val="002C6B36"/>
    <w:rsid w:val="002C6E0D"/>
    <w:rsid w:val="002D1BCE"/>
    <w:rsid w:val="002D1E03"/>
    <w:rsid w:val="002D1FC9"/>
    <w:rsid w:val="002D29EC"/>
    <w:rsid w:val="002D2B8C"/>
    <w:rsid w:val="002D5C56"/>
    <w:rsid w:val="002D7715"/>
    <w:rsid w:val="002E0E8F"/>
    <w:rsid w:val="002E0FC7"/>
    <w:rsid w:val="002E1619"/>
    <w:rsid w:val="002E27AC"/>
    <w:rsid w:val="002E2840"/>
    <w:rsid w:val="002E4F7F"/>
    <w:rsid w:val="002E5383"/>
    <w:rsid w:val="002E5EBC"/>
    <w:rsid w:val="002E6407"/>
    <w:rsid w:val="002E72C3"/>
    <w:rsid w:val="002E7DB6"/>
    <w:rsid w:val="002F005D"/>
    <w:rsid w:val="002F0BE1"/>
    <w:rsid w:val="002F1CBE"/>
    <w:rsid w:val="002F1F99"/>
    <w:rsid w:val="002F416B"/>
    <w:rsid w:val="002F4728"/>
    <w:rsid w:val="002F51D3"/>
    <w:rsid w:val="002F5767"/>
    <w:rsid w:val="002F599E"/>
    <w:rsid w:val="002F5AAE"/>
    <w:rsid w:val="002F5C55"/>
    <w:rsid w:val="002F64C9"/>
    <w:rsid w:val="002F69D5"/>
    <w:rsid w:val="002F6FBA"/>
    <w:rsid w:val="00300220"/>
    <w:rsid w:val="0030193C"/>
    <w:rsid w:val="00301F96"/>
    <w:rsid w:val="0030262B"/>
    <w:rsid w:val="00302C05"/>
    <w:rsid w:val="0030379E"/>
    <w:rsid w:val="00303F79"/>
    <w:rsid w:val="003041C9"/>
    <w:rsid w:val="0030557C"/>
    <w:rsid w:val="003060C3"/>
    <w:rsid w:val="0030645C"/>
    <w:rsid w:val="00306674"/>
    <w:rsid w:val="003074C3"/>
    <w:rsid w:val="00310618"/>
    <w:rsid w:val="00310F06"/>
    <w:rsid w:val="003114FE"/>
    <w:rsid w:val="003116EC"/>
    <w:rsid w:val="00312933"/>
    <w:rsid w:val="003137C9"/>
    <w:rsid w:val="00313FE1"/>
    <w:rsid w:val="00314740"/>
    <w:rsid w:val="00314CF9"/>
    <w:rsid w:val="00314F63"/>
    <w:rsid w:val="00315C03"/>
    <w:rsid w:val="003172D0"/>
    <w:rsid w:val="00317EAF"/>
    <w:rsid w:val="003205BD"/>
    <w:rsid w:val="003209F7"/>
    <w:rsid w:val="003219F2"/>
    <w:rsid w:val="00323325"/>
    <w:rsid w:val="0032410D"/>
    <w:rsid w:val="00324157"/>
    <w:rsid w:val="00325867"/>
    <w:rsid w:val="0032672E"/>
    <w:rsid w:val="00332AD9"/>
    <w:rsid w:val="00332FC5"/>
    <w:rsid w:val="0033346D"/>
    <w:rsid w:val="0033356E"/>
    <w:rsid w:val="003338C3"/>
    <w:rsid w:val="00333E19"/>
    <w:rsid w:val="00335E3D"/>
    <w:rsid w:val="00337CEF"/>
    <w:rsid w:val="00337FA6"/>
    <w:rsid w:val="00341172"/>
    <w:rsid w:val="00341A90"/>
    <w:rsid w:val="00341C97"/>
    <w:rsid w:val="003427F2"/>
    <w:rsid w:val="003429A4"/>
    <w:rsid w:val="00342FDC"/>
    <w:rsid w:val="00344641"/>
    <w:rsid w:val="00344880"/>
    <w:rsid w:val="003457E3"/>
    <w:rsid w:val="003460EB"/>
    <w:rsid w:val="00347B39"/>
    <w:rsid w:val="003502C1"/>
    <w:rsid w:val="00350668"/>
    <w:rsid w:val="00351971"/>
    <w:rsid w:val="0035214A"/>
    <w:rsid w:val="00352395"/>
    <w:rsid w:val="00352C36"/>
    <w:rsid w:val="00352D6B"/>
    <w:rsid w:val="00352E61"/>
    <w:rsid w:val="003532C2"/>
    <w:rsid w:val="003533C2"/>
    <w:rsid w:val="00353D4A"/>
    <w:rsid w:val="00354806"/>
    <w:rsid w:val="00354CFA"/>
    <w:rsid w:val="003578C4"/>
    <w:rsid w:val="00357D73"/>
    <w:rsid w:val="00361043"/>
    <w:rsid w:val="0036114C"/>
    <w:rsid w:val="00361CDB"/>
    <w:rsid w:val="00362A64"/>
    <w:rsid w:val="003634FE"/>
    <w:rsid w:val="00364297"/>
    <w:rsid w:val="003646E7"/>
    <w:rsid w:val="003648A2"/>
    <w:rsid w:val="00365086"/>
    <w:rsid w:val="0036595A"/>
    <w:rsid w:val="00365B43"/>
    <w:rsid w:val="00366356"/>
    <w:rsid w:val="00366AB2"/>
    <w:rsid w:val="00367531"/>
    <w:rsid w:val="0036765A"/>
    <w:rsid w:val="00367DE2"/>
    <w:rsid w:val="00370D2D"/>
    <w:rsid w:val="003717AB"/>
    <w:rsid w:val="0037198F"/>
    <w:rsid w:val="00371B61"/>
    <w:rsid w:val="00372030"/>
    <w:rsid w:val="0037218D"/>
    <w:rsid w:val="00372F4F"/>
    <w:rsid w:val="003732CC"/>
    <w:rsid w:val="00373689"/>
    <w:rsid w:val="003740EC"/>
    <w:rsid w:val="00374841"/>
    <w:rsid w:val="00380119"/>
    <w:rsid w:val="003804A0"/>
    <w:rsid w:val="00381FF0"/>
    <w:rsid w:val="003829CA"/>
    <w:rsid w:val="00382F57"/>
    <w:rsid w:val="003839E5"/>
    <w:rsid w:val="003843B8"/>
    <w:rsid w:val="003843C3"/>
    <w:rsid w:val="003845B5"/>
    <w:rsid w:val="00386EC8"/>
    <w:rsid w:val="00390636"/>
    <w:rsid w:val="0039160E"/>
    <w:rsid w:val="0039305A"/>
    <w:rsid w:val="00393BD8"/>
    <w:rsid w:val="00397B2F"/>
    <w:rsid w:val="003A0E65"/>
    <w:rsid w:val="003A20F4"/>
    <w:rsid w:val="003A25BD"/>
    <w:rsid w:val="003A2C86"/>
    <w:rsid w:val="003A345F"/>
    <w:rsid w:val="003A3B8B"/>
    <w:rsid w:val="003A43C4"/>
    <w:rsid w:val="003A53C3"/>
    <w:rsid w:val="003A5510"/>
    <w:rsid w:val="003A5915"/>
    <w:rsid w:val="003A594C"/>
    <w:rsid w:val="003A59BB"/>
    <w:rsid w:val="003A6115"/>
    <w:rsid w:val="003A67D9"/>
    <w:rsid w:val="003A7608"/>
    <w:rsid w:val="003A78C2"/>
    <w:rsid w:val="003B141B"/>
    <w:rsid w:val="003B1724"/>
    <w:rsid w:val="003B27E6"/>
    <w:rsid w:val="003B3B0B"/>
    <w:rsid w:val="003B4838"/>
    <w:rsid w:val="003B5A88"/>
    <w:rsid w:val="003B63B7"/>
    <w:rsid w:val="003B677A"/>
    <w:rsid w:val="003B68C3"/>
    <w:rsid w:val="003C1C71"/>
    <w:rsid w:val="003C2628"/>
    <w:rsid w:val="003C2F6E"/>
    <w:rsid w:val="003C3605"/>
    <w:rsid w:val="003C38E6"/>
    <w:rsid w:val="003C5FA6"/>
    <w:rsid w:val="003C64EF"/>
    <w:rsid w:val="003C6669"/>
    <w:rsid w:val="003C718C"/>
    <w:rsid w:val="003C7341"/>
    <w:rsid w:val="003C7905"/>
    <w:rsid w:val="003D0C4C"/>
    <w:rsid w:val="003D0F81"/>
    <w:rsid w:val="003D11DC"/>
    <w:rsid w:val="003D1540"/>
    <w:rsid w:val="003D2044"/>
    <w:rsid w:val="003D22FA"/>
    <w:rsid w:val="003D2382"/>
    <w:rsid w:val="003D38BA"/>
    <w:rsid w:val="003D4BDF"/>
    <w:rsid w:val="003D50AD"/>
    <w:rsid w:val="003D5101"/>
    <w:rsid w:val="003D55C1"/>
    <w:rsid w:val="003D569F"/>
    <w:rsid w:val="003D5DEB"/>
    <w:rsid w:val="003D7141"/>
    <w:rsid w:val="003D77AC"/>
    <w:rsid w:val="003E081B"/>
    <w:rsid w:val="003E1383"/>
    <w:rsid w:val="003E1971"/>
    <w:rsid w:val="003E1E2F"/>
    <w:rsid w:val="003E25E7"/>
    <w:rsid w:val="003E4307"/>
    <w:rsid w:val="003E4542"/>
    <w:rsid w:val="003E4A83"/>
    <w:rsid w:val="003E526C"/>
    <w:rsid w:val="003E5C30"/>
    <w:rsid w:val="003E5F8A"/>
    <w:rsid w:val="003E6535"/>
    <w:rsid w:val="003E6FF2"/>
    <w:rsid w:val="003E73AF"/>
    <w:rsid w:val="003E7A1B"/>
    <w:rsid w:val="003F1173"/>
    <w:rsid w:val="003F1523"/>
    <w:rsid w:val="003F206B"/>
    <w:rsid w:val="003F2C4A"/>
    <w:rsid w:val="003F2EB9"/>
    <w:rsid w:val="003F3418"/>
    <w:rsid w:val="003F4089"/>
    <w:rsid w:val="003F4287"/>
    <w:rsid w:val="003F438D"/>
    <w:rsid w:val="003F4527"/>
    <w:rsid w:val="003F6F6B"/>
    <w:rsid w:val="003F73FE"/>
    <w:rsid w:val="003F7C9F"/>
    <w:rsid w:val="00402732"/>
    <w:rsid w:val="0040348C"/>
    <w:rsid w:val="0040354F"/>
    <w:rsid w:val="0040363D"/>
    <w:rsid w:val="00404891"/>
    <w:rsid w:val="00404A29"/>
    <w:rsid w:val="00404F7B"/>
    <w:rsid w:val="00405CD6"/>
    <w:rsid w:val="00405DA7"/>
    <w:rsid w:val="00406C16"/>
    <w:rsid w:val="00406C23"/>
    <w:rsid w:val="00407044"/>
    <w:rsid w:val="00407474"/>
    <w:rsid w:val="004106C0"/>
    <w:rsid w:val="004107C9"/>
    <w:rsid w:val="004109B8"/>
    <w:rsid w:val="00410AD0"/>
    <w:rsid w:val="0041348C"/>
    <w:rsid w:val="00413602"/>
    <w:rsid w:val="004141BF"/>
    <w:rsid w:val="004144E1"/>
    <w:rsid w:val="00415275"/>
    <w:rsid w:val="004156FA"/>
    <w:rsid w:val="00415A16"/>
    <w:rsid w:val="004162DB"/>
    <w:rsid w:val="004168DE"/>
    <w:rsid w:val="00416993"/>
    <w:rsid w:val="00417677"/>
    <w:rsid w:val="004205B3"/>
    <w:rsid w:val="00420F71"/>
    <w:rsid w:val="0042180D"/>
    <w:rsid w:val="004231D3"/>
    <w:rsid w:val="0042354A"/>
    <w:rsid w:val="00423863"/>
    <w:rsid w:val="00424A18"/>
    <w:rsid w:val="0042593E"/>
    <w:rsid w:val="004266B2"/>
    <w:rsid w:val="0042690F"/>
    <w:rsid w:val="0042696F"/>
    <w:rsid w:val="00427444"/>
    <w:rsid w:val="00427B2D"/>
    <w:rsid w:val="00427C8E"/>
    <w:rsid w:val="00430E00"/>
    <w:rsid w:val="00431879"/>
    <w:rsid w:val="0043264A"/>
    <w:rsid w:val="00432E4A"/>
    <w:rsid w:val="00433167"/>
    <w:rsid w:val="00433963"/>
    <w:rsid w:val="00433D1C"/>
    <w:rsid w:val="004340CD"/>
    <w:rsid w:val="0043467A"/>
    <w:rsid w:val="004348FE"/>
    <w:rsid w:val="004362D7"/>
    <w:rsid w:val="0043647D"/>
    <w:rsid w:val="00437785"/>
    <w:rsid w:val="00437909"/>
    <w:rsid w:val="004400FE"/>
    <w:rsid w:val="00440F1F"/>
    <w:rsid w:val="0044238C"/>
    <w:rsid w:val="0044275B"/>
    <w:rsid w:val="00442C53"/>
    <w:rsid w:val="00444FFC"/>
    <w:rsid w:val="004466BE"/>
    <w:rsid w:val="00446EC4"/>
    <w:rsid w:val="004478DE"/>
    <w:rsid w:val="004512D4"/>
    <w:rsid w:val="00451F59"/>
    <w:rsid w:val="0045210C"/>
    <w:rsid w:val="0045258E"/>
    <w:rsid w:val="00452A91"/>
    <w:rsid w:val="004533A7"/>
    <w:rsid w:val="004533F1"/>
    <w:rsid w:val="00453AEE"/>
    <w:rsid w:val="004562C5"/>
    <w:rsid w:val="0045630B"/>
    <w:rsid w:val="00456366"/>
    <w:rsid w:val="0045680B"/>
    <w:rsid w:val="00456B9E"/>
    <w:rsid w:val="00460046"/>
    <w:rsid w:val="00460333"/>
    <w:rsid w:val="00460C79"/>
    <w:rsid w:val="00460F9E"/>
    <w:rsid w:val="00462800"/>
    <w:rsid w:val="004637C0"/>
    <w:rsid w:val="004647AC"/>
    <w:rsid w:val="00465B03"/>
    <w:rsid w:val="0046633C"/>
    <w:rsid w:val="0046638F"/>
    <w:rsid w:val="004669BD"/>
    <w:rsid w:val="00467254"/>
    <w:rsid w:val="00470CD8"/>
    <w:rsid w:val="00471659"/>
    <w:rsid w:val="004724E1"/>
    <w:rsid w:val="004726D6"/>
    <w:rsid w:val="00473432"/>
    <w:rsid w:val="00473918"/>
    <w:rsid w:val="00473B7D"/>
    <w:rsid w:val="00474186"/>
    <w:rsid w:val="004750E4"/>
    <w:rsid w:val="00475218"/>
    <w:rsid w:val="004756F5"/>
    <w:rsid w:val="004764B8"/>
    <w:rsid w:val="00476668"/>
    <w:rsid w:val="0047768F"/>
    <w:rsid w:val="00477E0A"/>
    <w:rsid w:val="00480119"/>
    <w:rsid w:val="00480F37"/>
    <w:rsid w:val="00481442"/>
    <w:rsid w:val="00482709"/>
    <w:rsid w:val="0048334E"/>
    <w:rsid w:val="00483BBB"/>
    <w:rsid w:val="00484559"/>
    <w:rsid w:val="00484B97"/>
    <w:rsid w:val="00485028"/>
    <w:rsid w:val="0048624A"/>
    <w:rsid w:val="004869D7"/>
    <w:rsid w:val="00487DE0"/>
    <w:rsid w:val="00487FE0"/>
    <w:rsid w:val="00490181"/>
    <w:rsid w:val="00490198"/>
    <w:rsid w:val="00490632"/>
    <w:rsid w:val="00490A6D"/>
    <w:rsid w:val="0049209E"/>
    <w:rsid w:val="004924BB"/>
    <w:rsid w:val="00493105"/>
    <w:rsid w:val="0049322D"/>
    <w:rsid w:val="00493257"/>
    <w:rsid w:val="00494584"/>
    <w:rsid w:val="004946CD"/>
    <w:rsid w:val="00494EF9"/>
    <w:rsid w:val="00494F85"/>
    <w:rsid w:val="0049523D"/>
    <w:rsid w:val="00496503"/>
    <w:rsid w:val="00496936"/>
    <w:rsid w:val="004A0110"/>
    <w:rsid w:val="004A0554"/>
    <w:rsid w:val="004A0710"/>
    <w:rsid w:val="004A0E29"/>
    <w:rsid w:val="004A0E8B"/>
    <w:rsid w:val="004A1400"/>
    <w:rsid w:val="004A1473"/>
    <w:rsid w:val="004A14CD"/>
    <w:rsid w:val="004A1559"/>
    <w:rsid w:val="004A197A"/>
    <w:rsid w:val="004A1CFB"/>
    <w:rsid w:val="004A1D40"/>
    <w:rsid w:val="004A236C"/>
    <w:rsid w:val="004A2FCD"/>
    <w:rsid w:val="004A31DA"/>
    <w:rsid w:val="004A3FAA"/>
    <w:rsid w:val="004A66F5"/>
    <w:rsid w:val="004A7F47"/>
    <w:rsid w:val="004B064A"/>
    <w:rsid w:val="004B07CD"/>
    <w:rsid w:val="004B4BDC"/>
    <w:rsid w:val="004B4D4F"/>
    <w:rsid w:val="004B5287"/>
    <w:rsid w:val="004B5937"/>
    <w:rsid w:val="004B5C1F"/>
    <w:rsid w:val="004B6513"/>
    <w:rsid w:val="004B6750"/>
    <w:rsid w:val="004B6EDD"/>
    <w:rsid w:val="004B725E"/>
    <w:rsid w:val="004C0337"/>
    <w:rsid w:val="004C0883"/>
    <w:rsid w:val="004C0BDF"/>
    <w:rsid w:val="004C1766"/>
    <w:rsid w:val="004C1DA9"/>
    <w:rsid w:val="004C3059"/>
    <w:rsid w:val="004C340E"/>
    <w:rsid w:val="004C3A98"/>
    <w:rsid w:val="004C57B5"/>
    <w:rsid w:val="004C5DB7"/>
    <w:rsid w:val="004C6318"/>
    <w:rsid w:val="004C65A3"/>
    <w:rsid w:val="004C746A"/>
    <w:rsid w:val="004C7DA8"/>
    <w:rsid w:val="004C7F23"/>
    <w:rsid w:val="004D02C9"/>
    <w:rsid w:val="004D136E"/>
    <w:rsid w:val="004D2410"/>
    <w:rsid w:val="004D2981"/>
    <w:rsid w:val="004D36EA"/>
    <w:rsid w:val="004D3A68"/>
    <w:rsid w:val="004D5055"/>
    <w:rsid w:val="004D5224"/>
    <w:rsid w:val="004D56FF"/>
    <w:rsid w:val="004D5A46"/>
    <w:rsid w:val="004D5B94"/>
    <w:rsid w:val="004D62A7"/>
    <w:rsid w:val="004D68AA"/>
    <w:rsid w:val="004D748D"/>
    <w:rsid w:val="004E00AD"/>
    <w:rsid w:val="004E01CC"/>
    <w:rsid w:val="004E0FB3"/>
    <w:rsid w:val="004E19F3"/>
    <w:rsid w:val="004E1C4C"/>
    <w:rsid w:val="004E2962"/>
    <w:rsid w:val="004E2D12"/>
    <w:rsid w:val="004E3432"/>
    <w:rsid w:val="004E3600"/>
    <w:rsid w:val="004E3CAB"/>
    <w:rsid w:val="004E5365"/>
    <w:rsid w:val="004E5C41"/>
    <w:rsid w:val="004E5E3C"/>
    <w:rsid w:val="004E6431"/>
    <w:rsid w:val="004E6C6E"/>
    <w:rsid w:val="004E79F7"/>
    <w:rsid w:val="004F0FE8"/>
    <w:rsid w:val="004F136A"/>
    <w:rsid w:val="004F1652"/>
    <w:rsid w:val="004F23F0"/>
    <w:rsid w:val="004F2E08"/>
    <w:rsid w:val="004F2EE7"/>
    <w:rsid w:val="004F319C"/>
    <w:rsid w:val="004F31A3"/>
    <w:rsid w:val="004F33B0"/>
    <w:rsid w:val="004F3B08"/>
    <w:rsid w:val="004F4647"/>
    <w:rsid w:val="004F46B7"/>
    <w:rsid w:val="004F46E6"/>
    <w:rsid w:val="004F5A03"/>
    <w:rsid w:val="004F6530"/>
    <w:rsid w:val="004F71A1"/>
    <w:rsid w:val="004F7204"/>
    <w:rsid w:val="004F758B"/>
    <w:rsid w:val="004F786B"/>
    <w:rsid w:val="004F7F66"/>
    <w:rsid w:val="00500741"/>
    <w:rsid w:val="005013AD"/>
    <w:rsid w:val="00501760"/>
    <w:rsid w:val="00501DE6"/>
    <w:rsid w:val="0050211B"/>
    <w:rsid w:val="0050243A"/>
    <w:rsid w:val="005037C9"/>
    <w:rsid w:val="0050413A"/>
    <w:rsid w:val="005055A1"/>
    <w:rsid w:val="005069D5"/>
    <w:rsid w:val="00506BB2"/>
    <w:rsid w:val="0050728C"/>
    <w:rsid w:val="00510342"/>
    <w:rsid w:val="00510E06"/>
    <w:rsid w:val="005121E9"/>
    <w:rsid w:val="005124BD"/>
    <w:rsid w:val="00513BC0"/>
    <w:rsid w:val="00514115"/>
    <w:rsid w:val="00514209"/>
    <w:rsid w:val="00514E7E"/>
    <w:rsid w:val="005167A6"/>
    <w:rsid w:val="00517B93"/>
    <w:rsid w:val="005201BA"/>
    <w:rsid w:val="00522BA6"/>
    <w:rsid w:val="00522FC9"/>
    <w:rsid w:val="00523119"/>
    <w:rsid w:val="005245FD"/>
    <w:rsid w:val="005247AA"/>
    <w:rsid w:val="005247B8"/>
    <w:rsid w:val="00524B80"/>
    <w:rsid w:val="00525762"/>
    <w:rsid w:val="00525D90"/>
    <w:rsid w:val="005267D1"/>
    <w:rsid w:val="00530967"/>
    <w:rsid w:val="00530ED7"/>
    <w:rsid w:val="0053111D"/>
    <w:rsid w:val="0053176F"/>
    <w:rsid w:val="005318CB"/>
    <w:rsid w:val="00531FEB"/>
    <w:rsid w:val="005324FD"/>
    <w:rsid w:val="00532ECA"/>
    <w:rsid w:val="0053320C"/>
    <w:rsid w:val="00533DAD"/>
    <w:rsid w:val="005346D2"/>
    <w:rsid w:val="00534CD7"/>
    <w:rsid w:val="00535738"/>
    <w:rsid w:val="00536350"/>
    <w:rsid w:val="00536488"/>
    <w:rsid w:val="00537DB1"/>
    <w:rsid w:val="00541738"/>
    <w:rsid w:val="00542D2D"/>
    <w:rsid w:val="00544FED"/>
    <w:rsid w:val="005459BE"/>
    <w:rsid w:val="0054686D"/>
    <w:rsid w:val="00546E8E"/>
    <w:rsid w:val="00546FC8"/>
    <w:rsid w:val="00546FFB"/>
    <w:rsid w:val="005473EA"/>
    <w:rsid w:val="00547827"/>
    <w:rsid w:val="005523A8"/>
    <w:rsid w:val="00552EB4"/>
    <w:rsid w:val="00552F41"/>
    <w:rsid w:val="00553069"/>
    <w:rsid w:val="005550A6"/>
    <w:rsid w:val="00555CF9"/>
    <w:rsid w:val="00556198"/>
    <w:rsid w:val="005562C1"/>
    <w:rsid w:val="0055684A"/>
    <w:rsid w:val="005569A8"/>
    <w:rsid w:val="00556DD3"/>
    <w:rsid w:val="00560B28"/>
    <w:rsid w:val="005610F0"/>
    <w:rsid w:val="005625AD"/>
    <w:rsid w:val="00562D5A"/>
    <w:rsid w:val="005631C3"/>
    <w:rsid w:val="00563D68"/>
    <w:rsid w:val="00565044"/>
    <w:rsid w:val="00565FA5"/>
    <w:rsid w:val="0056635D"/>
    <w:rsid w:val="005669CC"/>
    <w:rsid w:val="0056736C"/>
    <w:rsid w:val="0056758D"/>
    <w:rsid w:val="0057148A"/>
    <w:rsid w:val="00571532"/>
    <w:rsid w:val="00571AA1"/>
    <w:rsid w:val="00571B46"/>
    <w:rsid w:val="00571C8D"/>
    <w:rsid w:val="00573443"/>
    <w:rsid w:val="005737FB"/>
    <w:rsid w:val="00573A2F"/>
    <w:rsid w:val="0057636D"/>
    <w:rsid w:val="00580A06"/>
    <w:rsid w:val="00582DFF"/>
    <w:rsid w:val="005839D0"/>
    <w:rsid w:val="00583E2C"/>
    <w:rsid w:val="00583F51"/>
    <w:rsid w:val="00584032"/>
    <w:rsid w:val="005853BF"/>
    <w:rsid w:val="00585E38"/>
    <w:rsid w:val="00587557"/>
    <w:rsid w:val="00587B18"/>
    <w:rsid w:val="0059017D"/>
    <w:rsid w:val="00592C0C"/>
    <w:rsid w:val="005932BA"/>
    <w:rsid w:val="0059345C"/>
    <w:rsid w:val="005935B8"/>
    <w:rsid w:val="005949A6"/>
    <w:rsid w:val="0059552E"/>
    <w:rsid w:val="005955C1"/>
    <w:rsid w:val="00595D4A"/>
    <w:rsid w:val="005965BD"/>
    <w:rsid w:val="00596752"/>
    <w:rsid w:val="00596AA5"/>
    <w:rsid w:val="00596D4F"/>
    <w:rsid w:val="00596E55"/>
    <w:rsid w:val="00596F73"/>
    <w:rsid w:val="0059709A"/>
    <w:rsid w:val="00597582"/>
    <w:rsid w:val="00597C54"/>
    <w:rsid w:val="005A3C90"/>
    <w:rsid w:val="005A3F2A"/>
    <w:rsid w:val="005A4E4D"/>
    <w:rsid w:val="005A5EC2"/>
    <w:rsid w:val="005A6E1D"/>
    <w:rsid w:val="005B0865"/>
    <w:rsid w:val="005B1C20"/>
    <w:rsid w:val="005B1D33"/>
    <w:rsid w:val="005B2B30"/>
    <w:rsid w:val="005B2BD0"/>
    <w:rsid w:val="005B324A"/>
    <w:rsid w:val="005B3D7C"/>
    <w:rsid w:val="005B49C3"/>
    <w:rsid w:val="005B564F"/>
    <w:rsid w:val="005B5C77"/>
    <w:rsid w:val="005B5DB3"/>
    <w:rsid w:val="005B5F0B"/>
    <w:rsid w:val="005B6C7D"/>
    <w:rsid w:val="005B7B34"/>
    <w:rsid w:val="005C0271"/>
    <w:rsid w:val="005C069A"/>
    <w:rsid w:val="005C10F5"/>
    <w:rsid w:val="005C1736"/>
    <w:rsid w:val="005C19A2"/>
    <w:rsid w:val="005C30CC"/>
    <w:rsid w:val="005C3A0E"/>
    <w:rsid w:val="005C3DA8"/>
    <w:rsid w:val="005C47A5"/>
    <w:rsid w:val="005C4A4C"/>
    <w:rsid w:val="005C4B63"/>
    <w:rsid w:val="005C5046"/>
    <w:rsid w:val="005C5128"/>
    <w:rsid w:val="005C54D8"/>
    <w:rsid w:val="005C5F4F"/>
    <w:rsid w:val="005D01A6"/>
    <w:rsid w:val="005D071F"/>
    <w:rsid w:val="005D2EB7"/>
    <w:rsid w:val="005D3085"/>
    <w:rsid w:val="005D34E8"/>
    <w:rsid w:val="005D5E14"/>
    <w:rsid w:val="005D61D6"/>
    <w:rsid w:val="005D6D6A"/>
    <w:rsid w:val="005E1040"/>
    <w:rsid w:val="005E1118"/>
    <w:rsid w:val="005E2836"/>
    <w:rsid w:val="005E3F5B"/>
    <w:rsid w:val="005E5866"/>
    <w:rsid w:val="005E6288"/>
    <w:rsid w:val="005E6EC7"/>
    <w:rsid w:val="005E7452"/>
    <w:rsid w:val="005E7618"/>
    <w:rsid w:val="005E7B33"/>
    <w:rsid w:val="005E7B5C"/>
    <w:rsid w:val="005E7F97"/>
    <w:rsid w:val="005F119D"/>
    <w:rsid w:val="005F135D"/>
    <w:rsid w:val="005F21B4"/>
    <w:rsid w:val="005F2266"/>
    <w:rsid w:val="005F28CE"/>
    <w:rsid w:val="005F2AA6"/>
    <w:rsid w:val="005F3581"/>
    <w:rsid w:val="005F3E4F"/>
    <w:rsid w:val="005F41B8"/>
    <w:rsid w:val="005F5AE1"/>
    <w:rsid w:val="005F6026"/>
    <w:rsid w:val="005F6181"/>
    <w:rsid w:val="005F65F5"/>
    <w:rsid w:val="005F6770"/>
    <w:rsid w:val="00600795"/>
    <w:rsid w:val="0060130A"/>
    <w:rsid w:val="006019CE"/>
    <w:rsid w:val="00601BA4"/>
    <w:rsid w:val="00603A9B"/>
    <w:rsid w:val="006045CE"/>
    <w:rsid w:val="006046C3"/>
    <w:rsid w:val="00604E3A"/>
    <w:rsid w:val="00604EED"/>
    <w:rsid w:val="00605874"/>
    <w:rsid w:val="00606FC1"/>
    <w:rsid w:val="00607231"/>
    <w:rsid w:val="00607ADC"/>
    <w:rsid w:val="00610FC4"/>
    <w:rsid w:val="006116A4"/>
    <w:rsid w:val="00611F1D"/>
    <w:rsid w:val="00612012"/>
    <w:rsid w:val="00612DA3"/>
    <w:rsid w:val="00612F07"/>
    <w:rsid w:val="00613568"/>
    <w:rsid w:val="00615EE7"/>
    <w:rsid w:val="006164C7"/>
    <w:rsid w:val="0061654D"/>
    <w:rsid w:val="00616605"/>
    <w:rsid w:val="006167D1"/>
    <w:rsid w:val="00617149"/>
    <w:rsid w:val="006204B5"/>
    <w:rsid w:val="0062168A"/>
    <w:rsid w:val="00621939"/>
    <w:rsid w:val="00621AC6"/>
    <w:rsid w:val="00622F70"/>
    <w:rsid w:val="00623879"/>
    <w:rsid w:val="00623FB6"/>
    <w:rsid w:val="00624BBF"/>
    <w:rsid w:val="0062658A"/>
    <w:rsid w:val="006265B0"/>
    <w:rsid w:val="006276DD"/>
    <w:rsid w:val="00627BD6"/>
    <w:rsid w:val="00630150"/>
    <w:rsid w:val="00630887"/>
    <w:rsid w:val="00631394"/>
    <w:rsid w:val="006313D1"/>
    <w:rsid w:val="00631D27"/>
    <w:rsid w:val="00632581"/>
    <w:rsid w:val="006331F2"/>
    <w:rsid w:val="0063405F"/>
    <w:rsid w:val="00634904"/>
    <w:rsid w:val="00634BA9"/>
    <w:rsid w:val="00634BD3"/>
    <w:rsid w:val="0063513B"/>
    <w:rsid w:val="00635B44"/>
    <w:rsid w:val="00637556"/>
    <w:rsid w:val="0064066E"/>
    <w:rsid w:val="00640788"/>
    <w:rsid w:val="0064091B"/>
    <w:rsid w:val="006409AD"/>
    <w:rsid w:val="00640C82"/>
    <w:rsid w:val="00640CE6"/>
    <w:rsid w:val="00641942"/>
    <w:rsid w:val="00641CC8"/>
    <w:rsid w:val="0064258C"/>
    <w:rsid w:val="0064368C"/>
    <w:rsid w:val="0064422B"/>
    <w:rsid w:val="00644EAB"/>
    <w:rsid w:val="006459AC"/>
    <w:rsid w:val="00646619"/>
    <w:rsid w:val="00646681"/>
    <w:rsid w:val="0064706E"/>
    <w:rsid w:val="00647A53"/>
    <w:rsid w:val="006506FE"/>
    <w:rsid w:val="006529CE"/>
    <w:rsid w:val="00653550"/>
    <w:rsid w:val="006535EC"/>
    <w:rsid w:val="006544CB"/>
    <w:rsid w:val="00654798"/>
    <w:rsid w:val="00654B68"/>
    <w:rsid w:val="00655AC0"/>
    <w:rsid w:val="0065743F"/>
    <w:rsid w:val="00657468"/>
    <w:rsid w:val="006577AA"/>
    <w:rsid w:val="006610D7"/>
    <w:rsid w:val="0066117C"/>
    <w:rsid w:val="0066298F"/>
    <w:rsid w:val="0066364D"/>
    <w:rsid w:val="00666607"/>
    <w:rsid w:val="0067041F"/>
    <w:rsid w:val="0067091C"/>
    <w:rsid w:val="00670E4E"/>
    <w:rsid w:val="00671762"/>
    <w:rsid w:val="0067206F"/>
    <w:rsid w:val="00672201"/>
    <w:rsid w:val="00672786"/>
    <w:rsid w:val="0067349A"/>
    <w:rsid w:val="0067355D"/>
    <w:rsid w:val="006738FE"/>
    <w:rsid w:val="0067491D"/>
    <w:rsid w:val="00675193"/>
    <w:rsid w:val="00675FEF"/>
    <w:rsid w:val="006766F1"/>
    <w:rsid w:val="006775B1"/>
    <w:rsid w:val="00677B0F"/>
    <w:rsid w:val="00680303"/>
    <w:rsid w:val="00680844"/>
    <w:rsid w:val="006809D6"/>
    <w:rsid w:val="00680ECF"/>
    <w:rsid w:val="0068105A"/>
    <w:rsid w:val="00681297"/>
    <w:rsid w:val="00682060"/>
    <w:rsid w:val="0068290D"/>
    <w:rsid w:val="00683A92"/>
    <w:rsid w:val="00683C62"/>
    <w:rsid w:val="006849C1"/>
    <w:rsid w:val="00684C0A"/>
    <w:rsid w:val="006865A8"/>
    <w:rsid w:val="00686782"/>
    <w:rsid w:val="00687742"/>
    <w:rsid w:val="00693302"/>
    <w:rsid w:val="00693D70"/>
    <w:rsid w:val="006941FD"/>
    <w:rsid w:val="00696FF4"/>
    <w:rsid w:val="006A0678"/>
    <w:rsid w:val="006A0969"/>
    <w:rsid w:val="006A0D67"/>
    <w:rsid w:val="006A13D1"/>
    <w:rsid w:val="006A4840"/>
    <w:rsid w:val="006A4C63"/>
    <w:rsid w:val="006A5BBF"/>
    <w:rsid w:val="006A68F3"/>
    <w:rsid w:val="006A70BA"/>
    <w:rsid w:val="006A73C9"/>
    <w:rsid w:val="006B06F6"/>
    <w:rsid w:val="006B0CCF"/>
    <w:rsid w:val="006B480F"/>
    <w:rsid w:val="006B5457"/>
    <w:rsid w:val="006C1227"/>
    <w:rsid w:val="006C12DD"/>
    <w:rsid w:val="006C175A"/>
    <w:rsid w:val="006C18E8"/>
    <w:rsid w:val="006C2521"/>
    <w:rsid w:val="006C477C"/>
    <w:rsid w:val="006C4A6B"/>
    <w:rsid w:val="006C62C5"/>
    <w:rsid w:val="006D0C55"/>
    <w:rsid w:val="006D1279"/>
    <w:rsid w:val="006D4289"/>
    <w:rsid w:val="006D5BDD"/>
    <w:rsid w:val="006D612A"/>
    <w:rsid w:val="006D664A"/>
    <w:rsid w:val="006E0506"/>
    <w:rsid w:val="006E18AE"/>
    <w:rsid w:val="006E2B0E"/>
    <w:rsid w:val="006E3042"/>
    <w:rsid w:val="006E3355"/>
    <w:rsid w:val="006E3FCA"/>
    <w:rsid w:val="006E45C4"/>
    <w:rsid w:val="006E4A39"/>
    <w:rsid w:val="006E5A51"/>
    <w:rsid w:val="006E5E7B"/>
    <w:rsid w:val="006E6750"/>
    <w:rsid w:val="006E6BD9"/>
    <w:rsid w:val="006E7A1D"/>
    <w:rsid w:val="006F037F"/>
    <w:rsid w:val="006F257F"/>
    <w:rsid w:val="006F2710"/>
    <w:rsid w:val="006F2756"/>
    <w:rsid w:val="006F30CA"/>
    <w:rsid w:val="006F35CB"/>
    <w:rsid w:val="006F3E65"/>
    <w:rsid w:val="006F4294"/>
    <w:rsid w:val="006F60F1"/>
    <w:rsid w:val="006F6FE2"/>
    <w:rsid w:val="0070043C"/>
    <w:rsid w:val="00700F08"/>
    <w:rsid w:val="00700F7F"/>
    <w:rsid w:val="00701DC5"/>
    <w:rsid w:val="0070261C"/>
    <w:rsid w:val="007029E5"/>
    <w:rsid w:val="007031F9"/>
    <w:rsid w:val="0070368B"/>
    <w:rsid w:val="00703B0E"/>
    <w:rsid w:val="00704BAE"/>
    <w:rsid w:val="00705047"/>
    <w:rsid w:val="00705ECB"/>
    <w:rsid w:val="00707D84"/>
    <w:rsid w:val="0071084B"/>
    <w:rsid w:val="00711350"/>
    <w:rsid w:val="0071160C"/>
    <w:rsid w:val="00712B36"/>
    <w:rsid w:val="0071348A"/>
    <w:rsid w:val="00714C97"/>
    <w:rsid w:val="00715A5A"/>
    <w:rsid w:val="00715EEF"/>
    <w:rsid w:val="007165AC"/>
    <w:rsid w:val="00716D1D"/>
    <w:rsid w:val="00717327"/>
    <w:rsid w:val="007178C6"/>
    <w:rsid w:val="0072081B"/>
    <w:rsid w:val="00720B17"/>
    <w:rsid w:val="00720B90"/>
    <w:rsid w:val="007214B0"/>
    <w:rsid w:val="00721594"/>
    <w:rsid w:val="00721C1C"/>
    <w:rsid w:val="00721C6D"/>
    <w:rsid w:val="00722671"/>
    <w:rsid w:val="00722C44"/>
    <w:rsid w:val="00723788"/>
    <w:rsid w:val="00724053"/>
    <w:rsid w:val="00724297"/>
    <w:rsid w:val="00724484"/>
    <w:rsid w:val="00724EF5"/>
    <w:rsid w:val="00725487"/>
    <w:rsid w:val="007257C6"/>
    <w:rsid w:val="00725F09"/>
    <w:rsid w:val="00726DE4"/>
    <w:rsid w:val="007305EB"/>
    <w:rsid w:val="00731B33"/>
    <w:rsid w:val="00731E67"/>
    <w:rsid w:val="00732503"/>
    <w:rsid w:val="0073306A"/>
    <w:rsid w:val="00733A43"/>
    <w:rsid w:val="007349EA"/>
    <w:rsid w:val="00734C21"/>
    <w:rsid w:val="00735AD3"/>
    <w:rsid w:val="00736C78"/>
    <w:rsid w:val="00736CC5"/>
    <w:rsid w:val="00737E96"/>
    <w:rsid w:val="007403BF"/>
    <w:rsid w:val="00740660"/>
    <w:rsid w:val="00740BCA"/>
    <w:rsid w:val="00740D1F"/>
    <w:rsid w:val="0074107C"/>
    <w:rsid w:val="007412C9"/>
    <w:rsid w:val="00741960"/>
    <w:rsid w:val="00741A2E"/>
    <w:rsid w:val="00741B47"/>
    <w:rsid w:val="00742A2A"/>
    <w:rsid w:val="00742F09"/>
    <w:rsid w:val="007430DE"/>
    <w:rsid w:val="0074413E"/>
    <w:rsid w:val="0074483C"/>
    <w:rsid w:val="00745249"/>
    <w:rsid w:val="0074694E"/>
    <w:rsid w:val="00746CEA"/>
    <w:rsid w:val="0074715C"/>
    <w:rsid w:val="00747874"/>
    <w:rsid w:val="00750186"/>
    <w:rsid w:val="0075086F"/>
    <w:rsid w:val="0075118E"/>
    <w:rsid w:val="00751387"/>
    <w:rsid w:val="007514E5"/>
    <w:rsid w:val="00751DA9"/>
    <w:rsid w:val="00752089"/>
    <w:rsid w:val="00752590"/>
    <w:rsid w:val="00752FAC"/>
    <w:rsid w:val="007533AB"/>
    <w:rsid w:val="007533F9"/>
    <w:rsid w:val="00753A11"/>
    <w:rsid w:val="00753B4F"/>
    <w:rsid w:val="00754345"/>
    <w:rsid w:val="00755557"/>
    <w:rsid w:val="007557EA"/>
    <w:rsid w:val="0075665E"/>
    <w:rsid w:val="00760B74"/>
    <w:rsid w:val="00761DB7"/>
    <w:rsid w:val="00762ADB"/>
    <w:rsid w:val="00762AE1"/>
    <w:rsid w:val="007635DB"/>
    <w:rsid w:val="00763616"/>
    <w:rsid w:val="00763717"/>
    <w:rsid w:val="00763E13"/>
    <w:rsid w:val="0076466C"/>
    <w:rsid w:val="00764B27"/>
    <w:rsid w:val="00765C8D"/>
    <w:rsid w:val="0076727F"/>
    <w:rsid w:val="00767BAE"/>
    <w:rsid w:val="007705E2"/>
    <w:rsid w:val="00770C74"/>
    <w:rsid w:val="00770CB9"/>
    <w:rsid w:val="00771AC1"/>
    <w:rsid w:val="00773A7B"/>
    <w:rsid w:val="00773C57"/>
    <w:rsid w:val="00773F71"/>
    <w:rsid w:val="007741D0"/>
    <w:rsid w:val="00775FFD"/>
    <w:rsid w:val="00776A53"/>
    <w:rsid w:val="00777A39"/>
    <w:rsid w:val="00777CAA"/>
    <w:rsid w:val="0078021A"/>
    <w:rsid w:val="007802E3"/>
    <w:rsid w:val="0078054D"/>
    <w:rsid w:val="00780D7A"/>
    <w:rsid w:val="00780F0F"/>
    <w:rsid w:val="00780F84"/>
    <w:rsid w:val="0078161F"/>
    <w:rsid w:val="007818EB"/>
    <w:rsid w:val="00781A57"/>
    <w:rsid w:val="00782221"/>
    <w:rsid w:val="00782F9A"/>
    <w:rsid w:val="00784D13"/>
    <w:rsid w:val="007864BD"/>
    <w:rsid w:val="00787237"/>
    <w:rsid w:val="00787404"/>
    <w:rsid w:val="00790053"/>
    <w:rsid w:val="00790411"/>
    <w:rsid w:val="00790912"/>
    <w:rsid w:val="00790A83"/>
    <w:rsid w:val="00790BB6"/>
    <w:rsid w:val="00790CFE"/>
    <w:rsid w:val="00790F0E"/>
    <w:rsid w:val="0079212B"/>
    <w:rsid w:val="00792BB6"/>
    <w:rsid w:val="00793276"/>
    <w:rsid w:val="0079392C"/>
    <w:rsid w:val="007977DF"/>
    <w:rsid w:val="00797EA7"/>
    <w:rsid w:val="007A00ED"/>
    <w:rsid w:val="007A1037"/>
    <w:rsid w:val="007A134B"/>
    <w:rsid w:val="007A2AD2"/>
    <w:rsid w:val="007A4B18"/>
    <w:rsid w:val="007A53ED"/>
    <w:rsid w:val="007A5C33"/>
    <w:rsid w:val="007A62D2"/>
    <w:rsid w:val="007A7790"/>
    <w:rsid w:val="007B1711"/>
    <w:rsid w:val="007B1866"/>
    <w:rsid w:val="007B1A0D"/>
    <w:rsid w:val="007B1CF8"/>
    <w:rsid w:val="007B235E"/>
    <w:rsid w:val="007B2671"/>
    <w:rsid w:val="007B2F32"/>
    <w:rsid w:val="007B4368"/>
    <w:rsid w:val="007B4E06"/>
    <w:rsid w:val="007B557B"/>
    <w:rsid w:val="007B6002"/>
    <w:rsid w:val="007B615F"/>
    <w:rsid w:val="007B6A52"/>
    <w:rsid w:val="007B6B1D"/>
    <w:rsid w:val="007B7BB0"/>
    <w:rsid w:val="007C0A47"/>
    <w:rsid w:val="007C0DF3"/>
    <w:rsid w:val="007C191E"/>
    <w:rsid w:val="007C267A"/>
    <w:rsid w:val="007C28A7"/>
    <w:rsid w:val="007C367F"/>
    <w:rsid w:val="007C3E02"/>
    <w:rsid w:val="007C40D7"/>
    <w:rsid w:val="007C79B2"/>
    <w:rsid w:val="007D0449"/>
    <w:rsid w:val="007D090D"/>
    <w:rsid w:val="007D11C7"/>
    <w:rsid w:val="007D24BB"/>
    <w:rsid w:val="007D4825"/>
    <w:rsid w:val="007D4DAE"/>
    <w:rsid w:val="007D63D1"/>
    <w:rsid w:val="007D75C0"/>
    <w:rsid w:val="007D7DF1"/>
    <w:rsid w:val="007E14A7"/>
    <w:rsid w:val="007E32CD"/>
    <w:rsid w:val="007E46CE"/>
    <w:rsid w:val="007E58CF"/>
    <w:rsid w:val="007F05A2"/>
    <w:rsid w:val="007F118A"/>
    <w:rsid w:val="007F13BC"/>
    <w:rsid w:val="007F3905"/>
    <w:rsid w:val="007F4214"/>
    <w:rsid w:val="007F4D35"/>
    <w:rsid w:val="0080104F"/>
    <w:rsid w:val="00801AF6"/>
    <w:rsid w:val="00801BEB"/>
    <w:rsid w:val="00802078"/>
    <w:rsid w:val="00802CBE"/>
    <w:rsid w:val="00802F25"/>
    <w:rsid w:val="00802F61"/>
    <w:rsid w:val="008033BF"/>
    <w:rsid w:val="00803435"/>
    <w:rsid w:val="00804D1E"/>
    <w:rsid w:val="00804DC0"/>
    <w:rsid w:val="00805766"/>
    <w:rsid w:val="00805EE9"/>
    <w:rsid w:val="008061D0"/>
    <w:rsid w:val="00806369"/>
    <w:rsid w:val="00806622"/>
    <w:rsid w:val="00806695"/>
    <w:rsid w:val="00806B76"/>
    <w:rsid w:val="00806EA4"/>
    <w:rsid w:val="008070D1"/>
    <w:rsid w:val="008074AF"/>
    <w:rsid w:val="00810E8C"/>
    <w:rsid w:val="008116D6"/>
    <w:rsid w:val="0081203C"/>
    <w:rsid w:val="0081306C"/>
    <w:rsid w:val="008132F8"/>
    <w:rsid w:val="00813D72"/>
    <w:rsid w:val="008148AC"/>
    <w:rsid w:val="008153B2"/>
    <w:rsid w:val="008154C3"/>
    <w:rsid w:val="008154E7"/>
    <w:rsid w:val="008157B5"/>
    <w:rsid w:val="00815B9A"/>
    <w:rsid w:val="00815F66"/>
    <w:rsid w:val="00816A66"/>
    <w:rsid w:val="00816F69"/>
    <w:rsid w:val="0081770B"/>
    <w:rsid w:val="00820EB5"/>
    <w:rsid w:val="00821378"/>
    <w:rsid w:val="008216B5"/>
    <w:rsid w:val="00822095"/>
    <w:rsid w:val="008222A6"/>
    <w:rsid w:val="00822E60"/>
    <w:rsid w:val="00824BE5"/>
    <w:rsid w:val="008250E4"/>
    <w:rsid w:val="0082553F"/>
    <w:rsid w:val="00825682"/>
    <w:rsid w:val="00825A73"/>
    <w:rsid w:val="00825AF7"/>
    <w:rsid w:val="008266B6"/>
    <w:rsid w:val="00826E1B"/>
    <w:rsid w:val="0082780F"/>
    <w:rsid w:val="00830CEE"/>
    <w:rsid w:val="00831139"/>
    <w:rsid w:val="008312FD"/>
    <w:rsid w:val="008314BB"/>
    <w:rsid w:val="0083220A"/>
    <w:rsid w:val="00832CB1"/>
    <w:rsid w:val="008339B1"/>
    <w:rsid w:val="00833AD1"/>
    <w:rsid w:val="0083427A"/>
    <w:rsid w:val="00835677"/>
    <w:rsid w:val="00836291"/>
    <w:rsid w:val="00836C2B"/>
    <w:rsid w:val="00836C51"/>
    <w:rsid w:val="00842D07"/>
    <w:rsid w:val="00843E3D"/>
    <w:rsid w:val="0084462B"/>
    <w:rsid w:val="0084584B"/>
    <w:rsid w:val="008460C5"/>
    <w:rsid w:val="008463C7"/>
    <w:rsid w:val="00846C82"/>
    <w:rsid w:val="00846DF7"/>
    <w:rsid w:val="00847689"/>
    <w:rsid w:val="0085021B"/>
    <w:rsid w:val="00850391"/>
    <w:rsid w:val="008527DD"/>
    <w:rsid w:val="00852831"/>
    <w:rsid w:val="008529DC"/>
    <w:rsid w:val="008532D7"/>
    <w:rsid w:val="00854517"/>
    <w:rsid w:val="00854850"/>
    <w:rsid w:val="008559DA"/>
    <w:rsid w:val="00855B48"/>
    <w:rsid w:val="0085703D"/>
    <w:rsid w:val="00860D49"/>
    <w:rsid w:val="0086241F"/>
    <w:rsid w:val="00863278"/>
    <w:rsid w:val="008647AF"/>
    <w:rsid w:val="00864FA7"/>
    <w:rsid w:val="00865421"/>
    <w:rsid w:val="00865601"/>
    <w:rsid w:val="00865ECC"/>
    <w:rsid w:val="00865F26"/>
    <w:rsid w:val="00866A68"/>
    <w:rsid w:val="0086718C"/>
    <w:rsid w:val="00867769"/>
    <w:rsid w:val="008677BE"/>
    <w:rsid w:val="00867A4A"/>
    <w:rsid w:val="008710D4"/>
    <w:rsid w:val="008715C9"/>
    <w:rsid w:val="00872B8D"/>
    <w:rsid w:val="00872FCF"/>
    <w:rsid w:val="00875324"/>
    <w:rsid w:val="008756B4"/>
    <w:rsid w:val="008758A9"/>
    <w:rsid w:val="00875EF6"/>
    <w:rsid w:val="008767BA"/>
    <w:rsid w:val="0087684E"/>
    <w:rsid w:val="00876964"/>
    <w:rsid w:val="0088105E"/>
    <w:rsid w:val="00881AAD"/>
    <w:rsid w:val="00882349"/>
    <w:rsid w:val="0088278D"/>
    <w:rsid w:val="008839C3"/>
    <w:rsid w:val="00883AB9"/>
    <w:rsid w:val="00884423"/>
    <w:rsid w:val="00884488"/>
    <w:rsid w:val="008853E4"/>
    <w:rsid w:val="00885EFB"/>
    <w:rsid w:val="0088634E"/>
    <w:rsid w:val="008875C3"/>
    <w:rsid w:val="00887C61"/>
    <w:rsid w:val="00890F1A"/>
    <w:rsid w:val="008914DA"/>
    <w:rsid w:val="00891549"/>
    <w:rsid w:val="00892FEE"/>
    <w:rsid w:val="008942FD"/>
    <w:rsid w:val="00895E82"/>
    <w:rsid w:val="008A004B"/>
    <w:rsid w:val="008A12C8"/>
    <w:rsid w:val="008A1A9A"/>
    <w:rsid w:val="008A29E3"/>
    <w:rsid w:val="008A321E"/>
    <w:rsid w:val="008A41B7"/>
    <w:rsid w:val="008A426C"/>
    <w:rsid w:val="008A42C5"/>
    <w:rsid w:val="008A5926"/>
    <w:rsid w:val="008A5A51"/>
    <w:rsid w:val="008A5B7A"/>
    <w:rsid w:val="008A625C"/>
    <w:rsid w:val="008A69CA"/>
    <w:rsid w:val="008B09EE"/>
    <w:rsid w:val="008B0F44"/>
    <w:rsid w:val="008B1179"/>
    <w:rsid w:val="008B15AE"/>
    <w:rsid w:val="008B3816"/>
    <w:rsid w:val="008B4A3D"/>
    <w:rsid w:val="008B4F41"/>
    <w:rsid w:val="008B5EA3"/>
    <w:rsid w:val="008C0D21"/>
    <w:rsid w:val="008C1E75"/>
    <w:rsid w:val="008C1FAF"/>
    <w:rsid w:val="008C2448"/>
    <w:rsid w:val="008C28D4"/>
    <w:rsid w:val="008C2DA7"/>
    <w:rsid w:val="008C3703"/>
    <w:rsid w:val="008C6ACE"/>
    <w:rsid w:val="008C6C76"/>
    <w:rsid w:val="008C7BEB"/>
    <w:rsid w:val="008C7D79"/>
    <w:rsid w:val="008C7F83"/>
    <w:rsid w:val="008D181E"/>
    <w:rsid w:val="008D1A26"/>
    <w:rsid w:val="008D1B34"/>
    <w:rsid w:val="008D1F02"/>
    <w:rsid w:val="008D1FA4"/>
    <w:rsid w:val="008D293C"/>
    <w:rsid w:val="008D6976"/>
    <w:rsid w:val="008D7DED"/>
    <w:rsid w:val="008E0232"/>
    <w:rsid w:val="008E1244"/>
    <w:rsid w:val="008E18CD"/>
    <w:rsid w:val="008E1F25"/>
    <w:rsid w:val="008E3BF1"/>
    <w:rsid w:val="008E7E66"/>
    <w:rsid w:val="008F04E0"/>
    <w:rsid w:val="008F20EC"/>
    <w:rsid w:val="008F2398"/>
    <w:rsid w:val="008F2730"/>
    <w:rsid w:val="008F34F6"/>
    <w:rsid w:val="008F7894"/>
    <w:rsid w:val="00900AC4"/>
    <w:rsid w:val="00901066"/>
    <w:rsid w:val="009012D0"/>
    <w:rsid w:val="009014BB"/>
    <w:rsid w:val="00901661"/>
    <w:rsid w:val="009016E7"/>
    <w:rsid w:val="00901826"/>
    <w:rsid w:val="00903973"/>
    <w:rsid w:val="00904218"/>
    <w:rsid w:val="00904F59"/>
    <w:rsid w:val="00905D69"/>
    <w:rsid w:val="00906C01"/>
    <w:rsid w:val="00907E9F"/>
    <w:rsid w:val="00910561"/>
    <w:rsid w:val="009105CE"/>
    <w:rsid w:val="0091082E"/>
    <w:rsid w:val="009109B2"/>
    <w:rsid w:val="00910CA1"/>
    <w:rsid w:val="009113A9"/>
    <w:rsid w:val="009115BF"/>
    <w:rsid w:val="009125F3"/>
    <w:rsid w:val="00912E34"/>
    <w:rsid w:val="00913B82"/>
    <w:rsid w:val="00914E0B"/>
    <w:rsid w:val="00915ADB"/>
    <w:rsid w:val="00915EDE"/>
    <w:rsid w:val="0091627C"/>
    <w:rsid w:val="009179D6"/>
    <w:rsid w:val="00917DCC"/>
    <w:rsid w:val="00921056"/>
    <w:rsid w:val="00921AE5"/>
    <w:rsid w:val="00921CDF"/>
    <w:rsid w:val="0092356D"/>
    <w:rsid w:val="0092361D"/>
    <w:rsid w:val="00923B92"/>
    <w:rsid w:val="009245BB"/>
    <w:rsid w:val="00924641"/>
    <w:rsid w:val="009252ED"/>
    <w:rsid w:val="009257BD"/>
    <w:rsid w:val="009258CC"/>
    <w:rsid w:val="00926363"/>
    <w:rsid w:val="00927D72"/>
    <w:rsid w:val="009309E4"/>
    <w:rsid w:val="00930CC7"/>
    <w:rsid w:val="00930E7A"/>
    <w:rsid w:val="00930EFA"/>
    <w:rsid w:val="00931B39"/>
    <w:rsid w:val="009325F3"/>
    <w:rsid w:val="009332B9"/>
    <w:rsid w:val="0093400B"/>
    <w:rsid w:val="0093476B"/>
    <w:rsid w:val="009365FD"/>
    <w:rsid w:val="009372AD"/>
    <w:rsid w:val="009379BA"/>
    <w:rsid w:val="009420AC"/>
    <w:rsid w:val="00942D19"/>
    <w:rsid w:val="0094519E"/>
    <w:rsid w:val="009454D6"/>
    <w:rsid w:val="00945590"/>
    <w:rsid w:val="00947170"/>
    <w:rsid w:val="00947528"/>
    <w:rsid w:val="009475E5"/>
    <w:rsid w:val="00947D96"/>
    <w:rsid w:val="009508BC"/>
    <w:rsid w:val="00950A34"/>
    <w:rsid w:val="00950F45"/>
    <w:rsid w:val="00951C08"/>
    <w:rsid w:val="00951C43"/>
    <w:rsid w:val="00953391"/>
    <w:rsid w:val="00954A6A"/>
    <w:rsid w:val="00954E0D"/>
    <w:rsid w:val="009556C1"/>
    <w:rsid w:val="00957815"/>
    <w:rsid w:val="009608EC"/>
    <w:rsid w:val="00960C5C"/>
    <w:rsid w:val="0096212F"/>
    <w:rsid w:val="00962998"/>
    <w:rsid w:val="00962B43"/>
    <w:rsid w:val="0096333F"/>
    <w:rsid w:val="009641F5"/>
    <w:rsid w:val="00964435"/>
    <w:rsid w:val="009648F0"/>
    <w:rsid w:val="00964A09"/>
    <w:rsid w:val="00964B0E"/>
    <w:rsid w:val="00965119"/>
    <w:rsid w:val="0096562A"/>
    <w:rsid w:val="00965EE6"/>
    <w:rsid w:val="00966837"/>
    <w:rsid w:val="00967E86"/>
    <w:rsid w:val="00970062"/>
    <w:rsid w:val="00970E76"/>
    <w:rsid w:val="00972EFA"/>
    <w:rsid w:val="00973050"/>
    <w:rsid w:val="00973D59"/>
    <w:rsid w:val="009749D4"/>
    <w:rsid w:val="00974DEA"/>
    <w:rsid w:val="00974F9E"/>
    <w:rsid w:val="00975491"/>
    <w:rsid w:val="0097560B"/>
    <w:rsid w:val="00976568"/>
    <w:rsid w:val="00976EC8"/>
    <w:rsid w:val="0098002C"/>
    <w:rsid w:val="009803C9"/>
    <w:rsid w:val="00980B79"/>
    <w:rsid w:val="00980C23"/>
    <w:rsid w:val="00981378"/>
    <w:rsid w:val="00981B6F"/>
    <w:rsid w:val="009823E6"/>
    <w:rsid w:val="009830D1"/>
    <w:rsid w:val="0098343D"/>
    <w:rsid w:val="00983737"/>
    <w:rsid w:val="009849E8"/>
    <w:rsid w:val="00984BD5"/>
    <w:rsid w:val="00984E3F"/>
    <w:rsid w:val="00985887"/>
    <w:rsid w:val="009860D0"/>
    <w:rsid w:val="0098797C"/>
    <w:rsid w:val="00990A35"/>
    <w:rsid w:val="009911A7"/>
    <w:rsid w:val="009914C9"/>
    <w:rsid w:val="00992E2A"/>
    <w:rsid w:val="00993744"/>
    <w:rsid w:val="00993DC9"/>
    <w:rsid w:val="00994FE9"/>
    <w:rsid w:val="00995497"/>
    <w:rsid w:val="00995A2D"/>
    <w:rsid w:val="00996436"/>
    <w:rsid w:val="009964CE"/>
    <w:rsid w:val="0099685D"/>
    <w:rsid w:val="009A09AD"/>
    <w:rsid w:val="009A13B1"/>
    <w:rsid w:val="009A1A7E"/>
    <w:rsid w:val="009A20A7"/>
    <w:rsid w:val="009A2292"/>
    <w:rsid w:val="009A3D97"/>
    <w:rsid w:val="009A5986"/>
    <w:rsid w:val="009A5C7F"/>
    <w:rsid w:val="009A5EE1"/>
    <w:rsid w:val="009A5EE7"/>
    <w:rsid w:val="009A6961"/>
    <w:rsid w:val="009A6E8F"/>
    <w:rsid w:val="009A7021"/>
    <w:rsid w:val="009A7C0B"/>
    <w:rsid w:val="009B0CDD"/>
    <w:rsid w:val="009B17A4"/>
    <w:rsid w:val="009B2835"/>
    <w:rsid w:val="009B29C7"/>
    <w:rsid w:val="009B2EA5"/>
    <w:rsid w:val="009B332F"/>
    <w:rsid w:val="009B39FD"/>
    <w:rsid w:val="009B4A8B"/>
    <w:rsid w:val="009B5213"/>
    <w:rsid w:val="009B56EC"/>
    <w:rsid w:val="009B642B"/>
    <w:rsid w:val="009B6525"/>
    <w:rsid w:val="009B6D85"/>
    <w:rsid w:val="009B755E"/>
    <w:rsid w:val="009C0148"/>
    <w:rsid w:val="009C11F3"/>
    <w:rsid w:val="009C1425"/>
    <w:rsid w:val="009C1654"/>
    <w:rsid w:val="009C177E"/>
    <w:rsid w:val="009C1A7C"/>
    <w:rsid w:val="009C25BF"/>
    <w:rsid w:val="009C291A"/>
    <w:rsid w:val="009C2A82"/>
    <w:rsid w:val="009C2C7F"/>
    <w:rsid w:val="009C4176"/>
    <w:rsid w:val="009C5A6E"/>
    <w:rsid w:val="009C5F99"/>
    <w:rsid w:val="009C67FA"/>
    <w:rsid w:val="009C6BED"/>
    <w:rsid w:val="009C6FBF"/>
    <w:rsid w:val="009C7E1B"/>
    <w:rsid w:val="009D0A8D"/>
    <w:rsid w:val="009D101A"/>
    <w:rsid w:val="009D1C32"/>
    <w:rsid w:val="009D3C6A"/>
    <w:rsid w:val="009D4E5E"/>
    <w:rsid w:val="009D5606"/>
    <w:rsid w:val="009D5C45"/>
    <w:rsid w:val="009D5F2B"/>
    <w:rsid w:val="009D6715"/>
    <w:rsid w:val="009D7472"/>
    <w:rsid w:val="009D76A2"/>
    <w:rsid w:val="009D7C65"/>
    <w:rsid w:val="009D7DC5"/>
    <w:rsid w:val="009E0719"/>
    <w:rsid w:val="009E12B5"/>
    <w:rsid w:val="009E2254"/>
    <w:rsid w:val="009E2362"/>
    <w:rsid w:val="009E359E"/>
    <w:rsid w:val="009E3765"/>
    <w:rsid w:val="009E3CA7"/>
    <w:rsid w:val="009E3E8C"/>
    <w:rsid w:val="009E3EB6"/>
    <w:rsid w:val="009E42E3"/>
    <w:rsid w:val="009E536E"/>
    <w:rsid w:val="009E54F0"/>
    <w:rsid w:val="009E579D"/>
    <w:rsid w:val="009E676D"/>
    <w:rsid w:val="009E6A76"/>
    <w:rsid w:val="009E71EF"/>
    <w:rsid w:val="009E730F"/>
    <w:rsid w:val="009E7778"/>
    <w:rsid w:val="009F0640"/>
    <w:rsid w:val="009F0A2F"/>
    <w:rsid w:val="009F1472"/>
    <w:rsid w:val="009F22FD"/>
    <w:rsid w:val="009F254E"/>
    <w:rsid w:val="009F25C4"/>
    <w:rsid w:val="009F3AB8"/>
    <w:rsid w:val="009F49BE"/>
    <w:rsid w:val="009F5517"/>
    <w:rsid w:val="009F6118"/>
    <w:rsid w:val="009F71CF"/>
    <w:rsid w:val="009F7382"/>
    <w:rsid w:val="00A00066"/>
    <w:rsid w:val="00A00251"/>
    <w:rsid w:val="00A00646"/>
    <w:rsid w:val="00A00D04"/>
    <w:rsid w:val="00A01681"/>
    <w:rsid w:val="00A025E9"/>
    <w:rsid w:val="00A02F28"/>
    <w:rsid w:val="00A03244"/>
    <w:rsid w:val="00A05B94"/>
    <w:rsid w:val="00A06077"/>
    <w:rsid w:val="00A066DB"/>
    <w:rsid w:val="00A10BAB"/>
    <w:rsid w:val="00A10ED8"/>
    <w:rsid w:val="00A11545"/>
    <w:rsid w:val="00A1165E"/>
    <w:rsid w:val="00A11F2E"/>
    <w:rsid w:val="00A11F5C"/>
    <w:rsid w:val="00A123F1"/>
    <w:rsid w:val="00A1279B"/>
    <w:rsid w:val="00A128A1"/>
    <w:rsid w:val="00A12BB4"/>
    <w:rsid w:val="00A1499F"/>
    <w:rsid w:val="00A14D41"/>
    <w:rsid w:val="00A15520"/>
    <w:rsid w:val="00A1557D"/>
    <w:rsid w:val="00A1558C"/>
    <w:rsid w:val="00A15CD7"/>
    <w:rsid w:val="00A16AE0"/>
    <w:rsid w:val="00A16CCA"/>
    <w:rsid w:val="00A22ADC"/>
    <w:rsid w:val="00A22ED1"/>
    <w:rsid w:val="00A22EFA"/>
    <w:rsid w:val="00A24717"/>
    <w:rsid w:val="00A2488D"/>
    <w:rsid w:val="00A267A1"/>
    <w:rsid w:val="00A269B4"/>
    <w:rsid w:val="00A26DDD"/>
    <w:rsid w:val="00A26EF6"/>
    <w:rsid w:val="00A275EB"/>
    <w:rsid w:val="00A2768F"/>
    <w:rsid w:val="00A2778A"/>
    <w:rsid w:val="00A27DD5"/>
    <w:rsid w:val="00A30E21"/>
    <w:rsid w:val="00A31EF1"/>
    <w:rsid w:val="00A321D6"/>
    <w:rsid w:val="00A337A7"/>
    <w:rsid w:val="00A33F6F"/>
    <w:rsid w:val="00A33FAE"/>
    <w:rsid w:val="00A35058"/>
    <w:rsid w:val="00A3564B"/>
    <w:rsid w:val="00A3611D"/>
    <w:rsid w:val="00A36523"/>
    <w:rsid w:val="00A36689"/>
    <w:rsid w:val="00A3687B"/>
    <w:rsid w:val="00A36918"/>
    <w:rsid w:val="00A36F1A"/>
    <w:rsid w:val="00A414E4"/>
    <w:rsid w:val="00A41911"/>
    <w:rsid w:val="00A43972"/>
    <w:rsid w:val="00A44A68"/>
    <w:rsid w:val="00A4503F"/>
    <w:rsid w:val="00A4622C"/>
    <w:rsid w:val="00A47204"/>
    <w:rsid w:val="00A47FE4"/>
    <w:rsid w:val="00A50377"/>
    <w:rsid w:val="00A50B5D"/>
    <w:rsid w:val="00A50E95"/>
    <w:rsid w:val="00A50FD1"/>
    <w:rsid w:val="00A524AF"/>
    <w:rsid w:val="00A5344C"/>
    <w:rsid w:val="00A534AA"/>
    <w:rsid w:val="00A53D1E"/>
    <w:rsid w:val="00A54992"/>
    <w:rsid w:val="00A55940"/>
    <w:rsid w:val="00A565AF"/>
    <w:rsid w:val="00A56E32"/>
    <w:rsid w:val="00A6024C"/>
    <w:rsid w:val="00A61214"/>
    <w:rsid w:val="00A61601"/>
    <w:rsid w:val="00A6197C"/>
    <w:rsid w:val="00A63A83"/>
    <w:rsid w:val="00A641F8"/>
    <w:rsid w:val="00A64D65"/>
    <w:rsid w:val="00A64EC5"/>
    <w:rsid w:val="00A655A8"/>
    <w:rsid w:val="00A65BC0"/>
    <w:rsid w:val="00A6688D"/>
    <w:rsid w:val="00A7012B"/>
    <w:rsid w:val="00A7131F"/>
    <w:rsid w:val="00A713E2"/>
    <w:rsid w:val="00A71ADD"/>
    <w:rsid w:val="00A72361"/>
    <w:rsid w:val="00A72502"/>
    <w:rsid w:val="00A72BEE"/>
    <w:rsid w:val="00A72D8C"/>
    <w:rsid w:val="00A7385A"/>
    <w:rsid w:val="00A73A42"/>
    <w:rsid w:val="00A73C74"/>
    <w:rsid w:val="00A74784"/>
    <w:rsid w:val="00A74B13"/>
    <w:rsid w:val="00A74CCA"/>
    <w:rsid w:val="00A74F93"/>
    <w:rsid w:val="00A753C2"/>
    <w:rsid w:val="00A758F3"/>
    <w:rsid w:val="00A760C7"/>
    <w:rsid w:val="00A77218"/>
    <w:rsid w:val="00A77383"/>
    <w:rsid w:val="00A77451"/>
    <w:rsid w:val="00A8018B"/>
    <w:rsid w:val="00A80AF6"/>
    <w:rsid w:val="00A81F5B"/>
    <w:rsid w:val="00A82BD2"/>
    <w:rsid w:val="00A8377B"/>
    <w:rsid w:val="00A83C07"/>
    <w:rsid w:val="00A8424A"/>
    <w:rsid w:val="00A85199"/>
    <w:rsid w:val="00A85ED4"/>
    <w:rsid w:val="00A874EF"/>
    <w:rsid w:val="00A87FAA"/>
    <w:rsid w:val="00A9096F"/>
    <w:rsid w:val="00A911C7"/>
    <w:rsid w:val="00A91FD7"/>
    <w:rsid w:val="00A92D64"/>
    <w:rsid w:val="00A931B9"/>
    <w:rsid w:val="00A932AB"/>
    <w:rsid w:val="00A93786"/>
    <w:rsid w:val="00A93AB9"/>
    <w:rsid w:val="00A95F00"/>
    <w:rsid w:val="00A96526"/>
    <w:rsid w:val="00A9737A"/>
    <w:rsid w:val="00A97DE4"/>
    <w:rsid w:val="00AA073E"/>
    <w:rsid w:val="00AA08E7"/>
    <w:rsid w:val="00AA0C7A"/>
    <w:rsid w:val="00AA2CC7"/>
    <w:rsid w:val="00AA3120"/>
    <w:rsid w:val="00AA31F2"/>
    <w:rsid w:val="00AA32A3"/>
    <w:rsid w:val="00AA482B"/>
    <w:rsid w:val="00AA4C14"/>
    <w:rsid w:val="00AA538A"/>
    <w:rsid w:val="00AA7D37"/>
    <w:rsid w:val="00AA7E7A"/>
    <w:rsid w:val="00AB0234"/>
    <w:rsid w:val="00AB0AF4"/>
    <w:rsid w:val="00AB0EA5"/>
    <w:rsid w:val="00AB0FBB"/>
    <w:rsid w:val="00AB3D38"/>
    <w:rsid w:val="00AB3F87"/>
    <w:rsid w:val="00AB433B"/>
    <w:rsid w:val="00AB4A99"/>
    <w:rsid w:val="00AB6F8C"/>
    <w:rsid w:val="00AB7566"/>
    <w:rsid w:val="00AC042B"/>
    <w:rsid w:val="00AC0F51"/>
    <w:rsid w:val="00AC24EC"/>
    <w:rsid w:val="00AC3D90"/>
    <w:rsid w:val="00AC3EB9"/>
    <w:rsid w:val="00AC4D43"/>
    <w:rsid w:val="00AC5FE0"/>
    <w:rsid w:val="00AC6142"/>
    <w:rsid w:val="00AC72D8"/>
    <w:rsid w:val="00AC7C9A"/>
    <w:rsid w:val="00AD0369"/>
    <w:rsid w:val="00AD2650"/>
    <w:rsid w:val="00AD369D"/>
    <w:rsid w:val="00AD3EF5"/>
    <w:rsid w:val="00AD4773"/>
    <w:rsid w:val="00AD6CC7"/>
    <w:rsid w:val="00AD6D65"/>
    <w:rsid w:val="00AD6DD6"/>
    <w:rsid w:val="00AE08CA"/>
    <w:rsid w:val="00AE1AE4"/>
    <w:rsid w:val="00AE21EA"/>
    <w:rsid w:val="00AE256F"/>
    <w:rsid w:val="00AE277D"/>
    <w:rsid w:val="00AE2F75"/>
    <w:rsid w:val="00AE3390"/>
    <w:rsid w:val="00AE3B59"/>
    <w:rsid w:val="00AE44BC"/>
    <w:rsid w:val="00AE4E4D"/>
    <w:rsid w:val="00AE6EFA"/>
    <w:rsid w:val="00AE6F56"/>
    <w:rsid w:val="00AE7027"/>
    <w:rsid w:val="00AE7F5E"/>
    <w:rsid w:val="00AF0C74"/>
    <w:rsid w:val="00AF25B2"/>
    <w:rsid w:val="00AF395F"/>
    <w:rsid w:val="00AF4516"/>
    <w:rsid w:val="00AF6797"/>
    <w:rsid w:val="00AF6833"/>
    <w:rsid w:val="00AF6EED"/>
    <w:rsid w:val="00AF70C0"/>
    <w:rsid w:val="00AF7B50"/>
    <w:rsid w:val="00B0123F"/>
    <w:rsid w:val="00B01F2C"/>
    <w:rsid w:val="00B0229D"/>
    <w:rsid w:val="00B0304B"/>
    <w:rsid w:val="00B04409"/>
    <w:rsid w:val="00B04E19"/>
    <w:rsid w:val="00B054FA"/>
    <w:rsid w:val="00B062CF"/>
    <w:rsid w:val="00B06C54"/>
    <w:rsid w:val="00B0704C"/>
    <w:rsid w:val="00B07FAD"/>
    <w:rsid w:val="00B11599"/>
    <w:rsid w:val="00B1254D"/>
    <w:rsid w:val="00B13551"/>
    <w:rsid w:val="00B14FFC"/>
    <w:rsid w:val="00B15CF2"/>
    <w:rsid w:val="00B16E8D"/>
    <w:rsid w:val="00B1742A"/>
    <w:rsid w:val="00B179FB"/>
    <w:rsid w:val="00B17FBD"/>
    <w:rsid w:val="00B20ABB"/>
    <w:rsid w:val="00B2133D"/>
    <w:rsid w:val="00B22194"/>
    <w:rsid w:val="00B22407"/>
    <w:rsid w:val="00B23D5E"/>
    <w:rsid w:val="00B240E6"/>
    <w:rsid w:val="00B247F4"/>
    <w:rsid w:val="00B24B7A"/>
    <w:rsid w:val="00B25969"/>
    <w:rsid w:val="00B25E2E"/>
    <w:rsid w:val="00B269CF"/>
    <w:rsid w:val="00B26C24"/>
    <w:rsid w:val="00B2797A"/>
    <w:rsid w:val="00B3084E"/>
    <w:rsid w:val="00B3119A"/>
    <w:rsid w:val="00B31367"/>
    <w:rsid w:val="00B31437"/>
    <w:rsid w:val="00B31A4C"/>
    <w:rsid w:val="00B31AF7"/>
    <w:rsid w:val="00B31E17"/>
    <w:rsid w:val="00B32251"/>
    <w:rsid w:val="00B326E7"/>
    <w:rsid w:val="00B32C1B"/>
    <w:rsid w:val="00B33AEF"/>
    <w:rsid w:val="00B347E9"/>
    <w:rsid w:val="00B349CC"/>
    <w:rsid w:val="00B34B95"/>
    <w:rsid w:val="00B35E21"/>
    <w:rsid w:val="00B36AE3"/>
    <w:rsid w:val="00B37163"/>
    <w:rsid w:val="00B40B6E"/>
    <w:rsid w:val="00B41485"/>
    <w:rsid w:val="00B421E0"/>
    <w:rsid w:val="00B425A3"/>
    <w:rsid w:val="00B42E1E"/>
    <w:rsid w:val="00B42EFD"/>
    <w:rsid w:val="00B43712"/>
    <w:rsid w:val="00B43CB3"/>
    <w:rsid w:val="00B452C4"/>
    <w:rsid w:val="00B456CF"/>
    <w:rsid w:val="00B46930"/>
    <w:rsid w:val="00B46C63"/>
    <w:rsid w:val="00B476E0"/>
    <w:rsid w:val="00B478A8"/>
    <w:rsid w:val="00B47DE0"/>
    <w:rsid w:val="00B47E7B"/>
    <w:rsid w:val="00B5064B"/>
    <w:rsid w:val="00B50C7A"/>
    <w:rsid w:val="00B51B52"/>
    <w:rsid w:val="00B51F57"/>
    <w:rsid w:val="00B52409"/>
    <w:rsid w:val="00B52DCC"/>
    <w:rsid w:val="00B53585"/>
    <w:rsid w:val="00B539D7"/>
    <w:rsid w:val="00B54925"/>
    <w:rsid w:val="00B54BD7"/>
    <w:rsid w:val="00B54C18"/>
    <w:rsid w:val="00B55B04"/>
    <w:rsid w:val="00B56E96"/>
    <w:rsid w:val="00B5744B"/>
    <w:rsid w:val="00B576F6"/>
    <w:rsid w:val="00B578CD"/>
    <w:rsid w:val="00B57C8E"/>
    <w:rsid w:val="00B600C2"/>
    <w:rsid w:val="00B6011E"/>
    <w:rsid w:val="00B608DA"/>
    <w:rsid w:val="00B613B5"/>
    <w:rsid w:val="00B636CE"/>
    <w:rsid w:val="00B639DD"/>
    <w:rsid w:val="00B63BFD"/>
    <w:rsid w:val="00B63E35"/>
    <w:rsid w:val="00B647FA"/>
    <w:rsid w:val="00B64BA7"/>
    <w:rsid w:val="00B64F14"/>
    <w:rsid w:val="00B65682"/>
    <w:rsid w:val="00B65E1A"/>
    <w:rsid w:val="00B6678D"/>
    <w:rsid w:val="00B677ED"/>
    <w:rsid w:val="00B67C74"/>
    <w:rsid w:val="00B67FC1"/>
    <w:rsid w:val="00B70416"/>
    <w:rsid w:val="00B70DF7"/>
    <w:rsid w:val="00B70E86"/>
    <w:rsid w:val="00B712F5"/>
    <w:rsid w:val="00B72944"/>
    <w:rsid w:val="00B7429F"/>
    <w:rsid w:val="00B7726B"/>
    <w:rsid w:val="00B775CB"/>
    <w:rsid w:val="00B80490"/>
    <w:rsid w:val="00B82A2F"/>
    <w:rsid w:val="00B82DD2"/>
    <w:rsid w:val="00B83C5B"/>
    <w:rsid w:val="00B84C6E"/>
    <w:rsid w:val="00B85A58"/>
    <w:rsid w:val="00B86802"/>
    <w:rsid w:val="00B875B3"/>
    <w:rsid w:val="00B87624"/>
    <w:rsid w:val="00B87716"/>
    <w:rsid w:val="00B903C2"/>
    <w:rsid w:val="00B905BD"/>
    <w:rsid w:val="00B91B71"/>
    <w:rsid w:val="00B92927"/>
    <w:rsid w:val="00B931A7"/>
    <w:rsid w:val="00B93616"/>
    <w:rsid w:val="00B94450"/>
    <w:rsid w:val="00B95060"/>
    <w:rsid w:val="00B9533C"/>
    <w:rsid w:val="00B95429"/>
    <w:rsid w:val="00B97513"/>
    <w:rsid w:val="00B97917"/>
    <w:rsid w:val="00B97964"/>
    <w:rsid w:val="00B979BC"/>
    <w:rsid w:val="00B97CA3"/>
    <w:rsid w:val="00B97D92"/>
    <w:rsid w:val="00BA0675"/>
    <w:rsid w:val="00BA24C1"/>
    <w:rsid w:val="00BA2755"/>
    <w:rsid w:val="00BA3074"/>
    <w:rsid w:val="00BA33BB"/>
    <w:rsid w:val="00BA3AB0"/>
    <w:rsid w:val="00BA418A"/>
    <w:rsid w:val="00BA46A5"/>
    <w:rsid w:val="00BA46CF"/>
    <w:rsid w:val="00BA4FB3"/>
    <w:rsid w:val="00BA6000"/>
    <w:rsid w:val="00BA700E"/>
    <w:rsid w:val="00BA7122"/>
    <w:rsid w:val="00BB0E91"/>
    <w:rsid w:val="00BB141B"/>
    <w:rsid w:val="00BB1464"/>
    <w:rsid w:val="00BB342F"/>
    <w:rsid w:val="00BB355D"/>
    <w:rsid w:val="00BB4697"/>
    <w:rsid w:val="00BB5043"/>
    <w:rsid w:val="00BB5279"/>
    <w:rsid w:val="00BB5621"/>
    <w:rsid w:val="00BB6AB6"/>
    <w:rsid w:val="00BB6B4C"/>
    <w:rsid w:val="00BB741E"/>
    <w:rsid w:val="00BC05CF"/>
    <w:rsid w:val="00BC0CA0"/>
    <w:rsid w:val="00BC0DD7"/>
    <w:rsid w:val="00BC1BDB"/>
    <w:rsid w:val="00BC27F2"/>
    <w:rsid w:val="00BC4157"/>
    <w:rsid w:val="00BC4582"/>
    <w:rsid w:val="00BC4CBA"/>
    <w:rsid w:val="00BC5B0A"/>
    <w:rsid w:val="00BC5FDE"/>
    <w:rsid w:val="00BC6323"/>
    <w:rsid w:val="00BC6B0C"/>
    <w:rsid w:val="00BC6CF5"/>
    <w:rsid w:val="00BD00A1"/>
    <w:rsid w:val="00BD093B"/>
    <w:rsid w:val="00BD0CD5"/>
    <w:rsid w:val="00BD1375"/>
    <w:rsid w:val="00BD1D40"/>
    <w:rsid w:val="00BD3617"/>
    <w:rsid w:val="00BD40AE"/>
    <w:rsid w:val="00BD4BB4"/>
    <w:rsid w:val="00BD4C07"/>
    <w:rsid w:val="00BD5DE3"/>
    <w:rsid w:val="00BD6095"/>
    <w:rsid w:val="00BD7064"/>
    <w:rsid w:val="00BD7130"/>
    <w:rsid w:val="00BD76B8"/>
    <w:rsid w:val="00BD78EA"/>
    <w:rsid w:val="00BD796A"/>
    <w:rsid w:val="00BE0143"/>
    <w:rsid w:val="00BE0B73"/>
    <w:rsid w:val="00BE0D5A"/>
    <w:rsid w:val="00BE31CD"/>
    <w:rsid w:val="00BE3695"/>
    <w:rsid w:val="00BE379F"/>
    <w:rsid w:val="00BE43DD"/>
    <w:rsid w:val="00BE479C"/>
    <w:rsid w:val="00BE499E"/>
    <w:rsid w:val="00BE4B7F"/>
    <w:rsid w:val="00BE4CF0"/>
    <w:rsid w:val="00BE5CEC"/>
    <w:rsid w:val="00BE67B4"/>
    <w:rsid w:val="00BE71B5"/>
    <w:rsid w:val="00BE7535"/>
    <w:rsid w:val="00BE78B5"/>
    <w:rsid w:val="00BF12C1"/>
    <w:rsid w:val="00BF13FE"/>
    <w:rsid w:val="00BF142B"/>
    <w:rsid w:val="00BF18BA"/>
    <w:rsid w:val="00BF2270"/>
    <w:rsid w:val="00BF2A95"/>
    <w:rsid w:val="00BF5D74"/>
    <w:rsid w:val="00BF5F54"/>
    <w:rsid w:val="00BF61FA"/>
    <w:rsid w:val="00BF680B"/>
    <w:rsid w:val="00BF6837"/>
    <w:rsid w:val="00BF77A2"/>
    <w:rsid w:val="00BF7BE6"/>
    <w:rsid w:val="00C01C98"/>
    <w:rsid w:val="00C02199"/>
    <w:rsid w:val="00C02808"/>
    <w:rsid w:val="00C028ED"/>
    <w:rsid w:val="00C02F15"/>
    <w:rsid w:val="00C039B1"/>
    <w:rsid w:val="00C03F74"/>
    <w:rsid w:val="00C0402F"/>
    <w:rsid w:val="00C06718"/>
    <w:rsid w:val="00C069C8"/>
    <w:rsid w:val="00C06D81"/>
    <w:rsid w:val="00C0714F"/>
    <w:rsid w:val="00C07C58"/>
    <w:rsid w:val="00C07F8E"/>
    <w:rsid w:val="00C07F9A"/>
    <w:rsid w:val="00C10AD6"/>
    <w:rsid w:val="00C10B94"/>
    <w:rsid w:val="00C11A9E"/>
    <w:rsid w:val="00C128AE"/>
    <w:rsid w:val="00C12BC2"/>
    <w:rsid w:val="00C130D9"/>
    <w:rsid w:val="00C14423"/>
    <w:rsid w:val="00C15210"/>
    <w:rsid w:val="00C15AB9"/>
    <w:rsid w:val="00C15AF6"/>
    <w:rsid w:val="00C1750D"/>
    <w:rsid w:val="00C23ECA"/>
    <w:rsid w:val="00C23F1A"/>
    <w:rsid w:val="00C241E8"/>
    <w:rsid w:val="00C24D45"/>
    <w:rsid w:val="00C24FC1"/>
    <w:rsid w:val="00C2563A"/>
    <w:rsid w:val="00C2593D"/>
    <w:rsid w:val="00C25DC9"/>
    <w:rsid w:val="00C25FBC"/>
    <w:rsid w:val="00C26C26"/>
    <w:rsid w:val="00C26C40"/>
    <w:rsid w:val="00C305CA"/>
    <w:rsid w:val="00C32382"/>
    <w:rsid w:val="00C332FB"/>
    <w:rsid w:val="00C3365E"/>
    <w:rsid w:val="00C3439C"/>
    <w:rsid w:val="00C34C12"/>
    <w:rsid w:val="00C3586A"/>
    <w:rsid w:val="00C3622B"/>
    <w:rsid w:val="00C362B9"/>
    <w:rsid w:val="00C3773D"/>
    <w:rsid w:val="00C37D78"/>
    <w:rsid w:val="00C40D16"/>
    <w:rsid w:val="00C41FAC"/>
    <w:rsid w:val="00C421B0"/>
    <w:rsid w:val="00C421E6"/>
    <w:rsid w:val="00C422D9"/>
    <w:rsid w:val="00C43392"/>
    <w:rsid w:val="00C436B8"/>
    <w:rsid w:val="00C444E9"/>
    <w:rsid w:val="00C44E5D"/>
    <w:rsid w:val="00C44F7B"/>
    <w:rsid w:val="00C4506B"/>
    <w:rsid w:val="00C47950"/>
    <w:rsid w:val="00C5098D"/>
    <w:rsid w:val="00C50FC4"/>
    <w:rsid w:val="00C51423"/>
    <w:rsid w:val="00C516E7"/>
    <w:rsid w:val="00C51971"/>
    <w:rsid w:val="00C536B7"/>
    <w:rsid w:val="00C539AF"/>
    <w:rsid w:val="00C541EB"/>
    <w:rsid w:val="00C54362"/>
    <w:rsid w:val="00C55D56"/>
    <w:rsid w:val="00C55EE5"/>
    <w:rsid w:val="00C6003E"/>
    <w:rsid w:val="00C60886"/>
    <w:rsid w:val="00C61150"/>
    <w:rsid w:val="00C62716"/>
    <w:rsid w:val="00C62A40"/>
    <w:rsid w:val="00C63DDE"/>
    <w:rsid w:val="00C648EF"/>
    <w:rsid w:val="00C65CD2"/>
    <w:rsid w:val="00C65F6F"/>
    <w:rsid w:val="00C6619F"/>
    <w:rsid w:val="00C66903"/>
    <w:rsid w:val="00C66FC7"/>
    <w:rsid w:val="00C67200"/>
    <w:rsid w:val="00C67E30"/>
    <w:rsid w:val="00C702E1"/>
    <w:rsid w:val="00C705F6"/>
    <w:rsid w:val="00C70905"/>
    <w:rsid w:val="00C72D92"/>
    <w:rsid w:val="00C739FA"/>
    <w:rsid w:val="00C73BCA"/>
    <w:rsid w:val="00C7529D"/>
    <w:rsid w:val="00C75946"/>
    <w:rsid w:val="00C75D7D"/>
    <w:rsid w:val="00C7759A"/>
    <w:rsid w:val="00C7759D"/>
    <w:rsid w:val="00C77DF8"/>
    <w:rsid w:val="00C80274"/>
    <w:rsid w:val="00C80281"/>
    <w:rsid w:val="00C80420"/>
    <w:rsid w:val="00C8132E"/>
    <w:rsid w:val="00C81E02"/>
    <w:rsid w:val="00C81F67"/>
    <w:rsid w:val="00C8201B"/>
    <w:rsid w:val="00C8220F"/>
    <w:rsid w:val="00C82F33"/>
    <w:rsid w:val="00C84129"/>
    <w:rsid w:val="00C85C36"/>
    <w:rsid w:val="00C86263"/>
    <w:rsid w:val="00C863E2"/>
    <w:rsid w:val="00C87954"/>
    <w:rsid w:val="00C90260"/>
    <w:rsid w:val="00C91745"/>
    <w:rsid w:val="00C91E8F"/>
    <w:rsid w:val="00C925A5"/>
    <w:rsid w:val="00C9366B"/>
    <w:rsid w:val="00C954B2"/>
    <w:rsid w:val="00C9577F"/>
    <w:rsid w:val="00C96CA2"/>
    <w:rsid w:val="00C979E5"/>
    <w:rsid w:val="00CA1974"/>
    <w:rsid w:val="00CA1B60"/>
    <w:rsid w:val="00CA2D6B"/>
    <w:rsid w:val="00CA2DF2"/>
    <w:rsid w:val="00CA2FF2"/>
    <w:rsid w:val="00CA3042"/>
    <w:rsid w:val="00CA3C2F"/>
    <w:rsid w:val="00CA3E9A"/>
    <w:rsid w:val="00CA50DC"/>
    <w:rsid w:val="00CA5B59"/>
    <w:rsid w:val="00CA5E6E"/>
    <w:rsid w:val="00CA5F23"/>
    <w:rsid w:val="00CA6103"/>
    <w:rsid w:val="00CA6BE5"/>
    <w:rsid w:val="00CB01C4"/>
    <w:rsid w:val="00CB098F"/>
    <w:rsid w:val="00CB1C0A"/>
    <w:rsid w:val="00CB232F"/>
    <w:rsid w:val="00CB2536"/>
    <w:rsid w:val="00CB3639"/>
    <w:rsid w:val="00CB403E"/>
    <w:rsid w:val="00CB4269"/>
    <w:rsid w:val="00CB464D"/>
    <w:rsid w:val="00CB473D"/>
    <w:rsid w:val="00CB4DA7"/>
    <w:rsid w:val="00CB5789"/>
    <w:rsid w:val="00CB5EC7"/>
    <w:rsid w:val="00CB6C7F"/>
    <w:rsid w:val="00CB6C88"/>
    <w:rsid w:val="00CB7229"/>
    <w:rsid w:val="00CB7899"/>
    <w:rsid w:val="00CB78F7"/>
    <w:rsid w:val="00CB7D3B"/>
    <w:rsid w:val="00CC00BB"/>
    <w:rsid w:val="00CC07FE"/>
    <w:rsid w:val="00CC2A77"/>
    <w:rsid w:val="00CC3171"/>
    <w:rsid w:val="00CC3DC1"/>
    <w:rsid w:val="00CC46DD"/>
    <w:rsid w:val="00CC4C4C"/>
    <w:rsid w:val="00CC4F05"/>
    <w:rsid w:val="00CC6D1B"/>
    <w:rsid w:val="00CC7084"/>
    <w:rsid w:val="00CC73C4"/>
    <w:rsid w:val="00CC7A8B"/>
    <w:rsid w:val="00CD1722"/>
    <w:rsid w:val="00CD2C1F"/>
    <w:rsid w:val="00CD3C52"/>
    <w:rsid w:val="00CD3EFA"/>
    <w:rsid w:val="00CD481E"/>
    <w:rsid w:val="00CD78AC"/>
    <w:rsid w:val="00CD79AE"/>
    <w:rsid w:val="00CE0828"/>
    <w:rsid w:val="00CE0A33"/>
    <w:rsid w:val="00CE0F1C"/>
    <w:rsid w:val="00CE3979"/>
    <w:rsid w:val="00CE4167"/>
    <w:rsid w:val="00CE4E1F"/>
    <w:rsid w:val="00CE5046"/>
    <w:rsid w:val="00CE571C"/>
    <w:rsid w:val="00CE64E0"/>
    <w:rsid w:val="00CE6719"/>
    <w:rsid w:val="00CE6B7D"/>
    <w:rsid w:val="00CE78A4"/>
    <w:rsid w:val="00CF104A"/>
    <w:rsid w:val="00CF1618"/>
    <w:rsid w:val="00CF1898"/>
    <w:rsid w:val="00CF1E9C"/>
    <w:rsid w:val="00CF26EC"/>
    <w:rsid w:val="00CF27A6"/>
    <w:rsid w:val="00CF2AC2"/>
    <w:rsid w:val="00CF31E9"/>
    <w:rsid w:val="00CF604F"/>
    <w:rsid w:val="00CF61B4"/>
    <w:rsid w:val="00CF6602"/>
    <w:rsid w:val="00CF67D9"/>
    <w:rsid w:val="00CF6B64"/>
    <w:rsid w:val="00CF7ECC"/>
    <w:rsid w:val="00D0068B"/>
    <w:rsid w:val="00D0193D"/>
    <w:rsid w:val="00D030C9"/>
    <w:rsid w:val="00D03FE0"/>
    <w:rsid w:val="00D04457"/>
    <w:rsid w:val="00D05104"/>
    <w:rsid w:val="00D0533E"/>
    <w:rsid w:val="00D053F7"/>
    <w:rsid w:val="00D05434"/>
    <w:rsid w:val="00D1020B"/>
    <w:rsid w:val="00D1142A"/>
    <w:rsid w:val="00D11E75"/>
    <w:rsid w:val="00D13513"/>
    <w:rsid w:val="00D15742"/>
    <w:rsid w:val="00D16665"/>
    <w:rsid w:val="00D20482"/>
    <w:rsid w:val="00D204D4"/>
    <w:rsid w:val="00D214CC"/>
    <w:rsid w:val="00D2306C"/>
    <w:rsid w:val="00D234E8"/>
    <w:rsid w:val="00D23867"/>
    <w:rsid w:val="00D24401"/>
    <w:rsid w:val="00D24C68"/>
    <w:rsid w:val="00D25881"/>
    <w:rsid w:val="00D25A9E"/>
    <w:rsid w:val="00D25AE3"/>
    <w:rsid w:val="00D25B86"/>
    <w:rsid w:val="00D25BFC"/>
    <w:rsid w:val="00D2687F"/>
    <w:rsid w:val="00D26DAC"/>
    <w:rsid w:val="00D27EAE"/>
    <w:rsid w:val="00D304BB"/>
    <w:rsid w:val="00D30B05"/>
    <w:rsid w:val="00D30BEF"/>
    <w:rsid w:val="00D319A7"/>
    <w:rsid w:val="00D31CE2"/>
    <w:rsid w:val="00D33BC0"/>
    <w:rsid w:val="00D33F9D"/>
    <w:rsid w:val="00D34286"/>
    <w:rsid w:val="00D34482"/>
    <w:rsid w:val="00D356A3"/>
    <w:rsid w:val="00D35E60"/>
    <w:rsid w:val="00D36C88"/>
    <w:rsid w:val="00D40EA0"/>
    <w:rsid w:val="00D4385D"/>
    <w:rsid w:val="00D4388A"/>
    <w:rsid w:val="00D438B8"/>
    <w:rsid w:val="00D44C9D"/>
    <w:rsid w:val="00D45F4F"/>
    <w:rsid w:val="00D47355"/>
    <w:rsid w:val="00D500D1"/>
    <w:rsid w:val="00D50A67"/>
    <w:rsid w:val="00D50DE2"/>
    <w:rsid w:val="00D50E86"/>
    <w:rsid w:val="00D5103E"/>
    <w:rsid w:val="00D5110D"/>
    <w:rsid w:val="00D51B16"/>
    <w:rsid w:val="00D5266F"/>
    <w:rsid w:val="00D53007"/>
    <w:rsid w:val="00D53812"/>
    <w:rsid w:val="00D54904"/>
    <w:rsid w:val="00D54BDF"/>
    <w:rsid w:val="00D56449"/>
    <w:rsid w:val="00D56909"/>
    <w:rsid w:val="00D57DDD"/>
    <w:rsid w:val="00D57F41"/>
    <w:rsid w:val="00D606E3"/>
    <w:rsid w:val="00D608DD"/>
    <w:rsid w:val="00D60AF2"/>
    <w:rsid w:val="00D610B7"/>
    <w:rsid w:val="00D6162B"/>
    <w:rsid w:val="00D63053"/>
    <w:rsid w:val="00D632CD"/>
    <w:rsid w:val="00D645A7"/>
    <w:rsid w:val="00D64A2A"/>
    <w:rsid w:val="00D64BDE"/>
    <w:rsid w:val="00D64D81"/>
    <w:rsid w:val="00D6520D"/>
    <w:rsid w:val="00D65510"/>
    <w:rsid w:val="00D65733"/>
    <w:rsid w:val="00D66A0B"/>
    <w:rsid w:val="00D66A8C"/>
    <w:rsid w:val="00D6736F"/>
    <w:rsid w:val="00D67919"/>
    <w:rsid w:val="00D70484"/>
    <w:rsid w:val="00D72188"/>
    <w:rsid w:val="00D7220C"/>
    <w:rsid w:val="00D72737"/>
    <w:rsid w:val="00D72953"/>
    <w:rsid w:val="00D72B51"/>
    <w:rsid w:val="00D73B27"/>
    <w:rsid w:val="00D73EA6"/>
    <w:rsid w:val="00D742EE"/>
    <w:rsid w:val="00D74D8C"/>
    <w:rsid w:val="00D74FE6"/>
    <w:rsid w:val="00D75130"/>
    <w:rsid w:val="00D758C0"/>
    <w:rsid w:val="00D766B3"/>
    <w:rsid w:val="00D7718A"/>
    <w:rsid w:val="00D7756C"/>
    <w:rsid w:val="00D7785F"/>
    <w:rsid w:val="00D805EE"/>
    <w:rsid w:val="00D8063B"/>
    <w:rsid w:val="00D806E8"/>
    <w:rsid w:val="00D813B8"/>
    <w:rsid w:val="00D814BE"/>
    <w:rsid w:val="00D81828"/>
    <w:rsid w:val="00D819C9"/>
    <w:rsid w:val="00D82817"/>
    <w:rsid w:val="00D84100"/>
    <w:rsid w:val="00D8458C"/>
    <w:rsid w:val="00D848BD"/>
    <w:rsid w:val="00D84B79"/>
    <w:rsid w:val="00D84BB0"/>
    <w:rsid w:val="00D84E9D"/>
    <w:rsid w:val="00D861F9"/>
    <w:rsid w:val="00D8672E"/>
    <w:rsid w:val="00D8798B"/>
    <w:rsid w:val="00D90C40"/>
    <w:rsid w:val="00D90E8B"/>
    <w:rsid w:val="00D91A17"/>
    <w:rsid w:val="00D91FDF"/>
    <w:rsid w:val="00D92781"/>
    <w:rsid w:val="00D929DB"/>
    <w:rsid w:val="00D930B1"/>
    <w:rsid w:val="00D94D7A"/>
    <w:rsid w:val="00D96492"/>
    <w:rsid w:val="00D971AA"/>
    <w:rsid w:val="00D97307"/>
    <w:rsid w:val="00D97687"/>
    <w:rsid w:val="00D976EB"/>
    <w:rsid w:val="00DA1C10"/>
    <w:rsid w:val="00DA2A8F"/>
    <w:rsid w:val="00DA5034"/>
    <w:rsid w:val="00DA5B9A"/>
    <w:rsid w:val="00DA5C0A"/>
    <w:rsid w:val="00DA7AF9"/>
    <w:rsid w:val="00DA7B1E"/>
    <w:rsid w:val="00DB07EE"/>
    <w:rsid w:val="00DB4F4A"/>
    <w:rsid w:val="00DB4F9F"/>
    <w:rsid w:val="00DB53D9"/>
    <w:rsid w:val="00DB55E3"/>
    <w:rsid w:val="00DB63CE"/>
    <w:rsid w:val="00DB65BC"/>
    <w:rsid w:val="00DB6C39"/>
    <w:rsid w:val="00DB788A"/>
    <w:rsid w:val="00DB7D60"/>
    <w:rsid w:val="00DC1C43"/>
    <w:rsid w:val="00DC242C"/>
    <w:rsid w:val="00DC32DC"/>
    <w:rsid w:val="00DC3B92"/>
    <w:rsid w:val="00DC46C0"/>
    <w:rsid w:val="00DC4DBA"/>
    <w:rsid w:val="00DC532A"/>
    <w:rsid w:val="00DC5FAA"/>
    <w:rsid w:val="00DC673C"/>
    <w:rsid w:val="00DC675A"/>
    <w:rsid w:val="00DC6DC0"/>
    <w:rsid w:val="00DC6F50"/>
    <w:rsid w:val="00DC78DC"/>
    <w:rsid w:val="00DD0639"/>
    <w:rsid w:val="00DD0761"/>
    <w:rsid w:val="00DD1553"/>
    <w:rsid w:val="00DD219A"/>
    <w:rsid w:val="00DD2640"/>
    <w:rsid w:val="00DD2FA9"/>
    <w:rsid w:val="00DD4403"/>
    <w:rsid w:val="00DD4607"/>
    <w:rsid w:val="00DD5D09"/>
    <w:rsid w:val="00DD5DB3"/>
    <w:rsid w:val="00DD63C9"/>
    <w:rsid w:val="00DD6519"/>
    <w:rsid w:val="00DD6608"/>
    <w:rsid w:val="00DD6B09"/>
    <w:rsid w:val="00DD6FAE"/>
    <w:rsid w:val="00DD7F8A"/>
    <w:rsid w:val="00DE02CA"/>
    <w:rsid w:val="00DE054F"/>
    <w:rsid w:val="00DE0973"/>
    <w:rsid w:val="00DE5347"/>
    <w:rsid w:val="00DE5358"/>
    <w:rsid w:val="00DE5605"/>
    <w:rsid w:val="00DE698F"/>
    <w:rsid w:val="00DE6D53"/>
    <w:rsid w:val="00DE746D"/>
    <w:rsid w:val="00DE7650"/>
    <w:rsid w:val="00DE7BD4"/>
    <w:rsid w:val="00DF185B"/>
    <w:rsid w:val="00DF2D3F"/>
    <w:rsid w:val="00DF3985"/>
    <w:rsid w:val="00DF442C"/>
    <w:rsid w:val="00DF4464"/>
    <w:rsid w:val="00DF495E"/>
    <w:rsid w:val="00DF4F4B"/>
    <w:rsid w:val="00DF54CF"/>
    <w:rsid w:val="00DF5621"/>
    <w:rsid w:val="00DF5D8A"/>
    <w:rsid w:val="00DF6378"/>
    <w:rsid w:val="00E01169"/>
    <w:rsid w:val="00E01457"/>
    <w:rsid w:val="00E02496"/>
    <w:rsid w:val="00E033E1"/>
    <w:rsid w:val="00E0518A"/>
    <w:rsid w:val="00E0539A"/>
    <w:rsid w:val="00E0562A"/>
    <w:rsid w:val="00E05664"/>
    <w:rsid w:val="00E103C6"/>
    <w:rsid w:val="00E10C0A"/>
    <w:rsid w:val="00E1185F"/>
    <w:rsid w:val="00E11C55"/>
    <w:rsid w:val="00E128E2"/>
    <w:rsid w:val="00E13D7C"/>
    <w:rsid w:val="00E1410A"/>
    <w:rsid w:val="00E14200"/>
    <w:rsid w:val="00E153E4"/>
    <w:rsid w:val="00E15677"/>
    <w:rsid w:val="00E15688"/>
    <w:rsid w:val="00E1583A"/>
    <w:rsid w:val="00E15927"/>
    <w:rsid w:val="00E20F3E"/>
    <w:rsid w:val="00E213B5"/>
    <w:rsid w:val="00E217D0"/>
    <w:rsid w:val="00E22CBE"/>
    <w:rsid w:val="00E23336"/>
    <w:rsid w:val="00E23D18"/>
    <w:rsid w:val="00E249B1"/>
    <w:rsid w:val="00E24BFD"/>
    <w:rsid w:val="00E24EFE"/>
    <w:rsid w:val="00E26056"/>
    <w:rsid w:val="00E26BA8"/>
    <w:rsid w:val="00E27619"/>
    <w:rsid w:val="00E27651"/>
    <w:rsid w:val="00E278A2"/>
    <w:rsid w:val="00E30109"/>
    <w:rsid w:val="00E306C4"/>
    <w:rsid w:val="00E3189C"/>
    <w:rsid w:val="00E31BFF"/>
    <w:rsid w:val="00E3249B"/>
    <w:rsid w:val="00E3269C"/>
    <w:rsid w:val="00E33F8E"/>
    <w:rsid w:val="00E34691"/>
    <w:rsid w:val="00E352EE"/>
    <w:rsid w:val="00E35AD5"/>
    <w:rsid w:val="00E35E36"/>
    <w:rsid w:val="00E36080"/>
    <w:rsid w:val="00E37B4C"/>
    <w:rsid w:val="00E37EEB"/>
    <w:rsid w:val="00E4096C"/>
    <w:rsid w:val="00E43036"/>
    <w:rsid w:val="00E431AC"/>
    <w:rsid w:val="00E444F2"/>
    <w:rsid w:val="00E4482E"/>
    <w:rsid w:val="00E44E89"/>
    <w:rsid w:val="00E46C04"/>
    <w:rsid w:val="00E470DE"/>
    <w:rsid w:val="00E47A2A"/>
    <w:rsid w:val="00E50500"/>
    <w:rsid w:val="00E508B7"/>
    <w:rsid w:val="00E50D5A"/>
    <w:rsid w:val="00E51B04"/>
    <w:rsid w:val="00E51C73"/>
    <w:rsid w:val="00E524EC"/>
    <w:rsid w:val="00E5318B"/>
    <w:rsid w:val="00E536F9"/>
    <w:rsid w:val="00E5386B"/>
    <w:rsid w:val="00E55131"/>
    <w:rsid w:val="00E552D2"/>
    <w:rsid w:val="00E5546F"/>
    <w:rsid w:val="00E55853"/>
    <w:rsid w:val="00E56609"/>
    <w:rsid w:val="00E56742"/>
    <w:rsid w:val="00E56C91"/>
    <w:rsid w:val="00E5779C"/>
    <w:rsid w:val="00E60AF2"/>
    <w:rsid w:val="00E60FC8"/>
    <w:rsid w:val="00E6102A"/>
    <w:rsid w:val="00E61E46"/>
    <w:rsid w:val="00E65369"/>
    <w:rsid w:val="00E65ACD"/>
    <w:rsid w:val="00E65C1C"/>
    <w:rsid w:val="00E663F6"/>
    <w:rsid w:val="00E667CD"/>
    <w:rsid w:val="00E670E0"/>
    <w:rsid w:val="00E6796C"/>
    <w:rsid w:val="00E67BFB"/>
    <w:rsid w:val="00E70813"/>
    <w:rsid w:val="00E70850"/>
    <w:rsid w:val="00E70BE2"/>
    <w:rsid w:val="00E70D10"/>
    <w:rsid w:val="00E70EB0"/>
    <w:rsid w:val="00E721FD"/>
    <w:rsid w:val="00E73352"/>
    <w:rsid w:val="00E738A3"/>
    <w:rsid w:val="00E73CD5"/>
    <w:rsid w:val="00E74413"/>
    <w:rsid w:val="00E7477E"/>
    <w:rsid w:val="00E7584E"/>
    <w:rsid w:val="00E758A5"/>
    <w:rsid w:val="00E76E58"/>
    <w:rsid w:val="00E777BE"/>
    <w:rsid w:val="00E777F8"/>
    <w:rsid w:val="00E809B2"/>
    <w:rsid w:val="00E80B8B"/>
    <w:rsid w:val="00E80C44"/>
    <w:rsid w:val="00E81919"/>
    <w:rsid w:val="00E81A76"/>
    <w:rsid w:val="00E81B5D"/>
    <w:rsid w:val="00E81BBF"/>
    <w:rsid w:val="00E81CAE"/>
    <w:rsid w:val="00E8250A"/>
    <w:rsid w:val="00E827A1"/>
    <w:rsid w:val="00E82A29"/>
    <w:rsid w:val="00E82B3E"/>
    <w:rsid w:val="00E82CFB"/>
    <w:rsid w:val="00E83615"/>
    <w:rsid w:val="00E84F0B"/>
    <w:rsid w:val="00E85416"/>
    <w:rsid w:val="00E85771"/>
    <w:rsid w:val="00E85AB1"/>
    <w:rsid w:val="00E85AC7"/>
    <w:rsid w:val="00E85BAE"/>
    <w:rsid w:val="00E862D2"/>
    <w:rsid w:val="00E87451"/>
    <w:rsid w:val="00E876CD"/>
    <w:rsid w:val="00E90BA6"/>
    <w:rsid w:val="00E92CB2"/>
    <w:rsid w:val="00E92CE0"/>
    <w:rsid w:val="00E93081"/>
    <w:rsid w:val="00E930A7"/>
    <w:rsid w:val="00E93983"/>
    <w:rsid w:val="00E94598"/>
    <w:rsid w:val="00E9466C"/>
    <w:rsid w:val="00E94AFA"/>
    <w:rsid w:val="00E9554A"/>
    <w:rsid w:val="00E958F6"/>
    <w:rsid w:val="00E96977"/>
    <w:rsid w:val="00E96F82"/>
    <w:rsid w:val="00E97EDF"/>
    <w:rsid w:val="00EA1096"/>
    <w:rsid w:val="00EA1C3B"/>
    <w:rsid w:val="00EA29B4"/>
    <w:rsid w:val="00EA2E87"/>
    <w:rsid w:val="00EA3005"/>
    <w:rsid w:val="00EA385F"/>
    <w:rsid w:val="00EA3C06"/>
    <w:rsid w:val="00EA44A5"/>
    <w:rsid w:val="00EA461C"/>
    <w:rsid w:val="00EA5347"/>
    <w:rsid w:val="00EA5B3B"/>
    <w:rsid w:val="00EA61F7"/>
    <w:rsid w:val="00EA6BB8"/>
    <w:rsid w:val="00EB05B5"/>
    <w:rsid w:val="00EB08ED"/>
    <w:rsid w:val="00EB1EB4"/>
    <w:rsid w:val="00EB21C5"/>
    <w:rsid w:val="00EB4042"/>
    <w:rsid w:val="00EB4EA6"/>
    <w:rsid w:val="00EB50C0"/>
    <w:rsid w:val="00EB5AFD"/>
    <w:rsid w:val="00EB5DF9"/>
    <w:rsid w:val="00EB64C3"/>
    <w:rsid w:val="00EB6794"/>
    <w:rsid w:val="00EB6E83"/>
    <w:rsid w:val="00EB75F6"/>
    <w:rsid w:val="00EC0DF6"/>
    <w:rsid w:val="00EC0E64"/>
    <w:rsid w:val="00EC1643"/>
    <w:rsid w:val="00EC176B"/>
    <w:rsid w:val="00EC1867"/>
    <w:rsid w:val="00EC1AF9"/>
    <w:rsid w:val="00EC1DEF"/>
    <w:rsid w:val="00EC24B6"/>
    <w:rsid w:val="00EC2775"/>
    <w:rsid w:val="00EC2BB0"/>
    <w:rsid w:val="00EC2BC1"/>
    <w:rsid w:val="00EC38A3"/>
    <w:rsid w:val="00EC612B"/>
    <w:rsid w:val="00EC6DD6"/>
    <w:rsid w:val="00EC71FC"/>
    <w:rsid w:val="00EC777A"/>
    <w:rsid w:val="00EC7B38"/>
    <w:rsid w:val="00ED07C9"/>
    <w:rsid w:val="00ED113A"/>
    <w:rsid w:val="00ED206C"/>
    <w:rsid w:val="00ED2164"/>
    <w:rsid w:val="00ED3219"/>
    <w:rsid w:val="00ED40B1"/>
    <w:rsid w:val="00ED506D"/>
    <w:rsid w:val="00ED5446"/>
    <w:rsid w:val="00ED5B4F"/>
    <w:rsid w:val="00ED634E"/>
    <w:rsid w:val="00ED6CB7"/>
    <w:rsid w:val="00ED7756"/>
    <w:rsid w:val="00EE03FC"/>
    <w:rsid w:val="00EE0841"/>
    <w:rsid w:val="00EE0F20"/>
    <w:rsid w:val="00EE0F6C"/>
    <w:rsid w:val="00EE101E"/>
    <w:rsid w:val="00EE163B"/>
    <w:rsid w:val="00EE264D"/>
    <w:rsid w:val="00EE3A15"/>
    <w:rsid w:val="00EE43C5"/>
    <w:rsid w:val="00EE4C13"/>
    <w:rsid w:val="00EE5982"/>
    <w:rsid w:val="00EE6CFE"/>
    <w:rsid w:val="00EE6D6C"/>
    <w:rsid w:val="00EE6D88"/>
    <w:rsid w:val="00EE7763"/>
    <w:rsid w:val="00EF03F4"/>
    <w:rsid w:val="00EF06AA"/>
    <w:rsid w:val="00EF128B"/>
    <w:rsid w:val="00EF1A1B"/>
    <w:rsid w:val="00EF3210"/>
    <w:rsid w:val="00EF366B"/>
    <w:rsid w:val="00EF5027"/>
    <w:rsid w:val="00EF618B"/>
    <w:rsid w:val="00EF71F0"/>
    <w:rsid w:val="00EF76A3"/>
    <w:rsid w:val="00EF7813"/>
    <w:rsid w:val="00F016C9"/>
    <w:rsid w:val="00F038DC"/>
    <w:rsid w:val="00F03B6C"/>
    <w:rsid w:val="00F04FC5"/>
    <w:rsid w:val="00F05832"/>
    <w:rsid w:val="00F061E8"/>
    <w:rsid w:val="00F06657"/>
    <w:rsid w:val="00F0715B"/>
    <w:rsid w:val="00F07E53"/>
    <w:rsid w:val="00F119F1"/>
    <w:rsid w:val="00F11B1D"/>
    <w:rsid w:val="00F11D22"/>
    <w:rsid w:val="00F12955"/>
    <w:rsid w:val="00F141CD"/>
    <w:rsid w:val="00F1422D"/>
    <w:rsid w:val="00F15C11"/>
    <w:rsid w:val="00F16C73"/>
    <w:rsid w:val="00F17756"/>
    <w:rsid w:val="00F17DC3"/>
    <w:rsid w:val="00F20C6D"/>
    <w:rsid w:val="00F20EE9"/>
    <w:rsid w:val="00F22DE8"/>
    <w:rsid w:val="00F23E0B"/>
    <w:rsid w:val="00F2521E"/>
    <w:rsid w:val="00F2522D"/>
    <w:rsid w:val="00F26F6C"/>
    <w:rsid w:val="00F26F8A"/>
    <w:rsid w:val="00F27355"/>
    <w:rsid w:val="00F2782D"/>
    <w:rsid w:val="00F31489"/>
    <w:rsid w:val="00F322F5"/>
    <w:rsid w:val="00F33820"/>
    <w:rsid w:val="00F360EC"/>
    <w:rsid w:val="00F36649"/>
    <w:rsid w:val="00F368A8"/>
    <w:rsid w:val="00F37847"/>
    <w:rsid w:val="00F40102"/>
    <w:rsid w:val="00F41270"/>
    <w:rsid w:val="00F429D6"/>
    <w:rsid w:val="00F42F4D"/>
    <w:rsid w:val="00F4307C"/>
    <w:rsid w:val="00F44210"/>
    <w:rsid w:val="00F44D4F"/>
    <w:rsid w:val="00F450E3"/>
    <w:rsid w:val="00F4554D"/>
    <w:rsid w:val="00F462ED"/>
    <w:rsid w:val="00F46A37"/>
    <w:rsid w:val="00F472A5"/>
    <w:rsid w:val="00F47D47"/>
    <w:rsid w:val="00F508EE"/>
    <w:rsid w:val="00F524D9"/>
    <w:rsid w:val="00F538CE"/>
    <w:rsid w:val="00F539FB"/>
    <w:rsid w:val="00F53BF0"/>
    <w:rsid w:val="00F53F89"/>
    <w:rsid w:val="00F54529"/>
    <w:rsid w:val="00F545B1"/>
    <w:rsid w:val="00F54C67"/>
    <w:rsid w:val="00F54E9E"/>
    <w:rsid w:val="00F55152"/>
    <w:rsid w:val="00F5587C"/>
    <w:rsid w:val="00F559B1"/>
    <w:rsid w:val="00F5635E"/>
    <w:rsid w:val="00F57615"/>
    <w:rsid w:val="00F579E8"/>
    <w:rsid w:val="00F6244E"/>
    <w:rsid w:val="00F65279"/>
    <w:rsid w:val="00F65F99"/>
    <w:rsid w:val="00F66E91"/>
    <w:rsid w:val="00F6776B"/>
    <w:rsid w:val="00F67AC0"/>
    <w:rsid w:val="00F67E36"/>
    <w:rsid w:val="00F70777"/>
    <w:rsid w:val="00F7080B"/>
    <w:rsid w:val="00F71D3C"/>
    <w:rsid w:val="00F721DC"/>
    <w:rsid w:val="00F729E3"/>
    <w:rsid w:val="00F72E7C"/>
    <w:rsid w:val="00F73146"/>
    <w:rsid w:val="00F73B27"/>
    <w:rsid w:val="00F7431C"/>
    <w:rsid w:val="00F76E20"/>
    <w:rsid w:val="00F81268"/>
    <w:rsid w:val="00F81A0F"/>
    <w:rsid w:val="00F824C0"/>
    <w:rsid w:val="00F82600"/>
    <w:rsid w:val="00F82F24"/>
    <w:rsid w:val="00F83154"/>
    <w:rsid w:val="00F8458B"/>
    <w:rsid w:val="00F85408"/>
    <w:rsid w:val="00F85A40"/>
    <w:rsid w:val="00F85B0F"/>
    <w:rsid w:val="00F8649E"/>
    <w:rsid w:val="00F86855"/>
    <w:rsid w:val="00F86B0F"/>
    <w:rsid w:val="00F86CDB"/>
    <w:rsid w:val="00F872A1"/>
    <w:rsid w:val="00F879B6"/>
    <w:rsid w:val="00F9052A"/>
    <w:rsid w:val="00F91085"/>
    <w:rsid w:val="00F926D0"/>
    <w:rsid w:val="00F9287C"/>
    <w:rsid w:val="00F93B65"/>
    <w:rsid w:val="00F943D9"/>
    <w:rsid w:val="00F947D2"/>
    <w:rsid w:val="00F9483A"/>
    <w:rsid w:val="00F9529A"/>
    <w:rsid w:val="00F9579A"/>
    <w:rsid w:val="00F959CB"/>
    <w:rsid w:val="00F96575"/>
    <w:rsid w:val="00F968F9"/>
    <w:rsid w:val="00F96DCD"/>
    <w:rsid w:val="00FA192F"/>
    <w:rsid w:val="00FA428F"/>
    <w:rsid w:val="00FA4518"/>
    <w:rsid w:val="00FA48FD"/>
    <w:rsid w:val="00FA4ED8"/>
    <w:rsid w:val="00FA4FDE"/>
    <w:rsid w:val="00FA5A18"/>
    <w:rsid w:val="00FB0B79"/>
    <w:rsid w:val="00FB2793"/>
    <w:rsid w:val="00FB2825"/>
    <w:rsid w:val="00FB2956"/>
    <w:rsid w:val="00FB2EF4"/>
    <w:rsid w:val="00FB32A8"/>
    <w:rsid w:val="00FB43E1"/>
    <w:rsid w:val="00FB4510"/>
    <w:rsid w:val="00FB62B5"/>
    <w:rsid w:val="00FB6498"/>
    <w:rsid w:val="00FB7744"/>
    <w:rsid w:val="00FC04F2"/>
    <w:rsid w:val="00FC2417"/>
    <w:rsid w:val="00FC2D4E"/>
    <w:rsid w:val="00FC4B92"/>
    <w:rsid w:val="00FC4F21"/>
    <w:rsid w:val="00FC4FD3"/>
    <w:rsid w:val="00FC5054"/>
    <w:rsid w:val="00FC5E01"/>
    <w:rsid w:val="00FC5E03"/>
    <w:rsid w:val="00FC5F76"/>
    <w:rsid w:val="00FC6324"/>
    <w:rsid w:val="00FC6725"/>
    <w:rsid w:val="00FC6BC2"/>
    <w:rsid w:val="00FC6C4C"/>
    <w:rsid w:val="00FD1518"/>
    <w:rsid w:val="00FD1559"/>
    <w:rsid w:val="00FD2918"/>
    <w:rsid w:val="00FD31B9"/>
    <w:rsid w:val="00FD3533"/>
    <w:rsid w:val="00FD398C"/>
    <w:rsid w:val="00FD4972"/>
    <w:rsid w:val="00FD4EA0"/>
    <w:rsid w:val="00FD5353"/>
    <w:rsid w:val="00FD6162"/>
    <w:rsid w:val="00FD6590"/>
    <w:rsid w:val="00FD69B7"/>
    <w:rsid w:val="00FD6FE3"/>
    <w:rsid w:val="00FD7029"/>
    <w:rsid w:val="00FD7F1B"/>
    <w:rsid w:val="00FE1B27"/>
    <w:rsid w:val="00FE252F"/>
    <w:rsid w:val="00FE2ABB"/>
    <w:rsid w:val="00FE2C14"/>
    <w:rsid w:val="00FE379E"/>
    <w:rsid w:val="00FE3F02"/>
    <w:rsid w:val="00FE4B57"/>
    <w:rsid w:val="00FE537E"/>
    <w:rsid w:val="00FE787C"/>
    <w:rsid w:val="00FF0272"/>
    <w:rsid w:val="00FF0540"/>
    <w:rsid w:val="00FF0BA7"/>
    <w:rsid w:val="00FF0CE2"/>
    <w:rsid w:val="00FF11CA"/>
    <w:rsid w:val="00FF23AA"/>
    <w:rsid w:val="00FF268A"/>
    <w:rsid w:val="00FF4362"/>
    <w:rsid w:val="00FF4B67"/>
    <w:rsid w:val="00FF5039"/>
    <w:rsid w:val="00FF6936"/>
    <w:rsid w:val="00FF6F68"/>
    <w:rsid w:val="00FF715E"/>
    <w:rsid w:val="00FF75DF"/>
    <w:rsid w:val="00FF79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246BE9"/>
  <w15:docId w15:val="{4F8F98D9-73F3-D242-8C49-C2BC8531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3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FF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A0FF5"/>
  </w:style>
  <w:style w:type="paragraph" w:styleId="Footer">
    <w:name w:val="footer"/>
    <w:basedOn w:val="Normal"/>
    <w:link w:val="FooterChar"/>
    <w:uiPriority w:val="99"/>
    <w:unhideWhenUsed/>
    <w:rsid w:val="001A0FF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A0FF5"/>
  </w:style>
  <w:style w:type="paragraph" w:styleId="BalloonText">
    <w:name w:val="Balloon Text"/>
    <w:basedOn w:val="Normal"/>
    <w:link w:val="BalloonTextChar"/>
    <w:uiPriority w:val="99"/>
    <w:semiHidden/>
    <w:unhideWhenUsed/>
    <w:rsid w:val="002F6FBA"/>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F6FBA"/>
    <w:rPr>
      <w:rFonts w:ascii="Segoe UI" w:hAnsi="Segoe UI" w:cs="Segoe UI"/>
      <w:sz w:val="18"/>
      <w:szCs w:val="18"/>
    </w:rPr>
  </w:style>
  <w:style w:type="character" w:styleId="Hyperlink">
    <w:name w:val="Hyperlink"/>
    <w:basedOn w:val="DefaultParagraphFont"/>
    <w:uiPriority w:val="99"/>
    <w:unhideWhenUsed/>
    <w:rsid w:val="0053176F"/>
    <w:rPr>
      <w:color w:val="0563C1" w:themeColor="hyperlink"/>
      <w:u w:val="single"/>
    </w:rPr>
  </w:style>
  <w:style w:type="character" w:customStyle="1" w:styleId="UnresolvedMention1">
    <w:name w:val="Unresolved Mention1"/>
    <w:basedOn w:val="DefaultParagraphFont"/>
    <w:uiPriority w:val="99"/>
    <w:semiHidden/>
    <w:unhideWhenUsed/>
    <w:rsid w:val="0053176F"/>
    <w:rPr>
      <w:color w:val="605E5C"/>
      <w:shd w:val="clear" w:color="auto" w:fill="E1DFDD"/>
    </w:rPr>
  </w:style>
  <w:style w:type="character" w:styleId="CommentReference">
    <w:name w:val="annotation reference"/>
    <w:basedOn w:val="DefaultParagraphFont"/>
    <w:uiPriority w:val="99"/>
    <w:semiHidden/>
    <w:unhideWhenUsed/>
    <w:rsid w:val="00B775CB"/>
    <w:rPr>
      <w:sz w:val="16"/>
      <w:szCs w:val="16"/>
    </w:rPr>
  </w:style>
  <w:style w:type="paragraph" w:styleId="CommentText">
    <w:name w:val="annotation text"/>
    <w:basedOn w:val="Normal"/>
    <w:link w:val="CommentTextChar"/>
    <w:uiPriority w:val="99"/>
    <w:unhideWhenUsed/>
    <w:rsid w:val="00B775CB"/>
    <w:pPr>
      <w:spacing w:after="12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B775CB"/>
    <w:rPr>
      <w:sz w:val="20"/>
      <w:szCs w:val="20"/>
    </w:rPr>
  </w:style>
  <w:style w:type="paragraph" w:styleId="CommentSubject">
    <w:name w:val="annotation subject"/>
    <w:basedOn w:val="CommentText"/>
    <w:next w:val="CommentText"/>
    <w:link w:val="CommentSubjectChar"/>
    <w:uiPriority w:val="99"/>
    <w:semiHidden/>
    <w:unhideWhenUsed/>
    <w:rsid w:val="00B775CB"/>
    <w:rPr>
      <w:b/>
      <w:bCs/>
    </w:rPr>
  </w:style>
  <w:style w:type="character" w:customStyle="1" w:styleId="CommentSubjectChar">
    <w:name w:val="Comment Subject Char"/>
    <w:basedOn w:val="CommentTextChar"/>
    <w:link w:val="CommentSubject"/>
    <w:uiPriority w:val="99"/>
    <w:semiHidden/>
    <w:rsid w:val="00B775CB"/>
    <w:rPr>
      <w:b/>
      <w:bCs/>
      <w:sz w:val="20"/>
      <w:szCs w:val="20"/>
    </w:rPr>
  </w:style>
  <w:style w:type="character" w:customStyle="1" w:styleId="UnresolvedMention2">
    <w:name w:val="Unresolved Mention2"/>
    <w:basedOn w:val="DefaultParagraphFont"/>
    <w:uiPriority w:val="99"/>
    <w:rsid w:val="000C61E6"/>
    <w:rPr>
      <w:color w:val="605E5C"/>
      <w:shd w:val="clear" w:color="auto" w:fill="E1DFDD"/>
    </w:rPr>
  </w:style>
  <w:style w:type="paragraph" w:styleId="Revision">
    <w:name w:val="Revision"/>
    <w:hidden/>
    <w:uiPriority w:val="99"/>
    <w:semiHidden/>
    <w:rsid w:val="000C61E6"/>
    <w:pPr>
      <w:spacing w:after="0" w:line="240" w:lineRule="auto"/>
    </w:pPr>
  </w:style>
  <w:style w:type="character" w:styleId="PlaceholderText">
    <w:name w:val="Placeholder Text"/>
    <w:basedOn w:val="DefaultParagraphFont"/>
    <w:uiPriority w:val="99"/>
    <w:semiHidden/>
    <w:rsid w:val="00470CD8"/>
    <w:rPr>
      <w:color w:val="808080"/>
    </w:rPr>
  </w:style>
  <w:style w:type="character" w:styleId="LineNumber">
    <w:name w:val="line number"/>
    <w:basedOn w:val="DefaultParagraphFont"/>
    <w:uiPriority w:val="99"/>
    <w:semiHidden/>
    <w:unhideWhenUsed/>
    <w:rsid w:val="002E5EBC"/>
  </w:style>
  <w:style w:type="character" w:styleId="PageNumber">
    <w:name w:val="page number"/>
    <w:basedOn w:val="DefaultParagraphFont"/>
    <w:uiPriority w:val="99"/>
    <w:semiHidden/>
    <w:unhideWhenUsed/>
    <w:rsid w:val="00DF5621"/>
  </w:style>
  <w:style w:type="paragraph" w:styleId="ListParagraph">
    <w:name w:val="List Paragraph"/>
    <w:basedOn w:val="Normal"/>
    <w:uiPriority w:val="34"/>
    <w:qFormat/>
    <w:rsid w:val="00CE571C"/>
    <w:pPr>
      <w:ind w:left="720"/>
      <w:contextualSpacing/>
    </w:pPr>
  </w:style>
  <w:style w:type="table" w:customStyle="1" w:styleId="PlainTable21">
    <w:name w:val="Plain Table 21"/>
    <w:basedOn w:val="TableNormal"/>
    <w:uiPriority w:val="42"/>
    <w:rsid w:val="00160DFD"/>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42E1E"/>
    <w:pPr>
      <w:spacing w:before="100" w:beforeAutospacing="1" w:after="100" w:afterAutospacing="1"/>
    </w:pPr>
    <w:rPr>
      <w:rFonts w:eastAsiaTheme="minorEastAsia"/>
    </w:rPr>
  </w:style>
  <w:style w:type="table" w:styleId="PlainTable5">
    <w:name w:val="Plain Table 5"/>
    <w:basedOn w:val="TableNormal"/>
    <w:uiPriority w:val="99"/>
    <w:rsid w:val="002F0B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2F0BE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2757DF"/>
    <w:rPr>
      <w:color w:val="605E5C"/>
      <w:shd w:val="clear" w:color="auto" w:fill="E1DFDD"/>
    </w:rPr>
  </w:style>
  <w:style w:type="table" w:styleId="TableGrid">
    <w:name w:val="Table Grid"/>
    <w:basedOn w:val="TableNormal"/>
    <w:uiPriority w:val="39"/>
    <w:rsid w:val="006F3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6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0466">
      <w:bodyDiv w:val="1"/>
      <w:marLeft w:val="0"/>
      <w:marRight w:val="0"/>
      <w:marTop w:val="0"/>
      <w:marBottom w:val="0"/>
      <w:divBdr>
        <w:top w:val="none" w:sz="0" w:space="0" w:color="auto"/>
        <w:left w:val="none" w:sz="0" w:space="0" w:color="auto"/>
        <w:bottom w:val="none" w:sz="0" w:space="0" w:color="auto"/>
        <w:right w:val="none" w:sz="0" w:space="0" w:color="auto"/>
      </w:divBdr>
    </w:div>
    <w:div w:id="23293165">
      <w:bodyDiv w:val="1"/>
      <w:marLeft w:val="0"/>
      <w:marRight w:val="0"/>
      <w:marTop w:val="0"/>
      <w:marBottom w:val="0"/>
      <w:divBdr>
        <w:top w:val="none" w:sz="0" w:space="0" w:color="auto"/>
        <w:left w:val="none" w:sz="0" w:space="0" w:color="auto"/>
        <w:bottom w:val="none" w:sz="0" w:space="0" w:color="auto"/>
        <w:right w:val="none" w:sz="0" w:space="0" w:color="auto"/>
      </w:divBdr>
    </w:div>
    <w:div w:id="34426262">
      <w:bodyDiv w:val="1"/>
      <w:marLeft w:val="0"/>
      <w:marRight w:val="0"/>
      <w:marTop w:val="0"/>
      <w:marBottom w:val="0"/>
      <w:divBdr>
        <w:top w:val="none" w:sz="0" w:space="0" w:color="auto"/>
        <w:left w:val="none" w:sz="0" w:space="0" w:color="auto"/>
        <w:bottom w:val="none" w:sz="0" w:space="0" w:color="auto"/>
        <w:right w:val="none" w:sz="0" w:space="0" w:color="auto"/>
      </w:divBdr>
    </w:div>
    <w:div w:id="121308386">
      <w:bodyDiv w:val="1"/>
      <w:marLeft w:val="0"/>
      <w:marRight w:val="0"/>
      <w:marTop w:val="0"/>
      <w:marBottom w:val="0"/>
      <w:divBdr>
        <w:top w:val="none" w:sz="0" w:space="0" w:color="auto"/>
        <w:left w:val="none" w:sz="0" w:space="0" w:color="auto"/>
        <w:bottom w:val="none" w:sz="0" w:space="0" w:color="auto"/>
        <w:right w:val="none" w:sz="0" w:space="0" w:color="auto"/>
      </w:divBdr>
    </w:div>
    <w:div w:id="138808586">
      <w:bodyDiv w:val="1"/>
      <w:marLeft w:val="0"/>
      <w:marRight w:val="0"/>
      <w:marTop w:val="0"/>
      <w:marBottom w:val="0"/>
      <w:divBdr>
        <w:top w:val="none" w:sz="0" w:space="0" w:color="auto"/>
        <w:left w:val="none" w:sz="0" w:space="0" w:color="auto"/>
        <w:bottom w:val="none" w:sz="0" w:space="0" w:color="auto"/>
        <w:right w:val="none" w:sz="0" w:space="0" w:color="auto"/>
      </w:divBdr>
    </w:div>
    <w:div w:id="150022999">
      <w:bodyDiv w:val="1"/>
      <w:marLeft w:val="0"/>
      <w:marRight w:val="0"/>
      <w:marTop w:val="0"/>
      <w:marBottom w:val="0"/>
      <w:divBdr>
        <w:top w:val="none" w:sz="0" w:space="0" w:color="auto"/>
        <w:left w:val="none" w:sz="0" w:space="0" w:color="auto"/>
        <w:bottom w:val="none" w:sz="0" w:space="0" w:color="auto"/>
        <w:right w:val="none" w:sz="0" w:space="0" w:color="auto"/>
      </w:divBdr>
    </w:div>
    <w:div w:id="164829417">
      <w:bodyDiv w:val="1"/>
      <w:marLeft w:val="0"/>
      <w:marRight w:val="0"/>
      <w:marTop w:val="0"/>
      <w:marBottom w:val="0"/>
      <w:divBdr>
        <w:top w:val="none" w:sz="0" w:space="0" w:color="auto"/>
        <w:left w:val="none" w:sz="0" w:space="0" w:color="auto"/>
        <w:bottom w:val="none" w:sz="0" w:space="0" w:color="auto"/>
        <w:right w:val="none" w:sz="0" w:space="0" w:color="auto"/>
      </w:divBdr>
    </w:div>
    <w:div w:id="209149382">
      <w:bodyDiv w:val="1"/>
      <w:marLeft w:val="0"/>
      <w:marRight w:val="0"/>
      <w:marTop w:val="0"/>
      <w:marBottom w:val="0"/>
      <w:divBdr>
        <w:top w:val="none" w:sz="0" w:space="0" w:color="auto"/>
        <w:left w:val="none" w:sz="0" w:space="0" w:color="auto"/>
        <w:bottom w:val="none" w:sz="0" w:space="0" w:color="auto"/>
        <w:right w:val="none" w:sz="0" w:space="0" w:color="auto"/>
      </w:divBdr>
    </w:div>
    <w:div w:id="220026309">
      <w:bodyDiv w:val="1"/>
      <w:marLeft w:val="0"/>
      <w:marRight w:val="0"/>
      <w:marTop w:val="0"/>
      <w:marBottom w:val="0"/>
      <w:divBdr>
        <w:top w:val="none" w:sz="0" w:space="0" w:color="auto"/>
        <w:left w:val="none" w:sz="0" w:space="0" w:color="auto"/>
        <w:bottom w:val="none" w:sz="0" w:space="0" w:color="auto"/>
        <w:right w:val="none" w:sz="0" w:space="0" w:color="auto"/>
      </w:divBdr>
    </w:div>
    <w:div w:id="236136411">
      <w:bodyDiv w:val="1"/>
      <w:marLeft w:val="0"/>
      <w:marRight w:val="0"/>
      <w:marTop w:val="0"/>
      <w:marBottom w:val="0"/>
      <w:divBdr>
        <w:top w:val="none" w:sz="0" w:space="0" w:color="auto"/>
        <w:left w:val="none" w:sz="0" w:space="0" w:color="auto"/>
        <w:bottom w:val="none" w:sz="0" w:space="0" w:color="auto"/>
        <w:right w:val="none" w:sz="0" w:space="0" w:color="auto"/>
      </w:divBdr>
    </w:div>
    <w:div w:id="266739444">
      <w:bodyDiv w:val="1"/>
      <w:marLeft w:val="0"/>
      <w:marRight w:val="0"/>
      <w:marTop w:val="0"/>
      <w:marBottom w:val="0"/>
      <w:divBdr>
        <w:top w:val="none" w:sz="0" w:space="0" w:color="auto"/>
        <w:left w:val="none" w:sz="0" w:space="0" w:color="auto"/>
        <w:bottom w:val="none" w:sz="0" w:space="0" w:color="auto"/>
        <w:right w:val="none" w:sz="0" w:space="0" w:color="auto"/>
      </w:divBdr>
    </w:div>
    <w:div w:id="303776905">
      <w:bodyDiv w:val="1"/>
      <w:marLeft w:val="0"/>
      <w:marRight w:val="0"/>
      <w:marTop w:val="0"/>
      <w:marBottom w:val="0"/>
      <w:divBdr>
        <w:top w:val="none" w:sz="0" w:space="0" w:color="auto"/>
        <w:left w:val="none" w:sz="0" w:space="0" w:color="auto"/>
        <w:bottom w:val="none" w:sz="0" w:space="0" w:color="auto"/>
        <w:right w:val="none" w:sz="0" w:space="0" w:color="auto"/>
      </w:divBdr>
    </w:div>
    <w:div w:id="307049843">
      <w:bodyDiv w:val="1"/>
      <w:marLeft w:val="0"/>
      <w:marRight w:val="0"/>
      <w:marTop w:val="0"/>
      <w:marBottom w:val="0"/>
      <w:divBdr>
        <w:top w:val="none" w:sz="0" w:space="0" w:color="auto"/>
        <w:left w:val="none" w:sz="0" w:space="0" w:color="auto"/>
        <w:bottom w:val="none" w:sz="0" w:space="0" w:color="auto"/>
        <w:right w:val="none" w:sz="0" w:space="0" w:color="auto"/>
      </w:divBdr>
    </w:div>
    <w:div w:id="340472073">
      <w:bodyDiv w:val="1"/>
      <w:marLeft w:val="0"/>
      <w:marRight w:val="0"/>
      <w:marTop w:val="0"/>
      <w:marBottom w:val="0"/>
      <w:divBdr>
        <w:top w:val="none" w:sz="0" w:space="0" w:color="auto"/>
        <w:left w:val="none" w:sz="0" w:space="0" w:color="auto"/>
        <w:bottom w:val="none" w:sz="0" w:space="0" w:color="auto"/>
        <w:right w:val="none" w:sz="0" w:space="0" w:color="auto"/>
      </w:divBdr>
    </w:div>
    <w:div w:id="370492908">
      <w:bodyDiv w:val="1"/>
      <w:marLeft w:val="0"/>
      <w:marRight w:val="0"/>
      <w:marTop w:val="0"/>
      <w:marBottom w:val="0"/>
      <w:divBdr>
        <w:top w:val="none" w:sz="0" w:space="0" w:color="auto"/>
        <w:left w:val="none" w:sz="0" w:space="0" w:color="auto"/>
        <w:bottom w:val="none" w:sz="0" w:space="0" w:color="auto"/>
        <w:right w:val="none" w:sz="0" w:space="0" w:color="auto"/>
      </w:divBdr>
    </w:div>
    <w:div w:id="380328406">
      <w:bodyDiv w:val="1"/>
      <w:marLeft w:val="0"/>
      <w:marRight w:val="0"/>
      <w:marTop w:val="0"/>
      <w:marBottom w:val="0"/>
      <w:divBdr>
        <w:top w:val="none" w:sz="0" w:space="0" w:color="auto"/>
        <w:left w:val="none" w:sz="0" w:space="0" w:color="auto"/>
        <w:bottom w:val="none" w:sz="0" w:space="0" w:color="auto"/>
        <w:right w:val="none" w:sz="0" w:space="0" w:color="auto"/>
      </w:divBdr>
    </w:div>
    <w:div w:id="433478802">
      <w:bodyDiv w:val="1"/>
      <w:marLeft w:val="0"/>
      <w:marRight w:val="0"/>
      <w:marTop w:val="0"/>
      <w:marBottom w:val="0"/>
      <w:divBdr>
        <w:top w:val="none" w:sz="0" w:space="0" w:color="auto"/>
        <w:left w:val="none" w:sz="0" w:space="0" w:color="auto"/>
        <w:bottom w:val="none" w:sz="0" w:space="0" w:color="auto"/>
        <w:right w:val="none" w:sz="0" w:space="0" w:color="auto"/>
      </w:divBdr>
    </w:div>
    <w:div w:id="436412470">
      <w:bodyDiv w:val="1"/>
      <w:marLeft w:val="0"/>
      <w:marRight w:val="0"/>
      <w:marTop w:val="0"/>
      <w:marBottom w:val="0"/>
      <w:divBdr>
        <w:top w:val="none" w:sz="0" w:space="0" w:color="auto"/>
        <w:left w:val="none" w:sz="0" w:space="0" w:color="auto"/>
        <w:bottom w:val="none" w:sz="0" w:space="0" w:color="auto"/>
        <w:right w:val="none" w:sz="0" w:space="0" w:color="auto"/>
      </w:divBdr>
    </w:div>
    <w:div w:id="467011626">
      <w:bodyDiv w:val="1"/>
      <w:marLeft w:val="0"/>
      <w:marRight w:val="0"/>
      <w:marTop w:val="0"/>
      <w:marBottom w:val="0"/>
      <w:divBdr>
        <w:top w:val="none" w:sz="0" w:space="0" w:color="auto"/>
        <w:left w:val="none" w:sz="0" w:space="0" w:color="auto"/>
        <w:bottom w:val="none" w:sz="0" w:space="0" w:color="auto"/>
        <w:right w:val="none" w:sz="0" w:space="0" w:color="auto"/>
      </w:divBdr>
    </w:div>
    <w:div w:id="516818810">
      <w:bodyDiv w:val="1"/>
      <w:marLeft w:val="0"/>
      <w:marRight w:val="0"/>
      <w:marTop w:val="0"/>
      <w:marBottom w:val="0"/>
      <w:divBdr>
        <w:top w:val="none" w:sz="0" w:space="0" w:color="auto"/>
        <w:left w:val="none" w:sz="0" w:space="0" w:color="auto"/>
        <w:bottom w:val="none" w:sz="0" w:space="0" w:color="auto"/>
        <w:right w:val="none" w:sz="0" w:space="0" w:color="auto"/>
      </w:divBdr>
    </w:div>
    <w:div w:id="519709188">
      <w:bodyDiv w:val="1"/>
      <w:marLeft w:val="0"/>
      <w:marRight w:val="0"/>
      <w:marTop w:val="0"/>
      <w:marBottom w:val="0"/>
      <w:divBdr>
        <w:top w:val="none" w:sz="0" w:space="0" w:color="auto"/>
        <w:left w:val="none" w:sz="0" w:space="0" w:color="auto"/>
        <w:bottom w:val="none" w:sz="0" w:space="0" w:color="auto"/>
        <w:right w:val="none" w:sz="0" w:space="0" w:color="auto"/>
      </w:divBdr>
    </w:div>
    <w:div w:id="559362052">
      <w:bodyDiv w:val="1"/>
      <w:marLeft w:val="0"/>
      <w:marRight w:val="0"/>
      <w:marTop w:val="0"/>
      <w:marBottom w:val="0"/>
      <w:divBdr>
        <w:top w:val="none" w:sz="0" w:space="0" w:color="auto"/>
        <w:left w:val="none" w:sz="0" w:space="0" w:color="auto"/>
        <w:bottom w:val="none" w:sz="0" w:space="0" w:color="auto"/>
        <w:right w:val="none" w:sz="0" w:space="0" w:color="auto"/>
      </w:divBdr>
    </w:div>
    <w:div w:id="572618462">
      <w:bodyDiv w:val="1"/>
      <w:marLeft w:val="0"/>
      <w:marRight w:val="0"/>
      <w:marTop w:val="0"/>
      <w:marBottom w:val="0"/>
      <w:divBdr>
        <w:top w:val="none" w:sz="0" w:space="0" w:color="auto"/>
        <w:left w:val="none" w:sz="0" w:space="0" w:color="auto"/>
        <w:bottom w:val="none" w:sz="0" w:space="0" w:color="auto"/>
        <w:right w:val="none" w:sz="0" w:space="0" w:color="auto"/>
      </w:divBdr>
    </w:div>
    <w:div w:id="599414893">
      <w:bodyDiv w:val="1"/>
      <w:marLeft w:val="0"/>
      <w:marRight w:val="0"/>
      <w:marTop w:val="0"/>
      <w:marBottom w:val="0"/>
      <w:divBdr>
        <w:top w:val="none" w:sz="0" w:space="0" w:color="auto"/>
        <w:left w:val="none" w:sz="0" w:space="0" w:color="auto"/>
        <w:bottom w:val="none" w:sz="0" w:space="0" w:color="auto"/>
        <w:right w:val="none" w:sz="0" w:space="0" w:color="auto"/>
      </w:divBdr>
    </w:div>
    <w:div w:id="677579174">
      <w:bodyDiv w:val="1"/>
      <w:marLeft w:val="0"/>
      <w:marRight w:val="0"/>
      <w:marTop w:val="0"/>
      <w:marBottom w:val="0"/>
      <w:divBdr>
        <w:top w:val="none" w:sz="0" w:space="0" w:color="auto"/>
        <w:left w:val="none" w:sz="0" w:space="0" w:color="auto"/>
        <w:bottom w:val="none" w:sz="0" w:space="0" w:color="auto"/>
        <w:right w:val="none" w:sz="0" w:space="0" w:color="auto"/>
      </w:divBdr>
    </w:div>
    <w:div w:id="692077122">
      <w:bodyDiv w:val="1"/>
      <w:marLeft w:val="0"/>
      <w:marRight w:val="0"/>
      <w:marTop w:val="0"/>
      <w:marBottom w:val="0"/>
      <w:divBdr>
        <w:top w:val="none" w:sz="0" w:space="0" w:color="auto"/>
        <w:left w:val="none" w:sz="0" w:space="0" w:color="auto"/>
        <w:bottom w:val="none" w:sz="0" w:space="0" w:color="auto"/>
        <w:right w:val="none" w:sz="0" w:space="0" w:color="auto"/>
      </w:divBdr>
    </w:div>
    <w:div w:id="699402827">
      <w:bodyDiv w:val="1"/>
      <w:marLeft w:val="0"/>
      <w:marRight w:val="0"/>
      <w:marTop w:val="0"/>
      <w:marBottom w:val="0"/>
      <w:divBdr>
        <w:top w:val="none" w:sz="0" w:space="0" w:color="auto"/>
        <w:left w:val="none" w:sz="0" w:space="0" w:color="auto"/>
        <w:bottom w:val="none" w:sz="0" w:space="0" w:color="auto"/>
        <w:right w:val="none" w:sz="0" w:space="0" w:color="auto"/>
      </w:divBdr>
    </w:div>
    <w:div w:id="745347881">
      <w:bodyDiv w:val="1"/>
      <w:marLeft w:val="0"/>
      <w:marRight w:val="0"/>
      <w:marTop w:val="0"/>
      <w:marBottom w:val="0"/>
      <w:divBdr>
        <w:top w:val="none" w:sz="0" w:space="0" w:color="auto"/>
        <w:left w:val="none" w:sz="0" w:space="0" w:color="auto"/>
        <w:bottom w:val="none" w:sz="0" w:space="0" w:color="auto"/>
        <w:right w:val="none" w:sz="0" w:space="0" w:color="auto"/>
      </w:divBdr>
    </w:div>
    <w:div w:id="826554748">
      <w:bodyDiv w:val="1"/>
      <w:marLeft w:val="0"/>
      <w:marRight w:val="0"/>
      <w:marTop w:val="0"/>
      <w:marBottom w:val="0"/>
      <w:divBdr>
        <w:top w:val="none" w:sz="0" w:space="0" w:color="auto"/>
        <w:left w:val="none" w:sz="0" w:space="0" w:color="auto"/>
        <w:bottom w:val="none" w:sz="0" w:space="0" w:color="auto"/>
        <w:right w:val="none" w:sz="0" w:space="0" w:color="auto"/>
      </w:divBdr>
    </w:div>
    <w:div w:id="832724694">
      <w:bodyDiv w:val="1"/>
      <w:marLeft w:val="0"/>
      <w:marRight w:val="0"/>
      <w:marTop w:val="0"/>
      <w:marBottom w:val="0"/>
      <w:divBdr>
        <w:top w:val="none" w:sz="0" w:space="0" w:color="auto"/>
        <w:left w:val="none" w:sz="0" w:space="0" w:color="auto"/>
        <w:bottom w:val="none" w:sz="0" w:space="0" w:color="auto"/>
        <w:right w:val="none" w:sz="0" w:space="0" w:color="auto"/>
      </w:divBdr>
    </w:div>
    <w:div w:id="867913203">
      <w:bodyDiv w:val="1"/>
      <w:marLeft w:val="0"/>
      <w:marRight w:val="0"/>
      <w:marTop w:val="0"/>
      <w:marBottom w:val="0"/>
      <w:divBdr>
        <w:top w:val="none" w:sz="0" w:space="0" w:color="auto"/>
        <w:left w:val="none" w:sz="0" w:space="0" w:color="auto"/>
        <w:bottom w:val="none" w:sz="0" w:space="0" w:color="auto"/>
        <w:right w:val="none" w:sz="0" w:space="0" w:color="auto"/>
      </w:divBdr>
    </w:div>
    <w:div w:id="913586769">
      <w:bodyDiv w:val="1"/>
      <w:marLeft w:val="0"/>
      <w:marRight w:val="0"/>
      <w:marTop w:val="0"/>
      <w:marBottom w:val="0"/>
      <w:divBdr>
        <w:top w:val="none" w:sz="0" w:space="0" w:color="auto"/>
        <w:left w:val="none" w:sz="0" w:space="0" w:color="auto"/>
        <w:bottom w:val="none" w:sz="0" w:space="0" w:color="auto"/>
        <w:right w:val="none" w:sz="0" w:space="0" w:color="auto"/>
      </w:divBdr>
    </w:div>
    <w:div w:id="954869254">
      <w:bodyDiv w:val="1"/>
      <w:marLeft w:val="0"/>
      <w:marRight w:val="0"/>
      <w:marTop w:val="0"/>
      <w:marBottom w:val="0"/>
      <w:divBdr>
        <w:top w:val="none" w:sz="0" w:space="0" w:color="auto"/>
        <w:left w:val="none" w:sz="0" w:space="0" w:color="auto"/>
        <w:bottom w:val="none" w:sz="0" w:space="0" w:color="auto"/>
        <w:right w:val="none" w:sz="0" w:space="0" w:color="auto"/>
      </w:divBdr>
    </w:div>
    <w:div w:id="957221839">
      <w:bodyDiv w:val="1"/>
      <w:marLeft w:val="0"/>
      <w:marRight w:val="0"/>
      <w:marTop w:val="0"/>
      <w:marBottom w:val="0"/>
      <w:divBdr>
        <w:top w:val="none" w:sz="0" w:space="0" w:color="auto"/>
        <w:left w:val="none" w:sz="0" w:space="0" w:color="auto"/>
        <w:bottom w:val="none" w:sz="0" w:space="0" w:color="auto"/>
        <w:right w:val="none" w:sz="0" w:space="0" w:color="auto"/>
      </w:divBdr>
    </w:div>
    <w:div w:id="988511270">
      <w:bodyDiv w:val="1"/>
      <w:marLeft w:val="0"/>
      <w:marRight w:val="0"/>
      <w:marTop w:val="0"/>
      <w:marBottom w:val="0"/>
      <w:divBdr>
        <w:top w:val="none" w:sz="0" w:space="0" w:color="auto"/>
        <w:left w:val="none" w:sz="0" w:space="0" w:color="auto"/>
        <w:bottom w:val="none" w:sz="0" w:space="0" w:color="auto"/>
        <w:right w:val="none" w:sz="0" w:space="0" w:color="auto"/>
      </w:divBdr>
    </w:div>
    <w:div w:id="991564277">
      <w:bodyDiv w:val="1"/>
      <w:marLeft w:val="0"/>
      <w:marRight w:val="0"/>
      <w:marTop w:val="0"/>
      <w:marBottom w:val="0"/>
      <w:divBdr>
        <w:top w:val="none" w:sz="0" w:space="0" w:color="auto"/>
        <w:left w:val="none" w:sz="0" w:space="0" w:color="auto"/>
        <w:bottom w:val="none" w:sz="0" w:space="0" w:color="auto"/>
        <w:right w:val="none" w:sz="0" w:space="0" w:color="auto"/>
      </w:divBdr>
    </w:div>
    <w:div w:id="1083256883">
      <w:bodyDiv w:val="1"/>
      <w:marLeft w:val="0"/>
      <w:marRight w:val="0"/>
      <w:marTop w:val="0"/>
      <w:marBottom w:val="0"/>
      <w:divBdr>
        <w:top w:val="none" w:sz="0" w:space="0" w:color="auto"/>
        <w:left w:val="none" w:sz="0" w:space="0" w:color="auto"/>
        <w:bottom w:val="none" w:sz="0" w:space="0" w:color="auto"/>
        <w:right w:val="none" w:sz="0" w:space="0" w:color="auto"/>
      </w:divBdr>
    </w:div>
    <w:div w:id="1103838175">
      <w:bodyDiv w:val="1"/>
      <w:marLeft w:val="0"/>
      <w:marRight w:val="0"/>
      <w:marTop w:val="0"/>
      <w:marBottom w:val="0"/>
      <w:divBdr>
        <w:top w:val="none" w:sz="0" w:space="0" w:color="auto"/>
        <w:left w:val="none" w:sz="0" w:space="0" w:color="auto"/>
        <w:bottom w:val="none" w:sz="0" w:space="0" w:color="auto"/>
        <w:right w:val="none" w:sz="0" w:space="0" w:color="auto"/>
      </w:divBdr>
    </w:div>
    <w:div w:id="1135416429">
      <w:bodyDiv w:val="1"/>
      <w:marLeft w:val="0"/>
      <w:marRight w:val="0"/>
      <w:marTop w:val="0"/>
      <w:marBottom w:val="0"/>
      <w:divBdr>
        <w:top w:val="none" w:sz="0" w:space="0" w:color="auto"/>
        <w:left w:val="none" w:sz="0" w:space="0" w:color="auto"/>
        <w:bottom w:val="none" w:sz="0" w:space="0" w:color="auto"/>
        <w:right w:val="none" w:sz="0" w:space="0" w:color="auto"/>
      </w:divBdr>
    </w:div>
    <w:div w:id="1187014569">
      <w:bodyDiv w:val="1"/>
      <w:marLeft w:val="0"/>
      <w:marRight w:val="0"/>
      <w:marTop w:val="0"/>
      <w:marBottom w:val="0"/>
      <w:divBdr>
        <w:top w:val="none" w:sz="0" w:space="0" w:color="auto"/>
        <w:left w:val="none" w:sz="0" w:space="0" w:color="auto"/>
        <w:bottom w:val="none" w:sz="0" w:space="0" w:color="auto"/>
        <w:right w:val="none" w:sz="0" w:space="0" w:color="auto"/>
      </w:divBdr>
    </w:div>
    <w:div w:id="1257177164">
      <w:bodyDiv w:val="1"/>
      <w:marLeft w:val="0"/>
      <w:marRight w:val="0"/>
      <w:marTop w:val="0"/>
      <w:marBottom w:val="0"/>
      <w:divBdr>
        <w:top w:val="none" w:sz="0" w:space="0" w:color="auto"/>
        <w:left w:val="none" w:sz="0" w:space="0" w:color="auto"/>
        <w:bottom w:val="none" w:sz="0" w:space="0" w:color="auto"/>
        <w:right w:val="none" w:sz="0" w:space="0" w:color="auto"/>
      </w:divBdr>
    </w:div>
    <w:div w:id="1297299789">
      <w:bodyDiv w:val="1"/>
      <w:marLeft w:val="0"/>
      <w:marRight w:val="0"/>
      <w:marTop w:val="0"/>
      <w:marBottom w:val="0"/>
      <w:divBdr>
        <w:top w:val="none" w:sz="0" w:space="0" w:color="auto"/>
        <w:left w:val="none" w:sz="0" w:space="0" w:color="auto"/>
        <w:bottom w:val="none" w:sz="0" w:space="0" w:color="auto"/>
        <w:right w:val="none" w:sz="0" w:space="0" w:color="auto"/>
      </w:divBdr>
    </w:div>
    <w:div w:id="1421482084">
      <w:bodyDiv w:val="1"/>
      <w:marLeft w:val="0"/>
      <w:marRight w:val="0"/>
      <w:marTop w:val="0"/>
      <w:marBottom w:val="0"/>
      <w:divBdr>
        <w:top w:val="none" w:sz="0" w:space="0" w:color="auto"/>
        <w:left w:val="none" w:sz="0" w:space="0" w:color="auto"/>
        <w:bottom w:val="none" w:sz="0" w:space="0" w:color="auto"/>
        <w:right w:val="none" w:sz="0" w:space="0" w:color="auto"/>
      </w:divBdr>
    </w:div>
    <w:div w:id="1449933931">
      <w:bodyDiv w:val="1"/>
      <w:marLeft w:val="0"/>
      <w:marRight w:val="0"/>
      <w:marTop w:val="0"/>
      <w:marBottom w:val="0"/>
      <w:divBdr>
        <w:top w:val="none" w:sz="0" w:space="0" w:color="auto"/>
        <w:left w:val="none" w:sz="0" w:space="0" w:color="auto"/>
        <w:bottom w:val="none" w:sz="0" w:space="0" w:color="auto"/>
        <w:right w:val="none" w:sz="0" w:space="0" w:color="auto"/>
      </w:divBdr>
    </w:div>
    <w:div w:id="1501890385">
      <w:bodyDiv w:val="1"/>
      <w:marLeft w:val="0"/>
      <w:marRight w:val="0"/>
      <w:marTop w:val="0"/>
      <w:marBottom w:val="0"/>
      <w:divBdr>
        <w:top w:val="none" w:sz="0" w:space="0" w:color="auto"/>
        <w:left w:val="none" w:sz="0" w:space="0" w:color="auto"/>
        <w:bottom w:val="none" w:sz="0" w:space="0" w:color="auto"/>
        <w:right w:val="none" w:sz="0" w:space="0" w:color="auto"/>
      </w:divBdr>
    </w:div>
    <w:div w:id="1510103760">
      <w:bodyDiv w:val="1"/>
      <w:marLeft w:val="0"/>
      <w:marRight w:val="0"/>
      <w:marTop w:val="0"/>
      <w:marBottom w:val="0"/>
      <w:divBdr>
        <w:top w:val="none" w:sz="0" w:space="0" w:color="auto"/>
        <w:left w:val="none" w:sz="0" w:space="0" w:color="auto"/>
        <w:bottom w:val="none" w:sz="0" w:space="0" w:color="auto"/>
        <w:right w:val="none" w:sz="0" w:space="0" w:color="auto"/>
      </w:divBdr>
    </w:div>
    <w:div w:id="1530338888">
      <w:bodyDiv w:val="1"/>
      <w:marLeft w:val="0"/>
      <w:marRight w:val="0"/>
      <w:marTop w:val="0"/>
      <w:marBottom w:val="0"/>
      <w:divBdr>
        <w:top w:val="none" w:sz="0" w:space="0" w:color="auto"/>
        <w:left w:val="none" w:sz="0" w:space="0" w:color="auto"/>
        <w:bottom w:val="none" w:sz="0" w:space="0" w:color="auto"/>
        <w:right w:val="none" w:sz="0" w:space="0" w:color="auto"/>
      </w:divBdr>
    </w:div>
    <w:div w:id="1585802578">
      <w:bodyDiv w:val="1"/>
      <w:marLeft w:val="0"/>
      <w:marRight w:val="0"/>
      <w:marTop w:val="0"/>
      <w:marBottom w:val="0"/>
      <w:divBdr>
        <w:top w:val="none" w:sz="0" w:space="0" w:color="auto"/>
        <w:left w:val="none" w:sz="0" w:space="0" w:color="auto"/>
        <w:bottom w:val="none" w:sz="0" w:space="0" w:color="auto"/>
        <w:right w:val="none" w:sz="0" w:space="0" w:color="auto"/>
      </w:divBdr>
    </w:div>
    <w:div w:id="1600063271">
      <w:bodyDiv w:val="1"/>
      <w:marLeft w:val="0"/>
      <w:marRight w:val="0"/>
      <w:marTop w:val="0"/>
      <w:marBottom w:val="0"/>
      <w:divBdr>
        <w:top w:val="none" w:sz="0" w:space="0" w:color="auto"/>
        <w:left w:val="none" w:sz="0" w:space="0" w:color="auto"/>
        <w:bottom w:val="none" w:sz="0" w:space="0" w:color="auto"/>
        <w:right w:val="none" w:sz="0" w:space="0" w:color="auto"/>
      </w:divBdr>
    </w:div>
    <w:div w:id="1602880025">
      <w:bodyDiv w:val="1"/>
      <w:marLeft w:val="0"/>
      <w:marRight w:val="0"/>
      <w:marTop w:val="0"/>
      <w:marBottom w:val="0"/>
      <w:divBdr>
        <w:top w:val="none" w:sz="0" w:space="0" w:color="auto"/>
        <w:left w:val="none" w:sz="0" w:space="0" w:color="auto"/>
        <w:bottom w:val="none" w:sz="0" w:space="0" w:color="auto"/>
        <w:right w:val="none" w:sz="0" w:space="0" w:color="auto"/>
      </w:divBdr>
    </w:div>
    <w:div w:id="1603762233">
      <w:bodyDiv w:val="1"/>
      <w:marLeft w:val="0"/>
      <w:marRight w:val="0"/>
      <w:marTop w:val="0"/>
      <w:marBottom w:val="0"/>
      <w:divBdr>
        <w:top w:val="none" w:sz="0" w:space="0" w:color="auto"/>
        <w:left w:val="none" w:sz="0" w:space="0" w:color="auto"/>
        <w:bottom w:val="none" w:sz="0" w:space="0" w:color="auto"/>
        <w:right w:val="none" w:sz="0" w:space="0" w:color="auto"/>
      </w:divBdr>
    </w:div>
    <w:div w:id="1608469193">
      <w:bodyDiv w:val="1"/>
      <w:marLeft w:val="0"/>
      <w:marRight w:val="0"/>
      <w:marTop w:val="0"/>
      <w:marBottom w:val="0"/>
      <w:divBdr>
        <w:top w:val="none" w:sz="0" w:space="0" w:color="auto"/>
        <w:left w:val="none" w:sz="0" w:space="0" w:color="auto"/>
        <w:bottom w:val="none" w:sz="0" w:space="0" w:color="auto"/>
        <w:right w:val="none" w:sz="0" w:space="0" w:color="auto"/>
      </w:divBdr>
    </w:div>
    <w:div w:id="1653176396">
      <w:bodyDiv w:val="1"/>
      <w:marLeft w:val="0"/>
      <w:marRight w:val="0"/>
      <w:marTop w:val="0"/>
      <w:marBottom w:val="0"/>
      <w:divBdr>
        <w:top w:val="none" w:sz="0" w:space="0" w:color="auto"/>
        <w:left w:val="none" w:sz="0" w:space="0" w:color="auto"/>
        <w:bottom w:val="none" w:sz="0" w:space="0" w:color="auto"/>
        <w:right w:val="none" w:sz="0" w:space="0" w:color="auto"/>
      </w:divBdr>
    </w:div>
    <w:div w:id="1737168258">
      <w:bodyDiv w:val="1"/>
      <w:marLeft w:val="0"/>
      <w:marRight w:val="0"/>
      <w:marTop w:val="0"/>
      <w:marBottom w:val="0"/>
      <w:divBdr>
        <w:top w:val="none" w:sz="0" w:space="0" w:color="auto"/>
        <w:left w:val="none" w:sz="0" w:space="0" w:color="auto"/>
        <w:bottom w:val="none" w:sz="0" w:space="0" w:color="auto"/>
        <w:right w:val="none" w:sz="0" w:space="0" w:color="auto"/>
      </w:divBdr>
    </w:div>
    <w:div w:id="1740056517">
      <w:bodyDiv w:val="1"/>
      <w:marLeft w:val="0"/>
      <w:marRight w:val="0"/>
      <w:marTop w:val="0"/>
      <w:marBottom w:val="0"/>
      <w:divBdr>
        <w:top w:val="none" w:sz="0" w:space="0" w:color="auto"/>
        <w:left w:val="none" w:sz="0" w:space="0" w:color="auto"/>
        <w:bottom w:val="none" w:sz="0" w:space="0" w:color="auto"/>
        <w:right w:val="none" w:sz="0" w:space="0" w:color="auto"/>
      </w:divBdr>
    </w:div>
    <w:div w:id="1769545276">
      <w:bodyDiv w:val="1"/>
      <w:marLeft w:val="0"/>
      <w:marRight w:val="0"/>
      <w:marTop w:val="0"/>
      <w:marBottom w:val="0"/>
      <w:divBdr>
        <w:top w:val="none" w:sz="0" w:space="0" w:color="auto"/>
        <w:left w:val="none" w:sz="0" w:space="0" w:color="auto"/>
        <w:bottom w:val="none" w:sz="0" w:space="0" w:color="auto"/>
        <w:right w:val="none" w:sz="0" w:space="0" w:color="auto"/>
      </w:divBdr>
    </w:div>
    <w:div w:id="1844007518">
      <w:bodyDiv w:val="1"/>
      <w:marLeft w:val="0"/>
      <w:marRight w:val="0"/>
      <w:marTop w:val="0"/>
      <w:marBottom w:val="0"/>
      <w:divBdr>
        <w:top w:val="none" w:sz="0" w:space="0" w:color="auto"/>
        <w:left w:val="none" w:sz="0" w:space="0" w:color="auto"/>
        <w:bottom w:val="none" w:sz="0" w:space="0" w:color="auto"/>
        <w:right w:val="none" w:sz="0" w:space="0" w:color="auto"/>
      </w:divBdr>
    </w:div>
    <w:div w:id="1850824783">
      <w:bodyDiv w:val="1"/>
      <w:marLeft w:val="0"/>
      <w:marRight w:val="0"/>
      <w:marTop w:val="0"/>
      <w:marBottom w:val="0"/>
      <w:divBdr>
        <w:top w:val="none" w:sz="0" w:space="0" w:color="auto"/>
        <w:left w:val="none" w:sz="0" w:space="0" w:color="auto"/>
        <w:bottom w:val="none" w:sz="0" w:space="0" w:color="auto"/>
        <w:right w:val="none" w:sz="0" w:space="0" w:color="auto"/>
      </w:divBdr>
    </w:div>
    <w:div w:id="1852404707">
      <w:bodyDiv w:val="1"/>
      <w:marLeft w:val="0"/>
      <w:marRight w:val="0"/>
      <w:marTop w:val="0"/>
      <w:marBottom w:val="0"/>
      <w:divBdr>
        <w:top w:val="none" w:sz="0" w:space="0" w:color="auto"/>
        <w:left w:val="none" w:sz="0" w:space="0" w:color="auto"/>
        <w:bottom w:val="none" w:sz="0" w:space="0" w:color="auto"/>
        <w:right w:val="none" w:sz="0" w:space="0" w:color="auto"/>
      </w:divBdr>
    </w:div>
    <w:div w:id="1869444854">
      <w:bodyDiv w:val="1"/>
      <w:marLeft w:val="0"/>
      <w:marRight w:val="0"/>
      <w:marTop w:val="0"/>
      <w:marBottom w:val="0"/>
      <w:divBdr>
        <w:top w:val="none" w:sz="0" w:space="0" w:color="auto"/>
        <w:left w:val="none" w:sz="0" w:space="0" w:color="auto"/>
        <w:bottom w:val="none" w:sz="0" w:space="0" w:color="auto"/>
        <w:right w:val="none" w:sz="0" w:space="0" w:color="auto"/>
      </w:divBdr>
    </w:div>
    <w:div w:id="1901862855">
      <w:bodyDiv w:val="1"/>
      <w:marLeft w:val="0"/>
      <w:marRight w:val="0"/>
      <w:marTop w:val="0"/>
      <w:marBottom w:val="0"/>
      <w:divBdr>
        <w:top w:val="none" w:sz="0" w:space="0" w:color="auto"/>
        <w:left w:val="none" w:sz="0" w:space="0" w:color="auto"/>
        <w:bottom w:val="none" w:sz="0" w:space="0" w:color="auto"/>
        <w:right w:val="none" w:sz="0" w:space="0" w:color="auto"/>
      </w:divBdr>
    </w:div>
    <w:div w:id="1962956724">
      <w:bodyDiv w:val="1"/>
      <w:marLeft w:val="0"/>
      <w:marRight w:val="0"/>
      <w:marTop w:val="0"/>
      <w:marBottom w:val="0"/>
      <w:divBdr>
        <w:top w:val="none" w:sz="0" w:space="0" w:color="auto"/>
        <w:left w:val="none" w:sz="0" w:space="0" w:color="auto"/>
        <w:bottom w:val="none" w:sz="0" w:space="0" w:color="auto"/>
        <w:right w:val="none" w:sz="0" w:space="0" w:color="auto"/>
      </w:divBdr>
    </w:div>
    <w:div w:id="2023848937">
      <w:bodyDiv w:val="1"/>
      <w:marLeft w:val="0"/>
      <w:marRight w:val="0"/>
      <w:marTop w:val="0"/>
      <w:marBottom w:val="0"/>
      <w:divBdr>
        <w:top w:val="none" w:sz="0" w:space="0" w:color="auto"/>
        <w:left w:val="none" w:sz="0" w:space="0" w:color="auto"/>
        <w:bottom w:val="none" w:sz="0" w:space="0" w:color="auto"/>
        <w:right w:val="none" w:sz="0" w:space="0" w:color="auto"/>
      </w:divBdr>
    </w:div>
    <w:div w:id="2053381459">
      <w:bodyDiv w:val="1"/>
      <w:marLeft w:val="0"/>
      <w:marRight w:val="0"/>
      <w:marTop w:val="0"/>
      <w:marBottom w:val="0"/>
      <w:divBdr>
        <w:top w:val="none" w:sz="0" w:space="0" w:color="auto"/>
        <w:left w:val="none" w:sz="0" w:space="0" w:color="auto"/>
        <w:bottom w:val="none" w:sz="0" w:space="0" w:color="auto"/>
        <w:right w:val="none" w:sz="0" w:space="0" w:color="auto"/>
      </w:divBdr>
    </w:div>
    <w:div w:id="2054231448">
      <w:bodyDiv w:val="1"/>
      <w:marLeft w:val="0"/>
      <w:marRight w:val="0"/>
      <w:marTop w:val="0"/>
      <w:marBottom w:val="0"/>
      <w:divBdr>
        <w:top w:val="none" w:sz="0" w:space="0" w:color="auto"/>
        <w:left w:val="none" w:sz="0" w:space="0" w:color="auto"/>
        <w:bottom w:val="none" w:sz="0" w:space="0" w:color="auto"/>
        <w:right w:val="none" w:sz="0" w:space="0" w:color="auto"/>
      </w:divBdr>
    </w:div>
    <w:div w:id="214284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lliam-c-chen.shinyapps.io/MeninMethylClassApp/"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36DC8-32C4-6A44-8E93-5C68962D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61</Pages>
  <Words>70851</Words>
  <Characters>403856</Characters>
  <Application>Microsoft Office Word</Application>
  <DocSecurity>0</DocSecurity>
  <Lines>3365</Lines>
  <Paragraphs>947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Chen</dc:creator>
  <cp:keywords/>
  <dc:description/>
  <cp:lastModifiedBy>Raleigh, David</cp:lastModifiedBy>
  <cp:revision>3</cp:revision>
  <dcterms:created xsi:type="dcterms:W3CDTF">2023-01-05T18:54:00Z</dcterms:created>
  <dcterms:modified xsi:type="dcterms:W3CDTF">2023-01-05T19:22:00Z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http://www.zotero.org/styles/jama</vt:lpwstr>
  </property>
  <property fmtid="{D5CDD505-2E9C-101B-9397-08002B2CF9AE}" pid="17" name="Mendeley Recent Style Name 7_1">
    <vt:lpwstr>JAMA (The Journal of the American Medical Association)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6fa997ec-4d3f-3efc-a3c7-a0e48b30cf29</vt:lpwstr>
  </property>
  <property fmtid="{D5CDD505-2E9C-101B-9397-08002B2CF9AE}" pid="24" name="Mendeley Citation Style_1">
    <vt:lpwstr>http://www.zotero.org/styles/jama</vt:lpwstr>
  </property>
</Properties>
</file>