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BF91B" w14:textId="77777777" w:rsidR="00960FD5" w:rsidRDefault="00960FD5" w:rsidP="00D64D9C">
      <w:pPr>
        <w:ind w:left="-851"/>
        <w:rPr>
          <w:rFonts w:ascii="Times New Roman" w:hAnsi="Times New Roman"/>
          <w:b/>
          <w:bCs/>
          <w:sz w:val="24"/>
          <w:szCs w:val="24"/>
        </w:rPr>
      </w:pPr>
    </w:p>
    <w:p w14:paraId="77C6328A" w14:textId="77777777" w:rsidR="00960FD5" w:rsidRPr="00960FD5" w:rsidRDefault="00960FD5" w:rsidP="00960FD5">
      <w:pPr>
        <w:spacing w:line="256" w:lineRule="auto"/>
        <w:jc w:val="both"/>
        <w:rPr>
          <w:rFonts w:ascii="Times New Roman" w:hAnsi="Times New Roman"/>
          <w:b/>
          <w:bCs/>
          <w:noProof/>
          <w:sz w:val="20"/>
          <w:szCs w:val="20"/>
        </w:rPr>
      </w:pPr>
      <w:r w:rsidRPr="00960FD5">
        <w:rPr>
          <w:rFonts w:ascii="Times New Roman" w:hAnsi="Times New Roman"/>
          <w:b/>
          <w:bCs/>
          <w:noProof/>
          <w:sz w:val="20"/>
          <w:szCs w:val="20"/>
        </w:rPr>
        <w:t>Arcticle Title</w:t>
      </w:r>
    </w:p>
    <w:p w14:paraId="098DDF3B" w14:textId="77777777" w:rsidR="00960FD5" w:rsidRPr="00960FD5" w:rsidRDefault="00960FD5" w:rsidP="00960FD5">
      <w:pPr>
        <w:spacing w:line="256" w:lineRule="auto"/>
        <w:jc w:val="both"/>
        <w:rPr>
          <w:rFonts w:ascii="Times New Roman" w:hAnsi="Times New Roman"/>
          <w:noProof/>
          <w:sz w:val="20"/>
          <w:szCs w:val="20"/>
        </w:rPr>
      </w:pPr>
      <w:r w:rsidRPr="00960FD5">
        <w:rPr>
          <w:rFonts w:ascii="Times New Roman" w:hAnsi="Times New Roman"/>
          <w:i/>
          <w:iCs/>
          <w:noProof/>
          <w:sz w:val="20"/>
          <w:szCs w:val="20"/>
        </w:rPr>
        <w:t>In silico</w:t>
      </w:r>
      <w:r w:rsidRPr="00960FD5">
        <w:rPr>
          <w:rFonts w:ascii="Times New Roman" w:hAnsi="Times New Roman"/>
          <w:noProof/>
          <w:sz w:val="20"/>
          <w:szCs w:val="20"/>
        </w:rPr>
        <w:t xml:space="preserve"> molecular docking analysis of </w:t>
      </w:r>
      <w:r w:rsidRPr="00960FD5">
        <w:rPr>
          <w:rFonts w:ascii="Times New Roman" w:hAnsi="Times New Roman"/>
          <w:i/>
          <w:iCs/>
          <w:noProof/>
          <w:sz w:val="20"/>
          <w:szCs w:val="20"/>
        </w:rPr>
        <w:t>Equisetum diffusum</w:t>
      </w:r>
      <w:r w:rsidRPr="00960FD5">
        <w:rPr>
          <w:rFonts w:ascii="Times New Roman" w:hAnsi="Times New Roman"/>
          <w:noProof/>
          <w:sz w:val="20"/>
          <w:szCs w:val="20"/>
        </w:rPr>
        <w:t xml:space="preserve"> D. Don phytocompounds against potent inflammatory markers and validating its role through </w:t>
      </w:r>
      <w:r w:rsidRPr="00960FD5">
        <w:rPr>
          <w:rFonts w:ascii="Times New Roman" w:hAnsi="Times New Roman"/>
          <w:i/>
          <w:iCs/>
          <w:noProof/>
          <w:sz w:val="20"/>
          <w:szCs w:val="20"/>
        </w:rPr>
        <w:t>in vitro</w:t>
      </w:r>
      <w:r w:rsidRPr="00960FD5">
        <w:rPr>
          <w:rFonts w:ascii="Times New Roman" w:hAnsi="Times New Roman"/>
          <w:noProof/>
          <w:sz w:val="20"/>
          <w:szCs w:val="20"/>
        </w:rPr>
        <w:t xml:space="preserve"> and </w:t>
      </w:r>
      <w:r w:rsidRPr="00960FD5">
        <w:rPr>
          <w:rFonts w:ascii="Times New Roman" w:hAnsi="Times New Roman"/>
          <w:i/>
          <w:iCs/>
          <w:noProof/>
          <w:sz w:val="20"/>
          <w:szCs w:val="20"/>
        </w:rPr>
        <w:t>in vivo</w:t>
      </w:r>
      <w:r w:rsidRPr="00960FD5">
        <w:rPr>
          <w:rFonts w:ascii="Times New Roman" w:hAnsi="Times New Roman"/>
          <w:noProof/>
          <w:sz w:val="20"/>
          <w:szCs w:val="20"/>
        </w:rPr>
        <w:t xml:space="preserve"> anti-inflammatory assays.</w:t>
      </w:r>
    </w:p>
    <w:p w14:paraId="2A063D10" w14:textId="77777777" w:rsidR="00960FD5" w:rsidRPr="00960FD5" w:rsidRDefault="00960FD5" w:rsidP="00960FD5">
      <w:pPr>
        <w:spacing w:line="256" w:lineRule="auto"/>
        <w:jc w:val="both"/>
        <w:rPr>
          <w:rFonts w:ascii="Times New Roman" w:hAnsi="Times New Roman"/>
          <w:b/>
          <w:bCs/>
          <w:sz w:val="20"/>
          <w:szCs w:val="20"/>
        </w:rPr>
      </w:pPr>
    </w:p>
    <w:p w14:paraId="4C614762" w14:textId="77777777" w:rsidR="00960FD5" w:rsidRPr="00960FD5" w:rsidRDefault="00960FD5" w:rsidP="00960FD5">
      <w:pPr>
        <w:spacing w:line="256" w:lineRule="auto"/>
        <w:jc w:val="both"/>
        <w:rPr>
          <w:rFonts w:ascii="Times New Roman" w:hAnsi="Times New Roman"/>
          <w:sz w:val="20"/>
          <w:szCs w:val="20"/>
        </w:rPr>
      </w:pPr>
      <w:r w:rsidRPr="00960FD5">
        <w:rPr>
          <w:rFonts w:ascii="Times New Roman" w:hAnsi="Times New Roman"/>
          <w:b/>
          <w:bCs/>
          <w:sz w:val="20"/>
          <w:szCs w:val="20"/>
        </w:rPr>
        <w:t>Authors:</w:t>
      </w:r>
    </w:p>
    <w:p w14:paraId="4AFC59C3" w14:textId="77777777" w:rsidR="00960FD5" w:rsidRPr="00960FD5" w:rsidRDefault="00960FD5" w:rsidP="00960FD5">
      <w:pPr>
        <w:spacing w:line="360" w:lineRule="auto"/>
        <w:jc w:val="both"/>
        <w:rPr>
          <w:rFonts w:ascii="Times New Roman" w:hAnsi="Times New Roman"/>
          <w:sz w:val="20"/>
          <w:szCs w:val="20"/>
          <w:vertAlign w:val="superscript"/>
        </w:rPr>
      </w:pPr>
      <w:r w:rsidRPr="00960FD5">
        <w:rPr>
          <w:rFonts w:ascii="Times New Roman" w:hAnsi="Times New Roman"/>
          <w:sz w:val="20"/>
          <w:szCs w:val="20"/>
        </w:rPr>
        <w:t>Sourav Sarkar</w:t>
      </w:r>
      <w:r w:rsidRPr="00960FD5">
        <w:rPr>
          <w:rFonts w:ascii="Times New Roman" w:hAnsi="Times New Roman"/>
          <w:sz w:val="20"/>
          <w:szCs w:val="20"/>
          <w:vertAlign w:val="superscript"/>
        </w:rPr>
        <w:t>1</w:t>
      </w:r>
      <w:r w:rsidRPr="00960FD5">
        <w:rPr>
          <w:rFonts w:ascii="Times New Roman" w:hAnsi="Times New Roman"/>
          <w:sz w:val="20"/>
          <w:szCs w:val="20"/>
        </w:rPr>
        <w:t>,</w:t>
      </w:r>
      <w:r w:rsidRPr="00960FD5">
        <w:rPr>
          <w:rFonts w:ascii="Times New Roman" w:hAnsi="Times New Roman"/>
          <w:sz w:val="20"/>
          <w:szCs w:val="20"/>
          <w:vertAlign w:val="superscript"/>
        </w:rPr>
        <w:t xml:space="preserve"> </w:t>
      </w:r>
      <w:r w:rsidRPr="00960FD5">
        <w:rPr>
          <w:rFonts w:ascii="Times New Roman" w:hAnsi="Times New Roman"/>
          <w:sz w:val="20"/>
          <w:szCs w:val="20"/>
        </w:rPr>
        <w:t>Debabrata Modak</w:t>
      </w:r>
      <w:r w:rsidRPr="00960FD5">
        <w:rPr>
          <w:rFonts w:ascii="Times New Roman" w:hAnsi="Times New Roman"/>
          <w:sz w:val="20"/>
          <w:szCs w:val="20"/>
          <w:vertAlign w:val="superscript"/>
        </w:rPr>
        <w:t>1</w:t>
      </w:r>
      <w:r w:rsidRPr="00960FD5">
        <w:rPr>
          <w:rFonts w:ascii="Times New Roman" w:hAnsi="Times New Roman"/>
          <w:sz w:val="20"/>
          <w:szCs w:val="20"/>
        </w:rPr>
        <w:t>, Md. Salman Haydar</w:t>
      </w:r>
      <w:r w:rsidRPr="00960FD5">
        <w:rPr>
          <w:rFonts w:ascii="Times New Roman" w:hAnsi="Times New Roman"/>
          <w:sz w:val="20"/>
          <w:szCs w:val="20"/>
          <w:vertAlign w:val="superscript"/>
        </w:rPr>
        <w:t>2</w:t>
      </w:r>
      <w:r w:rsidRPr="00960FD5">
        <w:rPr>
          <w:rFonts w:ascii="Times New Roman" w:hAnsi="Times New Roman"/>
          <w:sz w:val="20"/>
          <w:szCs w:val="20"/>
        </w:rPr>
        <w:t>,</w:t>
      </w:r>
      <w:r w:rsidRPr="00960FD5">
        <w:rPr>
          <w:rFonts w:ascii="Times New Roman" w:hAnsi="Times New Roman"/>
          <w:sz w:val="20"/>
          <w:szCs w:val="20"/>
          <w:vertAlign w:val="superscript"/>
        </w:rPr>
        <w:t xml:space="preserve"> </w:t>
      </w:r>
      <w:r w:rsidRPr="00960FD5">
        <w:rPr>
          <w:rFonts w:ascii="Times New Roman" w:hAnsi="Times New Roman"/>
          <w:sz w:val="20"/>
          <w:szCs w:val="20"/>
        </w:rPr>
        <w:t>John J. Georrge</w:t>
      </w:r>
      <w:r w:rsidRPr="00960FD5">
        <w:rPr>
          <w:rFonts w:ascii="Times New Roman" w:hAnsi="Times New Roman"/>
          <w:sz w:val="20"/>
          <w:szCs w:val="20"/>
          <w:vertAlign w:val="superscript"/>
        </w:rPr>
        <w:t xml:space="preserve">3 </w:t>
      </w:r>
      <w:r w:rsidRPr="00960FD5">
        <w:rPr>
          <w:rFonts w:ascii="Times New Roman" w:hAnsi="Times New Roman"/>
          <w:sz w:val="20"/>
          <w:szCs w:val="20"/>
        </w:rPr>
        <w:t>and Soumen Bhattacharjee</w:t>
      </w:r>
      <w:r w:rsidRPr="00960FD5">
        <w:rPr>
          <w:rFonts w:ascii="Times New Roman" w:hAnsi="Times New Roman"/>
          <w:sz w:val="20"/>
          <w:szCs w:val="20"/>
          <w:vertAlign w:val="superscript"/>
        </w:rPr>
        <w:t>1*</w:t>
      </w:r>
    </w:p>
    <w:p w14:paraId="4E0C5B8A" w14:textId="77777777" w:rsidR="00960FD5" w:rsidRPr="00960FD5" w:rsidRDefault="00960FD5" w:rsidP="00960FD5">
      <w:pPr>
        <w:spacing w:line="360" w:lineRule="auto"/>
        <w:jc w:val="both"/>
        <w:rPr>
          <w:rFonts w:ascii="Times New Roman" w:hAnsi="Times New Roman"/>
          <w:sz w:val="20"/>
          <w:szCs w:val="20"/>
        </w:rPr>
      </w:pPr>
      <w:r w:rsidRPr="00960FD5">
        <w:rPr>
          <w:rFonts w:ascii="Times New Roman" w:hAnsi="Times New Roman"/>
          <w:sz w:val="20"/>
          <w:szCs w:val="20"/>
          <w:vertAlign w:val="superscript"/>
        </w:rPr>
        <w:t>1</w:t>
      </w:r>
      <w:r w:rsidRPr="00960FD5">
        <w:rPr>
          <w:rFonts w:ascii="Times New Roman" w:hAnsi="Times New Roman"/>
          <w:sz w:val="20"/>
          <w:szCs w:val="20"/>
        </w:rPr>
        <w:t>Cell and Molecular Biology Laboratory, Department of Zoology, University of North Bengal, Darjeeling, 734013, West Bengal, India.</w:t>
      </w:r>
    </w:p>
    <w:p w14:paraId="4B20A4D5" w14:textId="77777777" w:rsidR="00960FD5" w:rsidRPr="00960FD5" w:rsidRDefault="00960FD5" w:rsidP="00960FD5">
      <w:pPr>
        <w:spacing w:line="360" w:lineRule="auto"/>
        <w:jc w:val="both"/>
        <w:rPr>
          <w:rFonts w:ascii="Times New Roman" w:hAnsi="Times New Roman"/>
          <w:sz w:val="20"/>
          <w:szCs w:val="20"/>
        </w:rPr>
      </w:pPr>
      <w:r w:rsidRPr="00960FD5">
        <w:rPr>
          <w:rFonts w:ascii="Times New Roman" w:hAnsi="Times New Roman"/>
          <w:sz w:val="20"/>
          <w:szCs w:val="20"/>
          <w:vertAlign w:val="superscript"/>
        </w:rPr>
        <w:t>2</w:t>
      </w:r>
      <w:r w:rsidRPr="00960FD5">
        <w:rPr>
          <w:rFonts w:ascii="Times New Roman" w:hAnsi="Times New Roman"/>
          <w:sz w:val="20"/>
          <w:szCs w:val="20"/>
        </w:rPr>
        <w:t>Nanobiology and Phytotherapy Laboratory, Department of Botany, University of North Bengal, Darjeeling, 734013, West Bengal, India.</w:t>
      </w:r>
    </w:p>
    <w:p w14:paraId="3E606834" w14:textId="77777777" w:rsidR="00960FD5" w:rsidRPr="00960FD5" w:rsidRDefault="00960FD5" w:rsidP="00960FD5">
      <w:pPr>
        <w:spacing w:line="360" w:lineRule="auto"/>
        <w:jc w:val="both"/>
        <w:rPr>
          <w:rFonts w:ascii="Times New Roman" w:hAnsi="Times New Roman"/>
          <w:sz w:val="20"/>
          <w:szCs w:val="20"/>
        </w:rPr>
      </w:pPr>
      <w:r w:rsidRPr="00960FD5">
        <w:rPr>
          <w:rFonts w:ascii="Times New Roman" w:hAnsi="Times New Roman"/>
          <w:sz w:val="20"/>
          <w:szCs w:val="20"/>
          <w:vertAlign w:val="superscript"/>
          <w:lang w:val="en-US"/>
        </w:rPr>
        <w:t>3</w:t>
      </w:r>
      <w:r w:rsidRPr="00960FD5">
        <w:rPr>
          <w:rFonts w:ascii="Times New Roman" w:hAnsi="Times New Roman"/>
          <w:sz w:val="20"/>
          <w:szCs w:val="20"/>
        </w:rPr>
        <w:t>Department of Bioinformatics, University of North Bengal, Darjeeling, 734013, West Bengal, India.</w:t>
      </w:r>
    </w:p>
    <w:p w14:paraId="138A7127" w14:textId="77777777" w:rsidR="00960FD5" w:rsidRPr="00960FD5" w:rsidRDefault="00960FD5" w:rsidP="00960FD5">
      <w:pPr>
        <w:spacing w:line="256" w:lineRule="auto"/>
        <w:jc w:val="both"/>
        <w:rPr>
          <w:rFonts w:ascii="Times New Roman" w:hAnsi="Times New Roman"/>
          <w:b/>
          <w:bCs/>
          <w:sz w:val="20"/>
          <w:szCs w:val="20"/>
        </w:rPr>
      </w:pPr>
    </w:p>
    <w:p w14:paraId="4123ABFA" w14:textId="3CFF33B8" w:rsidR="00960FD5" w:rsidRPr="00960FD5" w:rsidRDefault="00651EC7" w:rsidP="00960FD5">
      <w:pPr>
        <w:spacing w:line="256" w:lineRule="auto"/>
        <w:jc w:val="both"/>
        <w:rPr>
          <w:rFonts w:ascii="Times New Roman" w:hAnsi="Times New Roman"/>
          <w:sz w:val="20"/>
          <w:szCs w:val="20"/>
        </w:rPr>
      </w:pPr>
      <w:r>
        <w:rPr>
          <w:rFonts w:ascii="Times New Roman" w:hAnsi="Times New Roman"/>
          <w:b/>
          <w:bCs/>
          <w:sz w:val="20"/>
          <w:szCs w:val="20"/>
        </w:rPr>
        <w:t>*</w:t>
      </w:r>
      <w:r w:rsidR="00960FD5" w:rsidRPr="00960FD5">
        <w:rPr>
          <w:rFonts w:ascii="Times New Roman" w:hAnsi="Times New Roman"/>
          <w:b/>
          <w:bCs/>
          <w:sz w:val="20"/>
          <w:szCs w:val="20"/>
        </w:rPr>
        <w:t>E. Mail of Corresponding author</w:t>
      </w:r>
      <w:r w:rsidR="00960FD5" w:rsidRPr="00960FD5">
        <w:rPr>
          <w:rFonts w:ascii="Times New Roman" w:hAnsi="Times New Roman"/>
          <w:sz w:val="20"/>
          <w:szCs w:val="20"/>
        </w:rPr>
        <w:t xml:space="preserve">: </w:t>
      </w:r>
    </w:p>
    <w:p w14:paraId="10896240" w14:textId="77777777" w:rsidR="00960FD5" w:rsidRPr="00960FD5" w:rsidRDefault="00000000" w:rsidP="00960FD5">
      <w:pPr>
        <w:spacing w:line="256" w:lineRule="auto"/>
        <w:jc w:val="both"/>
        <w:rPr>
          <w:rFonts w:ascii="Times New Roman" w:hAnsi="Times New Roman"/>
          <w:sz w:val="20"/>
          <w:szCs w:val="20"/>
          <w:lang w:val="en-US"/>
        </w:rPr>
      </w:pPr>
      <w:hyperlink r:id="rId7" w:history="1">
        <w:r w:rsidR="00960FD5" w:rsidRPr="00960FD5">
          <w:rPr>
            <w:rFonts w:ascii="Times New Roman" w:hAnsi="Times New Roman"/>
            <w:color w:val="0563C1" w:themeColor="hyperlink"/>
            <w:sz w:val="20"/>
            <w:szCs w:val="20"/>
            <w:u w:val="single"/>
            <w:lang w:val="en-US"/>
          </w:rPr>
          <w:t>soumenb@nbu.ac.in</w:t>
        </w:r>
      </w:hyperlink>
      <w:r w:rsidR="00960FD5" w:rsidRPr="00960FD5">
        <w:rPr>
          <w:rFonts w:ascii="Times New Roman" w:hAnsi="Times New Roman"/>
          <w:sz w:val="20"/>
          <w:szCs w:val="20"/>
          <w:lang w:val="en-US"/>
        </w:rPr>
        <w:t xml:space="preserve"> / </w:t>
      </w:r>
      <w:hyperlink r:id="rId8" w:history="1">
        <w:r w:rsidR="00960FD5" w:rsidRPr="00960FD5">
          <w:rPr>
            <w:rFonts w:ascii="Times New Roman" w:hAnsi="Times New Roman"/>
            <w:color w:val="0563C1" w:themeColor="hyperlink"/>
            <w:sz w:val="20"/>
            <w:szCs w:val="20"/>
            <w:u w:val="single"/>
            <w:lang w:val="en-US"/>
          </w:rPr>
          <w:t>soumenb123@rediffmail.com</w:t>
        </w:r>
      </w:hyperlink>
    </w:p>
    <w:p w14:paraId="1CE2A44B" w14:textId="77777777" w:rsidR="00960FD5" w:rsidRDefault="00960FD5">
      <w:pPr>
        <w:rPr>
          <w:rFonts w:ascii="Times New Roman" w:hAnsi="Times New Roman"/>
          <w:b/>
          <w:bCs/>
          <w:sz w:val="24"/>
          <w:szCs w:val="24"/>
        </w:rPr>
      </w:pPr>
      <w:r>
        <w:rPr>
          <w:rFonts w:ascii="Times New Roman" w:hAnsi="Times New Roman"/>
          <w:b/>
          <w:bCs/>
          <w:sz w:val="24"/>
          <w:szCs w:val="24"/>
        </w:rPr>
        <w:br w:type="page"/>
      </w:r>
    </w:p>
    <w:p w14:paraId="4D406414" w14:textId="3CB4FAAA" w:rsidR="00960FD5" w:rsidRPr="00960FD5" w:rsidRDefault="00960FD5" w:rsidP="00960FD5">
      <w:pPr>
        <w:ind w:left="-851"/>
        <w:rPr>
          <w:rFonts w:ascii="Times New Roman" w:hAnsi="Times New Roman"/>
          <w:sz w:val="20"/>
          <w:szCs w:val="20"/>
        </w:rPr>
      </w:pPr>
      <w:r w:rsidRPr="00960FD5">
        <w:rPr>
          <w:rFonts w:ascii="Times New Roman" w:hAnsi="Times New Roman"/>
          <w:b/>
          <w:bCs/>
          <w:sz w:val="20"/>
          <w:szCs w:val="20"/>
        </w:rPr>
        <w:lastRenderedPageBreak/>
        <w:t>Title:</w:t>
      </w:r>
      <w:r w:rsidRPr="00960FD5">
        <w:rPr>
          <w:rFonts w:ascii="Times New Roman" w:hAnsi="Times New Roman"/>
          <w:sz w:val="20"/>
          <w:szCs w:val="20"/>
        </w:rPr>
        <w:t xml:space="preserve"> </w:t>
      </w:r>
      <w:r>
        <w:rPr>
          <w:rFonts w:ascii="Times New Roman" w:hAnsi="Times New Roman"/>
          <w:sz w:val="20"/>
          <w:szCs w:val="20"/>
        </w:rPr>
        <w:t xml:space="preserve">Supplementary </w:t>
      </w:r>
      <w:proofErr w:type="gramStart"/>
      <w:r>
        <w:rPr>
          <w:rFonts w:ascii="Times New Roman" w:hAnsi="Times New Roman"/>
          <w:sz w:val="20"/>
          <w:szCs w:val="20"/>
        </w:rPr>
        <w:t xml:space="preserve">File </w:t>
      </w:r>
      <w:r w:rsidRPr="00960FD5">
        <w:rPr>
          <w:rFonts w:ascii="Times New Roman" w:hAnsi="Times New Roman"/>
          <w:sz w:val="20"/>
          <w:szCs w:val="20"/>
        </w:rPr>
        <w:t xml:space="preserve"> 4</w:t>
      </w:r>
      <w:proofErr w:type="gramEnd"/>
      <w:r w:rsidRPr="00960FD5">
        <w:rPr>
          <w:rFonts w:ascii="Times New Roman" w:hAnsi="Times New Roman"/>
          <w:sz w:val="20"/>
          <w:szCs w:val="20"/>
        </w:rPr>
        <w:t>.</w:t>
      </w:r>
    </w:p>
    <w:p w14:paraId="3A4C296F" w14:textId="77777777" w:rsidR="00960FD5" w:rsidRPr="00960FD5" w:rsidRDefault="00960FD5" w:rsidP="00960FD5">
      <w:pPr>
        <w:ind w:left="-851"/>
        <w:jc w:val="both"/>
        <w:rPr>
          <w:rFonts w:ascii="Times New Roman" w:hAnsi="Times New Roman"/>
          <w:sz w:val="20"/>
          <w:szCs w:val="20"/>
        </w:rPr>
      </w:pPr>
      <w:r w:rsidRPr="00960FD5">
        <w:rPr>
          <w:rFonts w:ascii="Times New Roman" w:hAnsi="Times New Roman"/>
          <w:b/>
          <w:bCs/>
          <w:sz w:val="20"/>
          <w:szCs w:val="20"/>
        </w:rPr>
        <w:t>Description:</w:t>
      </w:r>
      <w:r w:rsidRPr="00960FD5">
        <w:rPr>
          <w:rFonts w:ascii="Times New Roman" w:hAnsi="Times New Roman"/>
          <w:sz w:val="20"/>
          <w:szCs w:val="20"/>
        </w:rPr>
        <w:t xml:space="preserve"> List of reported compounds having anti-inflammatory and anti-arthritic activities identified from GC-MS analysis of </w:t>
      </w:r>
      <w:r w:rsidRPr="00960FD5">
        <w:rPr>
          <w:rFonts w:ascii="Times New Roman" w:hAnsi="Times New Roman"/>
          <w:i/>
          <w:iCs/>
          <w:sz w:val="20"/>
          <w:szCs w:val="20"/>
        </w:rPr>
        <w:t>Equisetum diffusum</w:t>
      </w:r>
      <w:r w:rsidRPr="00960FD5">
        <w:rPr>
          <w:rFonts w:ascii="Times New Roman" w:hAnsi="Times New Roman"/>
          <w:sz w:val="20"/>
          <w:szCs w:val="20"/>
        </w:rPr>
        <w:t xml:space="preserve"> whole plant methanolic extract.</w:t>
      </w:r>
    </w:p>
    <w:p w14:paraId="615B7285" w14:textId="77777777" w:rsidR="00960FD5" w:rsidRPr="00960FD5" w:rsidRDefault="00960FD5" w:rsidP="00D64D9C">
      <w:pPr>
        <w:ind w:left="-851"/>
        <w:rPr>
          <w:rFonts w:ascii="Times New Roman" w:hAnsi="Times New Roman"/>
          <w:b/>
          <w:bCs/>
          <w:sz w:val="20"/>
          <w:szCs w:val="20"/>
        </w:rPr>
      </w:pPr>
    </w:p>
    <w:tbl>
      <w:tblPr>
        <w:tblpPr w:leftFromText="180" w:rightFromText="180" w:vertAnchor="page" w:horzAnchor="margin" w:tblpXSpec="center" w:tblpY="3081"/>
        <w:tblW w:w="10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1"/>
        <w:gridCol w:w="1517"/>
        <w:gridCol w:w="3450"/>
        <w:gridCol w:w="2152"/>
        <w:gridCol w:w="2677"/>
      </w:tblGrid>
      <w:tr w:rsidR="00960FD5" w:rsidRPr="00960FD5" w14:paraId="4F61A1DE" w14:textId="77777777" w:rsidTr="00960FD5">
        <w:trPr>
          <w:trHeight w:val="455"/>
        </w:trPr>
        <w:tc>
          <w:tcPr>
            <w:tcW w:w="961" w:type="dxa"/>
            <w:shd w:val="clear" w:color="auto" w:fill="auto"/>
            <w:vAlign w:val="center"/>
          </w:tcPr>
          <w:p w14:paraId="6C26A4E1" w14:textId="77777777" w:rsidR="00960FD5" w:rsidRPr="00960FD5" w:rsidRDefault="00960FD5" w:rsidP="00960FD5">
            <w:pPr>
              <w:spacing w:before="240" w:after="0" w:line="240" w:lineRule="auto"/>
              <w:jc w:val="center"/>
              <w:rPr>
                <w:rFonts w:ascii="Times New Roman" w:hAnsi="Times New Roman"/>
                <w:b/>
                <w:bCs/>
                <w:sz w:val="20"/>
                <w:szCs w:val="20"/>
              </w:rPr>
            </w:pPr>
            <w:r w:rsidRPr="00960FD5">
              <w:rPr>
                <w:rFonts w:ascii="Times New Roman" w:hAnsi="Times New Roman"/>
                <w:b/>
                <w:bCs/>
                <w:sz w:val="20"/>
                <w:szCs w:val="20"/>
              </w:rPr>
              <w:t>SL No.</w:t>
            </w:r>
          </w:p>
        </w:tc>
        <w:tc>
          <w:tcPr>
            <w:tcW w:w="1517" w:type="dxa"/>
            <w:vAlign w:val="center"/>
          </w:tcPr>
          <w:p w14:paraId="21904C64" w14:textId="77777777" w:rsidR="00960FD5" w:rsidRPr="00960FD5" w:rsidRDefault="00960FD5" w:rsidP="00960FD5">
            <w:pPr>
              <w:spacing w:before="240" w:after="0" w:line="240" w:lineRule="auto"/>
              <w:jc w:val="center"/>
              <w:rPr>
                <w:rFonts w:ascii="Times New Roman" w:hAnsi="Times New Roman"/>
                <w:b/>
                <w:bCs/>
                <w:sz w:val="20"/>
                <w:szCs w:val="20"/>
              </w:rPr>
            </w:pPr>
            <w:r w:rsidRPr="00960FD5">
              <w:rPr>
                <w:rFonts w:ascii="Times New Roman" w:hAnsi="Times New Roman"/>
                <w:b/>
                <w:bCs/>
                <w:sz w:val="20"/>
                <w:szCs w:val="20"/>
              </w:rPr>
              <w:t>Retention Time (min)</w:t>
            </w:r>
          </w:p>
        </w:tc>
        <w:tc>
          <w:tcPr>
            <w:tcW w:w="3450" w:type="dxa"/>
            <w:shd w:val="clear" w:color="auto" w:fill="auto"/>
            <w:vAlign w:val="center"/>
          </w:tcPr>
          <w:p w14:paraId="37CF6D86" w14:textId="77777777" w:rsidR="00960FD5" w:rsidRPr="00960FD5" w:rsidRDefault="00960FD5" w:rsidP="00960FD5">
            <w:pPr>
              <w:spacing w:before="240" w:after="0" w:line="240" w:lineRule="auto"/>
              <w:jc w:val="center"/>
              <w:rPr>
                <w:rFonts w:ascii="Times New Roman" w:hAnsi="Times New Roman"/>
                <w:b/>
                <w:bCs/>
                <w:sz w:val="20"/>
                <w:szCs w:val="20"/>
              </w:rPr>
            </w:pPr>
            <w:r w:rsidRPr="00960FD5">
              <w:rPr>
                <w:rFonts w:ascii="Times New Roman" w:hAnsi="Times New Roman"/>
                <w:b/>
                <w:bCs/>
                <w:sz w:val="20"/>
                <w:szCs w:val="20"/>
              </w:rPr>
              <w:t>Name of compound with PubChem ID</w:t>
            </w:r>
          </w:p>
        </w:tc>
        <w:tc>
          <w:tcPr>
            <w:tcW w:w="2152" w:type="dxa"/>
            <w:shd w:val="clear" w:color="auto" w:fill="auto"/>
            <w:vAlign w:val="center"/>
          </w:tcPr>
          <w:p w14:paraId="2BA97550" w14:textId="77777777" w:rsidR="00960FD5" w:rsidRPr="00960FD5" w:rsidRDefault="00960FD5" w:rsidP="00960FD5">
            <w:pPr>
              <w:spacing w:before="240" w:after="0" w:line="240" w:lineRule="auto"/>
              <w:jc w:val="center"/>
              <w:rPr>
                <w:rFonts w:ascii="Times New Roman" w:hAnsi="Times New Roman"/>
                <w:b/>
                <w:bCs/>
                <w:sz w:val="20"/>
                <w:szCs w:val="20"/>
              </w:rPr>
            </w:pPr>
            <w:r w:rsidRPr="00960FD5">
              <w:rPr>
                <w:rFonts w:ascii="Times New Roman" w:hAnsi="Times New Roman"/>
                <w:b/>
                <w:bCs/>
                <w:sz w:val="20"/>
                <w:szCs w:val="20"/>
              </w:rPr>
              <w:t>Biological Properties</w:t>
            </w:r>
          </w:p>
        </w:tc>
        <w:tc>
          <w:tcPr>
            <w:tcW w:w="2677" w:type="dxa"/>
            <w:shd w:val="clear" w:color="auto" w:fill="auto"/>
            <w:vAlign w:val="center"/>
          </w:tcPr>
          <w:p w14:paraId="1F064A6B" w14:textId="77777777" w:rsidR="00960FD5" w:rsidRPr="00960FD5" w:rsidRDefault="00960FD5" w:rsidP="00960FD5">
            <w:pPr>
              <w:spacing w:before="240" w:after="0" w:line="240" w:lineRule="auto"/>
              <w:jc w:val="center"/>
              <w:rPr>
                <w:rFonts w:ascii="Times New Roman" w:hAnsi="Times New Roman"/>
                <w:b/>
                <w:bCs/>
                <w:sz w:val="20"/>
                <w:szCs w:val="20"/>
              </w:rPr>
            </w:pPr>
            <w:r w:rsidRPr="00960FD5">
              <w:rPr>
                <w:rFonts w:ascii="Times New Roman" w:hAnsi="Times New Roman"/>
                <w:b/>
                <w:bCs/>
                <w:sz w:val="20"/>
                <w:szCs w:val="20"/>
              </w:rPr>
              <w:t>References</w:t>
            </w:r>
          </w:p>
        </w:tc>
      </w:tr>
      <w:tr w:rsidR="00960FD5" w:rsidRPr="00960FD5" w14:paraId="0615D5F1" w14:textId="77777777" w:rsidTr="00960FD5">
        <w:trPr>
          <w:trHeight w:val="373"/>
        </w:trPr>
        <w:tc>
          <w:tcPr>
            <w:tcW w:w="961" w:type="dxa"/>
            <w:shd w:val="clear" w:color="auto" w:fill="auto"/>
            <w:vAlign w:val="center"/>
          </w:tcPr>
          <w:p w14:paraId="6F8BA7EC" w14:textId="77777777" w:rsidR="00960FD5" w:rsidRPr="00960FD5" w:rsidRDefault="00960FD5" w:rsidP="00960FD5">
            <w:pPr>
              <w:spacing w:before="240" w:after="0" w:line="240" w:lineRule="auto"/>
              <w:jc w:val="center"/>
              <w:rPr>
                <w:rFonts w:ascii="Times New Roman" w:hAnsi="Times New Roman"/>
                <w:sz w:val="20"/>
                <w:szCs w:val="20"/>
              </w:rPr>
            </w:pPr>
            <w:r w:rsidRPr="00960FD5">
              <w:rPr>
                <w:rFonts w:ascii="Times New Roman" w:hAnsi="Times New Roman"/>
                <w:sz w:val="20"/>
                <w:szCs w:val="20"/>
              </w:rPr>
              <w:t>1</w:t>
            </w:r>
          </w:p>
        </w:tc>
        <w:tc>
          <w:tcPr>
            <w:tcW w:w="1517" w:type="dxa"/>
            <w:vAlign w:val="center"/>
          </w:tcPr>
          <w:p w14:paraId="5BB6069D" w14:textId="77777777" w:rsidR="00960FD5" w:rsidRPr="00960FD5" w:rsidRDefault="00960FD5" w:rsidP="00960FD5">
            <w:pPr>
              <w:spacing w:before="240" w:after="0" w:line="240" w:lineRule="auto"/>
              <w:jc w:val="center"/>
              <w:rPr>
                <w:rFonts w:ascii="Times New Roman" w:hAnsi="Times New Roman"/>
                <w:sz w:val="20"/>
                <w:szCs w:val="20"/>
              </w:rPr>
            </w:pPr>
            <w:r w:rsidRPr="00960FD5">
              <w:rPr>
                <w:rFonts w:ascii="Times New Roman" w:hAnsi="Times New Roman"/>
                <w:sz w:val="20"/>
                <w:szCs w:val="20"/>
              </w:rPr>
              <w:t>8.339</w:t>
            </w:r>
          </w:p>
        </w:tc>
        <w:tc>
          <w:tcPr>
            <w:tcW w:w="3450" w:type="dxa"/>
            <w:shd w:val="clear" w:color="auto" w:fill="auto"/>
            <w:vAlign w:val="center"/>
          </w:tcPr>
          <w:p w14:paraId="712894DE" w14:textId="77777777" w:rsidR="00960FD5" w:rsidRPr="00960FD5" w:rsidRDefault="00960FD5" w:rsidP="00960FD5">
            <w:pPr>
              <w:spacing w:before="240" w:after="0" w:line="240" w:lineRule="auto"/>
              <w:jc w:val="center"/>
              <w:rPr>
                <w:rFonts w:ascii="Times New Roman" w:hAnsi="Times New Roman"/>
                <w:sz w:val="20"/>
                <w:szCs w:val="20"/>
              </w:rPr>
            </w:pPr>
            <w:r w:rsidRPr="00960FD5">
              <w:rPr>
                <w:rFonts w:ascii="Times New Roman" w:hAnsi="Times New Roman"/>
                <w:sz w:val="20"/>
                <w:szCs w:val="20"/>
              </w:rPr>
              <w:t>4H-Pyran-4-one, 2,3-dihydro-3,5-dihydroxy-6-methyl [119838]</w:t>
            </w:r>
          </w:p>
        </w:tc>
        <w:tc>
          <w:tcPr>
            <w:tcW w:w="2152" w:type="dxa"/>
            <w:shd w:val="clear" w:color="auto" w:fill="auto"/>
            <w:vAlign w:val="center"/>
          </w:tcPr>
          <w:p w14:paraId="3CE3EEB4" w14:textId="77777777" w:rsidR="00960FD5" w:rsidRPr="00960FD5" w:rsidRDefault="00960FD5" w:rsidP="00960FD5">
            <w:pPr>
              <w:spacing w:before="240" w:after="0" w:line="240" w:lineRule="auto"/>
              <w:jc w:val="center"/>
              <w:rPr>
                <w:rFonts w:ascii="Times New Roman" w:hAnsi="Times New Roman"/>
                <w:b/>
                <w:bCs/>
                <w:sz w:val="20"/>
                <w:szCs w:val="20"/>
              </w:rPr>
            </w:pPr>
            <w:r w:rsidRPr="00960FD5">
              <w:rPr>
                <w:rFonts w:ascii="Times New Roman" w:hAnsi="Times New Roman"/>
                <w:sz w:val="20"/>
                <w:szCs w:val="20"/>
              </w:rPr>
              <w:t>Anti-inflammatory activity</w:t>
            </w:r>
          </w:p>
        </w:tc>
        <w:tc>
          <w:tcPr>
            <w:tcW w:w="2677" w:type="dxa"/>
            <w:shd w:val="clear" w:color="auto" w:fill="auto"/>
            <w:vAlign w:val="center"/>
          </w:tcPr>
          <w:p w14:paraId="0F493228" w14:textId="77777777" w:rsidR="00960FD5" w:rsidRPr="00960FD5" w:rsidRDefault="00960FD5" w:rsidP="00960FD5">
            <w:pPr>
              <w:spacing w:before="240" w:after="0" w:line="240" w:lineRule="auto"/>
              <w:jc w:val="center"/>
              <w:rPr>
                <w:rFonts w:ascii="Times New Roman" w:hAnsi="Times New Roman"/>
                <w:b/>
                <w:bCs/>
                <w:sz w:val="20"/>
                <w:szCs w:val="20"/>
              </w:rPr>
            </w:pPr>
            <w:r w:rsidRPr="00960FD5">
              <w:rPr>
                <w:rFonts w:ascii="Times New Roman" w:hAnsi="Times New Roman"/>
                <w:b/>
                <w:bCs/>
                <w:sz w:val="20"/>
                <w:szCs w:val="20"/>
              </w:rPr>
              <w:fldChar w:fldCharType="begin" w:fldLock="1"/>
            </w:r>
            <w:r w:rsidRPr="00960FD5">
              <w:rPr>
                <w:rFonts w:ascii="Times New Roman" w:hAnsi="Times New Roman"/>
                <w:b/>
                <w:bCs/>
                <w:sz w:val="20"/>
                <w:szCs w:val="20"/>
              </w:rPr>
              <w:instrText>ADDIN CSL_CITATION {"citationItems":[{"id":"ITEM-1","itemData":{"DOI":"10.1007/bf02977371","ISSN":"02536269","PMID":"18087815","abstract":"Many natural compounds have been shown to prevent cancer cell growth through the redox regulation of transcription factors. NF-κB, a redox transcription factor, has been implicated in the apoptotic cell death of several cancer cells. This study examined whether or nor 2,3-dihydro-3,5-dihydroxy-6- methyl-4H-pyranone (DDMP) isolated from onions can modulate the activity of NF-κB, thereby induce the apoptotic cell death of colon cancer cells. Treatment with different DDMP concentrations (0.5-1.5 mg/mL) for various periods (0-48 h) inhibited the growth of colon cancer cells (SW620 and HCT116) followed by the induction of apoptosis in a dose dependent manner. It was also found that DDMP modulated tumor necrosis factor-α (TNF-α) and tetradeanoyl phorbol acetate (TPA)-induced NF-κB transcriptional and DNA binding activity. Moreover, DDMP suppressed the NF-κB target anti-apoptotic genes (Bcl-2), whereas it induced the expression of the apoptotic genes (Bax, cleaved caspase-3 and cleaved PARP). These results suggest that DDMP from onions inhibit colon cancer cell growth by inducing apoptotic cell death through the inhibition of NF-κB.","author":[{"dropping-particle":"","family":"Ban","given":"J.O.","non-dropping-particle":"","parse-names":false,"suffix":""},{"dropping-particle":"","family":"Hwang","given":"I.G.","non-dropping-particle":"","parse-names":false,"suffix":""},{"dropping-particle":"","family":"Kim","given":"T.M.","non-dropping-particle":"","parse-names":false,"suffix":""},{"dropping-particle":"","family":"Hwang","given":"B.Y.","non-dropping-particle":"","parse-names":false,"suffix":""},{"dropping-particle":"","family":"Lee","given":"U.S.","non-dropping-particle":"","parse-names":false,"suffix":""},{"dropping-particle":"","family":"Jeong","given":"H.S.","non-dropping-particle":"","parse-names":false,"suffix":""},{"dropping-particle":"","family":"Yoon","given":"Y.W.","non-dropping-particle":"","parse-names":false,"suffix":""},{"dropping-particle":"","family":"Kim","given":"D.J.","non-dropping-particle":"","parse-names":false,"suffix":""},{"dropping-particle":"","family":"Hong","given":"J.T.","non-dropping-particle":"","parse-names":false,"suffix":""}],"container-title":"Archives of Pharmacal Research","id":"ITEM-1","issue":"11","issued":{"date-parts":[["2007"]]},"page":"1455-1463","title":"Anti-proliferate and pro-apoptotic effects of 2,3-dihydro-3,5-dihydroxy-6- methyl-4H-pyranone through inactivation of NF-κB in human colon cancer cells","type":"article-journal","volume":"30"},"uris":["http://www.mendeley.com/documents/?uuid=8f4691f9-5947-45d0-947f-965d07f4f0d0"]}],"mendeley":{"formattedCitation":"(Ban et al., 2007)","plainTextFormattedCitation":"(Ban et al., 2007)","previouslyFormattedCitation":"(Ban et al., 2007)"},"properties":{"noteIndex":0},"schema":"https://github.com/citation-style-language/schema/raw/master/csl-citation.json"}</w:instrText>
            </w:r>
            <w:r w:rsidRPr="00960FD5">
              <w:rPr>
                <w:rFonts w:ascii="Times New Roman" w:hAnsi="Times New Roman"/>
                <w:b/>
                <w:bCs/>
                <w:sz w:val="20"/>
                <w:szCs w:val="20"/>
              </w:rPr>
              <w:fldChar w:fldCharType="separate"/>
            </w:r>
            <w:r w:rsidRPr="00960FD5">
              <w:rPr>
                <w:rFonts w:ascii="Times New Roman" w:hAnsi="Times New Roman"/>
                <w:bCs/>
                <w:noProof/>
                <w:sz w:val="20"/>
                <w:szCs w:val="20"/>
              </w:rPr>
              <w:t>(Ban et al., 2007)</w:t>
            </w:r>
            <w:r w:rsidRPr="00960FD5">
              <w:rPr>
                <w:rFonts w:ascii="Times New Roman" w:hAnsi="Times New Roman"/>
                <w:b/>
                <w:bCs/>
                <w:sz w:val="20"/>
                <w:szCs w:val="20"/>
              </w:rPr>
              <w:fldChar w:fldCharType="end"/>
            </w:r>
          </w:p>
        </w:tc>
      </w:tr>
      <w:tr w:rsidR="00960FD5" w:rsidRPr="00960FD5" w14:paraId="7A3617BE" w14:textId="77777777" w:rsidTr="00960FD5">
        <w:trPr>
          <w:trHeight w:val="1243"/>
        </w:trPr>
        <w:tc>
          <w:tcPr>
            <w:tcW w:w="961" w:type="dxa"/>
            <w:shd w:val="clear" w:color="auto" w:fill="auto"/>
            <w:vAlign w:val="center"/>
          </w:tcPr>
          <w:p w14:paraId="0EBD34E1" w14:textId="77777777" w:rsidR="00960FD5" w:rsidRPr="00960FD5" w:rsidRDefault="00960FD5" w:rsidP="00960FD5">
            <w:pPr>
              <w:spacing w:before="240" w:after="0" w:line="240" w:lineRule="auto"/>
              <w:jc w:val="center"/>
              <w:rPr>
                <w:rFonts w:ascii="Times New Roman" w:hAnsi="Times New Roman"/>
                <w:sz w:val="20"/>
                <w:szCs w:val="20"/>
              </w:rPr>
            </w:pPr>
            <w:r w:rsidRPr="00960FD5">
              <w:rPr>
                <w:rFonts w:ascii="Times New Roman" w:hAnsi="Times New Roman"/>
                <w:sz w:val="20"/>
                <w:szCs w:val="20"/>
              </w:rPr>
              <w:t>2</w:t>
            </w:r>
          </w:p>
        </w:tc>
        <w:tc>
          <w:tcPr>
            <w:tcW w:w="1517" w:type="dxa"/>
            <w:vAlign w:val="center"/>
          </w:tcPr>
          <w:p w14:paraId="0BA2434E" w14:textId="77777777" w:rsidR="00960FD5" w:rsidRPr="00960FD5" w:rsidRDefault="00960FD5" w:rsidP="00960FD5">
            <w:pPr>
              <w:spacing w:before="240" w:after="0" w:line="240" w:lineRule="auto"/>
              <w:jc w:val="center"/>
              <w:rPr>
                <w:rFonts w:ascii="Times New Roman" w:hAnsi="Times New Roman"/>
                <w:sz w:val="20"/>
                <w:szCs w:val="20"/>
              </w:rPr>
            </w:pPr>
            <w:r w:rsidRPr="00960FD5">
              <w:rPr>
                <w:rFonts w:ascii="Times New Roman" w:hAnsi="Times New Roman"/>
                <w:sz w:val="20"/>
                <w:szCs w:val="20"/>
              </w:rPr>
              <w:t>17.678</w:t>
            </w:r>
          </w:p>
        </w:tc>
        <w:tc>
          <w:tcPr>
            <w:tcW w:w="3450" w:type="dxa"/>
            <w:shd w:val="clear" w:color="auto" w:fill="auto"/>
            <w:vAlign w:val="center"/>
          </w:tcPr>
          <w:p w14:paraId="6AFCB736" w14:textId="77777777" w:rsidR="00960FD5" w:rsidRPr="00960FD5" w:rsidRDefault="00960FD5" w:rsidP="00960FD5">
            <w:pPr>
              <w:spacing w:before="240" w:after="0" w:line="240" w:lineRule="auto"/>
              <w:jc w:val="center"/>
              <w:rPr>
                <w:rFonts w:ascii="Times New Roman" w:hAnsi="Times New Roman"/>
                <w:sz w:val="20"/>
                <w:szCs w:val="20"/>
              </w:rPr>
            </w:pPr>
            <w:r w:rsidRPr="00960FD5">
              <w:rPr>
                <w:rFonts w:ascii="Times New Roman" w:hAnsi="Times New Roman"/>
                <w:sz w:val="20"/>
                <w:szCs w:val="20"/>
              </w:rPr>
              <w:t>Hexadecanoic acid, methyl ester [8181]</w:t>
            </w:r>
          </w:p>
        </w:tc>
        <w:tc>
          <w:tcPr>
            <w:tcW w:w="2152" w:type="dxa"/>
            <w:shd w:val="clear" w:color="auto" w:fill="auto"/>
            <w:vAlign w:val="center"/>
          </w:tcPr>
          <w:p w14:paraId="7C0D9570" w14:textId="77777777" w:rsidR="00960FD5" w:rsidRPr="00960FD5" w:rsidRDefault="00960FD5" w:rsidP="00960FD5">
            <w:pPr>
              <w:spacing w:before="240" w:after="0" w:line="240" w:lineRule="auto"/>
              <w:jc w:val="center"/>
              <w:rPr>
                <w:rFonts w:ascii="Times New Roman" w:hAnsi="Times New Roman"/>
                <w:b/>
                <w:bCs/>
                <w:sz w:val="20"/>
                <w:szCs w:val="20"/>
              </w:rPr>
            </w:pPr>
            <w:r w:rsidRPr="00960FD5">
              <w:rPr>
                <w:rFonts w:ascii="Times New Roman" w:hAnsi="Times New Roman"/>
                <w:sz w:val="20"/>
                <w:szCs w:val="20"/>
              </w:rPr>
              <w:t>Anti-inflammatory and Anti-arthritic activity</w:t>
            </w:r>
          </w:p>
        </w:tc>
        <w:tc>
          <w:tcPr>
            <w:tcW w:w="2677" w:type="dxa"/>
            <w:shd w:val="clear" w:color="auto" w:fill="auto"/>
            <w:vAlign w:val="center"/>
          </w:tcPr>
          <w:p w14:paraId="302AEF96" w14:textId="77777777" w:rsidR="00960FD5" w:rsidRPr="00960FD5" w:rsidRDefault="00960FD5" w:rsidP="00960FD5">
            <w:pPr>
              <w:spacing w:before="240" w:after="0" w:line="240" w:lineRule="auto"/>
              <w:jc w:val="center"/>
              <w:rPr>
                <w:rFonts w:ascii="Times New Roman" w:hAnsi="Times New Roman"/>
                <w:b/>
                <w:bCs/>
                <w:sz w:val="20"/>
                <w:szCs w:val="20"/>
              </w:rPr>
            </w:pPr>
            <w:r w:rsidRPr="00960FD5">
              <w:rPr>
                <w:rFonts w:ascii="Times New Roman" w:hAnsi="Times New Roman"/>
                <w:b/>
                <w:bCs/>
                <w:sz w:val="20"/>
                <w:szCs w:val="20"/>
              </w:rPr>
              <w:fldChar w:fldCharType="begin" w:fldLock="1"/>
            </w:r>
            <w:r w:rsidRPr="00960FD5">
              <w:rPr>
                <w:rFonts w:ascii="Times New Roman" w:hAnsi="Times New Roman"/>
                <w:b/>
                <w:bCs/>
                <w:sz w:val="20"/>
                <w:szCs w:val="20"/>
              </w:rPr>
              <w:instrText>ADDIN CSL_CITATION {"citationItems":[{"id":"ITEM-1","itemData":{"DOI":"10.1155/2014/567409","abstract":"Objective . To explore the possible bioactive compounds in the methanolic extracts of leaf, stem, and tuber parts of the medicinal climber, Solena amplexicaulis , using GC-MS. Methods . GC-MS analysis of the plant extracts were performed by using GC-MS-5975C [Agilent] and mass spectra of the compounds found in the extract was matched with the data in the library of National Institute of Standards and Technology (NIST). Results . Thirty-five compounds were determined to be present in the parts studied. The active principles with their retention time, molecular formula, molecular weight, peak area, structure, category of the compounds, and activities were predicted. The most prevailing compounds were phytol (38.24%) in leaf, 4-(4-ethoxyphenyl) but-3-en-2-one (56.90%) in stem, and 9,17-octadecadienal, (Z)- (21.77%) in tuber. Conclusion . This study revealed that the species S. amplexicaulis is a good source of many bioactive compounds like terpenes, triazines, esters, alkanes, alcohols, hydrocarbons, aldehydes, amides, and so forth. That justifies the traditional usage of this species.","author":[{"dropping-particle":"","family":"Krishnamoorthy","given":"Karthika","non-dropping-particle":"","parse-names":false,"suffix":""},{"dropping-particle":"","family":"Subramaniam","given":"Paulsamy","non-dropping-particle":"","parse-names":false,"suffix":""}],"container-title":"International Scholarly Research Notices","id":"ITEM-1","issued":{"date-parts":[["2014"]]},"page":"1-13","title":"Phytochemical Profiling of Leaf, Stem, and Tuber Parts of Solena amplexicaulis (Lam.) Gandhi Using GC-MS","type":"article-journal","volume":"2014"},"uris":["http://www.mendeley.com/documents/?uuid=d65ddcca-61ae-3414-b7f1-4705000b0b9d"]},{"id":"ITEM-2","itemData":{"DOI":"10.12980/jclm.3.2015apjtb-2014-0186","ISSN":"23095288","abstract":"Objective: To evaluate the anti-inflammatory activity of a tropical African medicinal plant, Costus afer (C. afer) Ker Gawl. in vitro and identify the chem. constituents in the most active fraction. Methods: Hexane, Et acetate, n-butanol and aq. fractions obtained through successive solvent partitioning of 70% methanolic leaf or stem exts. of C. afer were subjected to in vitro anti-inflammatory screening assays viz. anti-denaturation of protein, stabilization of human red blood cell (HRBC) membrane against hypotonicity-induced hemolysis and anti-proteinase activities. Diclofenac sodium was used as a std. drug. The chem. compds. in the most active fraction were detd. using quant. phytochem. and gas chromatog.-mass spectrometry (GC/MS) anal. methods, comparing the mass spectra of the GC/MS identified compds. with those of the National Institute of Stds. and Technol. (NIST) database library. Results: The hexane fraction of C. afer leaf (HFCAL) with an IC50 of 33.36 μg/mL, 33 μg/mL and 212.77 μg/mL exhibited the highest anti-denaturation of protein, stabilization of HRBC membrane and anti-proteinase activities resp. when compared with other test fractions. The GC/MS identified compds. in HFCAL known to possess anti-inflammatory property were terpenoids (naphthalene 1,6-dimethyl-; naphthalene 2,3-dimethyl-; phytol), phenol [phenol 2,4-bis(1,1-dimethylethyl)], coumaran [2(4H)-benzofuranone, 5,6,7,7a-tetrahydro-4, 4,7atrimethyl and fatty acids (pentadecanoic acid; hexadecanoic acid; n-hexadecanoic acid; 9,12-octadecanoic acid-Me ester; 9,12,15 octadecatrienoic acid and cis-vaccenic acid)]. Conclusion: Therefore, HFCAL could be considered as a potential source of antiinflammatory agents for herbal formulation or pharmaceutical drug prodn. [on SciFinder(R)]","author":[{"dropping-particle":"","family":"Anyasor","given":"G.N.","non-dropping-particle":"","parse-names":false,"suffix":""},{"dropping-particle":"","family":"Funmilayo","given":"O.","non-dropping-particle":"","parse-names":false,"suffix":""},{"dropping-particle":"","family":"Odutola","given":"O.","non-dropping-particle":"","parse-names":false,"suffix":""},{"dropping-particle":"","family":"Olugbenga","given":"A.","non-dropping-particle":"","parse-names":false,"suffix":""},{"dropping-particle":"","family":"Oboutor","given":"E.M.","non-dropping-particle":"","parse-names":false,"suffix":""}],"container-title":"Journal of Coastal Life Medicine","id":"ITEM-2","issue":"2","issued":{"date-parts":[["2015"]]},"page":"132-138","title":"Evaluation of Costus afer Ker Gawl. in vitro anti-inflammatory activity and its chemical constituents identified using gas chromatography-mass spectrometry analysis","type":"article-journal","volume":"3"},"uris":["http://www.mendeley.com/documents/?uuid=b8953517-fbe8-3045-9537-ef3c07e9998d"]},{"id":"ITEM-3","itemData":{"ISSN":"20282508","abstract":"Thesium humile Vahl is a small herb which parasitizes cereal cultures. It is considered toxic to small ruminants. Our previous research indicated that this plant contains alkaloids in its aqueous extract. One of these alkaloids was identified as the 1- hydroxymethylpyrrolizidine. The present study deals with the identification of other bioactive chemical constituents from Thesium humile Vahl by GC-MS analysis. Twenty compounds have been identified by comparing their spectra data to those available in the chemical libraries. These compounds are mainly fatty acid esters, phenols, alkanes and alkenes. The fatty acids and phenols are the more represented. Most of the identified compounds are cited in the literature for their antimicrobial, antifungal, antioxidant, anti-cancer, anti-inflammatory and hypo-cholesterolemic properties.","author":[{"dropping-particle":"","family":"Belakhdar","given":"G.","non-dropping-particle":"","parse-names":false,"suffix":""},{"dropping-particle":"","family":"Benjouad","given":"A.","non-dropping-particle":"","parse-names":false,"suffix":""},{"dropping-particle":"","family":"Abdennebi","given":"E. H.","non-dropping-particle":"","parse-names":false,"suffix":""}],"container-title":"Journal of Materials and Environmental Science","id":"ITEM-3","issue":"10","issued":{"date-parts":[["2015"]]},"page":"2778-2783","title":"Determination of some bioactive chemical constituents from Thesium humile Vahl","type":"article-journal","volume":"6"},"uris":["http://www.mendeley.com/documents/?uuid=5bb20f0c-d1cc-379c-8e39-b7d3f9752c75"]}],"mendeley":{"formattedCitation":"(Krishnamoorthy and Subramaniam, 2014; Anyasor et al., 2015; Belakhdar et al., 2015)","plainTextFormattedCitation":"(Krishnamoorthy and Subramaniam, 2014; Anyasor et al., 2015; Belakhdar et al., 2015)","previouslyFormattedCitation":"(Krishnamoorthy and Subramaniam, 2014; Anyasor et al., 2015; Belakhdar et al., 2015)"},"properties":{"noteIndex":0},"schema":"https://github.com/citation-style-language/schema/raw/master/csl-citation.json"}</w:instrText>
            </w:r>
            <w:r w:rsidRPr="00960FD5">
              <w:rPr>
                <w:rFonts w:ascii="Times New Roman" w:hAnsi="Times New Roman"/>
                <w:b/>
                <w:bCs/>
                <w:sz w:val="20"/>
                <w:szCs w:val="20"/>
              </w:rPr>
              <w:fldChar w:fldCharType="separate"/>
            </w:r>
            <w:r w:rsidRPr="00960FD5">
              <w:rPr>
                <w:rFonts w:ascii="Times New Roman" w:hAnsi="Times New Roman"/>
                <w:bCs/>
                <w:noProof/>
                <w:sz w:val="20"/>
                <w:szCs w:val="20"/>
              </w:rPr>
              <w:t>(Krishnamoorthy and Subramaniam, 2014; Anyasor et al., 2015; Belakhdar et al., 2015)</w:t>
            </w:r>
            <w:r w:rsidRPr="00960FD5">
              <w:rPr>
                <w:rFonts w:ascii="Times New Roman" w:hAnsi="Times New Roman"/>
                <w:b/>
                <w:bCs/>
                <w:sz w:val="20"/>
                <w:szCs w:val="20"/>
              </w:rPr>
              <w:fldChar w:fldCharType="end"/>
            </w:r>
          </w:p>
        </w:tc>
      </w:tr>
      <w:tr w:rsidR="00960FD5" w:rsidRPr="00960FD5" w14:paraId="52A07E28" w14:textId="77777777" w:rsidTr="00960FD5">
        <w:trPr>
          <w:trHeight w:val="395"/>
        </w:trPr>
        <w:tc>
          <w:tcPr>
            <w:tcW w:w="961" w:type="dxa"/>
            <w:shd w:val="clear" w:color="auto" w:fill="auto"/>
            <w:vAlign w:val="center"/>
          </w:tcPr>
          <w:p w14:paraId="0839D474" w14:textId="77777777" w:rsidR="00960FD5" w:rsidRPr="00960FD5" w:rsidRDefault="00960FD5" w:rsidP="00960FD5">
            <w:pPr>
              <w:spacing w:before="240" w:after="0" w:line="240" w:lineRule="auto"/>
              <w:jc w:val="center"/>
              <w:rPr>
                <w:rFonts w:ascii="Times New Roman" w:hAnsi="Times New Roman"/>
                <w:sz w:val="20"/>
                <w:szCs w:val="20"/>
              </w:rPr>
            </w:pPr>
            <w:r w:rsidRPr="00960FD5">
              <w:rPr>
                <w:rFonts w:ascii="Times New Roman" w:hAnsi="Times New Roman"/>
                <w:sz w:val="20"/>
                <w:szCs w:val="20"/>
              </w:rPr>
              <w:t>3</w:t>
            </w:r>
          </w:p>
        </w:tc>
        <w:tc>
          <w:tcPr>
            <w:tcW w:w="1517" w:type="dxa"/>
            <w:vAlign w:val="center"/>
          </w:tcPr>
          <w:p w14:paraId="2D982681" w14:textId="77777777" w:rsidR="00960FD5" w:rsidRPr="00960FD5" w:rsidRDefault="00960FD5" w:rsidP="00960FD5">
            <w:pPr>
              <w:spacing w:before="240" w:after="0" w:line="240" w:lineRule="auto"/>
              <w:jc w:val="center"/>
              <w:rPr>
                <w:rFonts w:ascii="Times New Roman" w:hAnsi="Times New Roman"/>
                <w:sz w:val="20"/>
                <w:szCs w:val="20"/>
              </w:rPr>
            </w:pPr>
            <w:r w:rsidRPr="00960FD5">
              <w:rPr>
                <w:rFonts w:ascii="Times New Roman" w:hAnsi="Times New Roman"/>
                <w:sz w:val="20"/>
                <w:szCs w:val="20"/>
              </w:rPr>
              <w:t>18.171</w:t>
            </w:r>
          </w:p>
        </w:tc>
        <w:tc>
          <w:tcPr>
            <w:tcW w:w="3450" w:type="dxa"/>
            <w:shd w:val="clear" w:color="auto" w:fill="auto"/>
            <w:vAlign w:val="center"/>
          </w:tcPr>
          <w:p w14:paraId="4109FDD4" w14:textId="77777777" w:rsidR="00960FD5" w:rsidRPr="00960FD5" w:rsidRDefault="00960FD5" w:rsidP="00960FD5">
            <w:pPr>
              <w:spacing w:before="240" w:after="0" w:line="240" w:lineRule="auto"/>
              <w:jc w:val="center"/>
              <w:rPr>
                <w:rFonts w:ascii="Times New Roman" w:hAnsi="Times New Roman"/>
                <w:sz w:val="20"/>
                <w:szCs w:val="20"/>
                <w:highlight w:val="yellow"/>
              </w:rPr>
            </w:pPr>
            <w:bookmarkStart w:id="0" w:name="_Hlk117413830"/>
            <w:r w:rsidRPr="00960FD5">
              <w:rPr>
                <w:rFonts w:ascii="Times New Roman" w:hAnsi="Times New Roman"/>
                <w:sz w:val="20"/>
                <w:szCs w:val="20"/>
              </w:rPr>
              <w:t>n-Hexadecanoic acid</w:t>
            </w:r>
            <w:bookmarkEnd w:id="0"/>
            <w:r w:rsidRPr="00960FD5">
              <w:rPr>
                <w:rFonts w:ascii="Times New Roman" w:hAnsi="Times New Roman"/>
                <w:sz w:val="20"/>
                <w:szCs w:val="20"/>
              </w:rPr>
              <w:t xml:space="preserve"> [985]</w:t>
            </w:r>
          </w:p>
        </w:tc>
        <w:tc>
          <w:tcPr>
            <w:tcW w:w="2152" w:type="dxa"/>
            <w:shd w:val="clear" w:color="auto" w:fill="auto"/>
            <w:vAlign w:val="center"/>
          </w:tcPr>
          <w:p w14:paraId="375B7520" w14:textId="77777777" w:rsidR="00960FD5" w:rsidRPr="00960FD5" w:rsidRDefault="00960FD5" w:rsidP="00960FD5">
            <w:pPr>
              <w:spacing w:before="240" w:after="0" w:line="240" w:lineRule="auto"/>
              <w:jc w:val="center"/>
              <w:rPr>
                <w:rFonts w:ascii="Times New Roman" w:hAnsi="Times New Roman"/>
                <w:sz w:val="20"/>
                <w:szCs w:val="20"/>
              </w:rPr>
            </w:pPr>
            <w:r w:rsidRPr="00960FD5">
              <w:rPr>
                <w:rFonts w:ascii="Times New Roman" w:hAnsi="Times New Roman"/>
                <w:sz w:val="20"/>
                <w:szCs w:val="20"/>
              </w:rPr>
              <w:t>Anti-inflammatory activity</w:t>
            </w:r>
          </w:p>
        </w:tc>
        <w:tc>
          <w:tcPr>
            <w:tcW w:w="2677" w:type="dxa"/>
            <w:shd w:val="clear" w:color="auto" w:fill="auto"/>
            <w:vAlign w:val="center"/>
          </w:tcPr>
          <w:p w14:paraId="4AA90E90" w14:textId="77777777" w:rsidR="00960FD5" w:rsidRPr="00960FD5" w:rsidRDefault="00960FD5" w:rsidP="00960FD5">
            <w:pPr>
              <w:spacing w:before="240" w:after="0" w:line="240" w:lineRule="auto"/>
              <w:jc w:val="center"/>
              <w:rPr>
                <w:rFonts w:ascii="Times New Roman" w:hAnsi="Times New Roman"/>
                <w:color w:val="222222"/>
                <w:sz w:val="20"/>
                <w:szCs w:val="20"/>
                <w:shd w:val="clear" w:color="auto" w:fill="FFFFFF"/>
              </w:rPr>
            </w:pPr>
            <w:r w:rsidRPr="00960FD5">
              <w:rPr>
                <w:rFonts w:ascii="Times New Roman" w:hAnsi="Times New Roman"/>
                <w:color w:val="222222"/>
                <w:sz w:val="20"/>
                <w:szCs w:val="20"/>
                <w:shd w:val="clear" w:color="auto" w:fill="FFFFFF"/>
              </w:rPr>
              <w:fldChar w:fldCharType="begin" w:fldLock="1"/>
            </w:r>
            <w:r w:rsidRPr="00960FD5">
              <w:rPr>
                <w:rFonts w:ascii="Times New Roman" w:hAnsi="Times New Roman"/>
                <w:color w:val="222222"/>
                <w:sz w:val="20"/>
                <w:szCs w:val="20"/>
                <w:shd w:val="clear" w:color="auto" w:fill="FFFFFF"/>
              </w:rPr>
              <w:instrText>ADDIN CSL_CITATION {"citationItems":[{"id":"ITEM-1","itemData":{"DOI":"10.1111/j.1747-0285.2012.01418.x","ISSN":"17470277","PMID":"22642495","abstract":"Ester bond hydrolysis of membrane phospholipids by Phospholipase A2 and consequent release of fatty acids are the initiating steps of inflammation. It is proposed in this study that the inhibition of phospholipase A2 is one of the ways to control inflammation. Investigations are carried out to identify the mode of inhibition of phospholipase A2 by the n-hexadecanoic acid. It may help in designing of specific inhibitors of phospholipase A2 as anti-inflammatory agents. The enzyme kinetics study proved that n-hexadecanoic acid inhibits phospholipase A2 in a competitive manner. It was identified from the crystal structure at 2.5Å resolution that the position of n-hexadecanoic acid is in the active site of the phospholipase A2. The binding constant and binding energy have also been calculated using Isothermal Titration Calorimetry. Also, the binding energy of n-hexadecanoic acid to phospholipase A2 was calculated by in silico method and compared with known inhibitors. It may be concluded from the structural and kinetics studies that the fatty acid, n-hexadecanoic acid, is an inhibitor of phospholipase A2, hence, an anti-inflammatory compound. The inferences from the present study validate the rigorous use of medicated oils rich in n-hexadecanoic acid for the treatment of rheumatic symptoms in the traditional medical system of India, Ayurveda. Investigations were done to identify the mode of inhibition of PLA2 by the n-hexadecanoic acid. The enzyme kinetics study and analysis of crystal structure proved that n-hexadecanoic acid inhibits PLA2 in a competitive manner. The inferences from the present study validate the rigorous use of medicated oils rich in n-hexadecanoic acid for the treatment of rheumatic symptoms in the traditional medical system of India, Ayurveda. © 2012 John Wiley and Sons A/S.","author":[{"dropping-particle":"","family":"Aparna","given":"Vasudevan","non-dropping-particle":"","parse-names":false,"suffix":""},{"dropping-particle":"V.","family":"Dileep","given":"Kalarickal","non-dropping-particle":"","parse-names":false,"suffix":""},{"dropping-particle":"","family":"Mandal","given":"Pradeep K.","non-dropping-particle":"","parse-names":false,"suffix":""},{"dropping-particle":"","family":"Karthe","given":"Ponnuraj","non-dropping-particle":"","parse-names":false,"suffix":""},{"dropping-particle":"","family":"Sadasivan","given":"Chittalakkottu","non-dropping-particle":"","parse-names":false,"suffix":""},{"dropping-particle":"","family":"Haridas","given":"Madathilkovilakathu","non-dropping-particle":"","parse-names":false,"suffix":""}],"container-title":"Chemical Biology and Drug Design","id":"ITEM-1","issue":"3","issued":{"date-parts":[["2012"]]},"page":"434-439","title":"Anti-Inflammatory Property of n-Hexadecanoic Acid: Structural Evidence and Kinetic Assessment","type":"article-journal","volume":"80"},"uris":["http://www.mendeley.com/documents/?uuid=6a9f4a59-a315-4e3a-a183-05a0a28b60c9"]},{"id":"ITEM-2","itemData":{"DOI":"10.12980/jclm.3.2015apjtb-2014-0186","ISSN":"23095288","abstract":"Objective: To evaluate the anti-inflammatory activity of a tropical African medicinal plant, Costus afer (C. afer) Ker Gawl. in vitro and identify the chem. constituents in the most active fraction. Methods: Hexane, Et acetate, n-butanol and aq. fractions obtained through successive solvent partitioning of 70% methanolic leaf or stem exts. of C. afer were subjected to in vitro anti-inflammatory screening assays viz. anti-denaturation of protein, stabilization of human red blood cell (HRBC) membrane against hypotonicity-induced hemolysis and anti-proteinase activities. Diclofenac sodium was used as a std. drug. The chem. compds. in the most active fraction were detd. using quant. phytochem. and gas chromatog.-mass spectrometry (GC/MS) anal. methods, comparing the mass spectra of the GC/MS identified compds. with those of the National Institute of Stds. and Technol. (NIST) database library. Results: The hexane fraction of C. afer leaf (HFCAL) with an IC50 of 33.36 μg/mL, 33 μg/mL and 212.77 μg/mL exhibited the highest anti-denaturation of protein, stabilization of HRBC membrane and anti-proteinase activities resp. when compared with other test fractions. The GC/MS identified compds. in HFCAL known to possess anti-inflammatory property were terpenoids (naphthalene 1,6-dimethyl-; naphthalene 2,3-dimethyl-; phytol), phenol [phenol 2,4-bis(1,1-dimethylethyl)], coumaran [2(4H)-benzofuranone, 5,6,7,7a-tetrahydro-4, 4,7atrimethyl and fatty acids (pentadecanoic acid; hexadecanoic acid; n-hexadecanoic acid; 9,12-octadecanoic acid-Me ester; 9,12,15 octadecatrienoic acid and cis-vaccenic acid)]. Conclusion: Therefore, HFCAL could be considered as a potential source of antiinflammatory agents for herbal formulation or pharmaceutical drug prodn. [on SciFinder(R)]","author":[{"dropping-particle":"","family":"Anyasor","given":"G.N.","non-dropping-particle":"","parse-names":false,"suffix":""},{"dropping-particle":"","family":"Funmilayo","given":"O.","non-dropping-particle":"","parse-names":false,"suffix":""},{"dropping-particle":"","family":"Odutola","given":"O.","non-dropping-particle":"","parse-names":false,"suffix":""},{"dropping-particle":"","family":"Olugbenga","given":"A.","non-dropping-particle":"","parse-names":false,"suffix":""},{"dropping-particle":"","family":"Oboutor","given":"E.M.","non-dropping-particle":"","parse-names":false,"suffix":""}],"container-title":"Journal of Coastal Life Medicine","id":"ITEM-2","issue":"2","issued":{"date-parts":[["2015"]]},"page":"132-138","title":"Evaluation of Costus afer Ker Gawl. in vitro anti-inflammatory activity and its chemical constituents identified using gas chromatography-mass spectrometry analysis","type":"article-journal","volume":"3"},"uris":["http://www.mendeley.com/documents/?uuid=b8953517-fbe8-3045-9537-ef3c07e9998d"]}],"mendeley":{"formattedCitation":"(Aparna et al., 2012; Anyasor et al., 2015)","plainTextFormattedCitation":"(Aparna et al., 2012; Anyasor et al., 2015)","previouslyFormattedCitation":"(Aparna et al., 2012; Anyasor et al., 2015)"},"properties":{"noteIndex":0},"schema":"https://github.com/citation-style-language/schema/raw/master/csl-citation.json"}</w:instrText>
            </w:r>
            <w:r w:rsidRPr="00960FD5">
              <w:rPr>
                <w:rFonts w:ascii="Times New Roman" w:hAnsi="Times New Roman"/>
                <w:color w:val="222222"/>
                <w:sz w:val="20"/>
                <w:szCs w:val="20"/>
                <w:shd w:val="clear" w:color="auto" w:fill="FFFFFF"/>
              </w:rPr>
              <w:fldChar w:fldCharType="separate"/>
            </w:r>
            <w:r w:rsidRPr="00960FD5">
              <w:rPr>
                <w:rFonts w:ascii="Times New Roman" w:hAnsi="Times New Roman"/>
                <w:noProof/>
                <w:color w:val="222222"/>
                <w:sz w:val="20"/>
                <w:szCs w:val="20"/>
                <w:shd w:val="clear" w:color="auto" w:fill="FFFFFF"/>
              </w:rPr>
              <w:t>(Aparna et al., 2012; Anyasor et al., 2015)</w:t>
            </w:r>
            <w:r w:rsidRPr="00960FD5">
              <w:rPr>
                <w:rFonts w:ascii="Times New Roman" w:hAnsi="Times New Roman"/>
                <w:color w:val="222222"/>
                <w:sz w:val="20"/>
                <w:szCs w:val="20"/>
                <w:shd w:val="clear" w:color="auto" w:fill="FFFFFF"/>
              </w:rPr>
              <w:fldChar w:fldCharType="end"/>
            </w:r>
          </w:p>
        </w:tc>
      </w:tr>
      <w:tr w:rsidR="00960FD5" w:rsidRPr="00960FD5" w14:paraId="71F2E3E6" w14:textId="77777777" w:rsidTr="00960FD5">
        <w:trPr>
          <w:trHeight w:val="303"/>
        </w:trPr>
        <w:tc>
          <w:tcPr>
            <w:tcW w:w="961" w:type="dxa"/>
            <w:shd w:val="clear" w:color="auto" w:fill="auto"/>
            <w:vAlign w:val="center"/>
          </w:tcPr>
          <w:p w14:paraId="7214A82F" w14:textId="77777777" w:rsidR="00960FD5" w:rsidRPr="00960FD5" w:rsidRDefault="00960FD5" w:rsidP="00960FD5">
            <w:pPr>
              <w:spacing w:before="240" w:after="0" w:line="240" w:lineRule="auto"/>
              <w:jc w:val="center"/>
              <w:rPr>
                <w:rFonts w:ascii="Times New Roman" w:hAnsi="Times New Roman"/>
                <w:sz w:val="20"/>
                <w:szCs w:val="20"/>
              </w:rPr>
            </w:pPr>
            <w:r w:rsidRPr="00960FD5">
              <w:rPr>
                <w:rFonts w:ascii="Times New Roman" w:hAnsi="Times New Roman"/>
                <w:sz w:val="20"/>
                <w:szCs w:val="20"/>
              </w:rPr>
              <w:t>4</w:t>
            </w:r>
          </w:p>
        </w:tc>
        <w:tc>
          <w:tcPr>
            <w:tcW w:w="1517" w:type="dxa"/>
            <w:vAlign w:val="center"/>
          </w:tcPr>
          <w:p w14:paraId="1D85033F" w14:textId="77777777" w:rsidR="00960FD5" w:rsidRPr="00960FD5" w:rsidRDefault="00960FD5" w:rsidP="00960FD5">
            <w:pPr>
              <w:spacing w:before="240" w:after="0" w:line="240" w:lineRule="auto"/>
              <w:jc w:val="center"/>
              <w:rPr>
                <w:rFonts w:ascii="Times New Roman" w:hAnsi="Times New Roman"/>
                <w:sz w:val="20"/>
                <w:szCs w:val="20"/>
              </w:rPr>
            </w:pPr>
            <w:r w:rsidRPr="00960FD5">
              <w:rPr>
                <w:rFonts w:ascii="Times New Roman" w:hAnsi="Times New Roman"/>
                <w:sz w:val="20"/>
                <w:szCs w:val="20"/>
              </w:rPr>
              <w:t>20.367</w:t>
            </w:r>
          </w:p>
        </w:tc>
        <w:tc>
          <w:tcPr>
            <w:tcW w:w="3450" w:type="dxa"/>
            <w:shd w:val="clear" w:color="auto" w:fill="auto"/>
            <w:vAlign w:val="center"/>
          </w:tcPr>
          <w:p w14:paraId="12DA3838" w14:textId="77777777" w:rsidR="00960FD5" w:rsidRPr="00960FD5" w:rsidRDefault="00960FD5" w:rsidP="00960FD5">
            <w:pPr>
              <w:spacing w:before="240" w:after="0" w:line="240" w:lineRule="auto"/>
              <w:jc w:val="center"/>
              <w:rPr>
                <w:rFonts w:ascii="Times New Roman" w:hAnsi="Times New Roman"/>
                <w:sz w:val="20"/>
                <w:szCs w:val="20"/>
              </w:rPr>
            </w:pPr>
            <w:bookmarkStart w:id="1" w:name="_Hlk117414712"/>
            <w:r w:rsidRPr="00960FD5">
              <w:rPr>
                <w:rFonts w:ascii="Times New Roman" w:hAnsi="Times New Roman"/>
                <w:sz w:val="20"/>
                <w:szCs w:val="20"/>
              </w:rPr>
              <w:t>Oleic Acid, (Z)-, TMS derivative</w:t>
            </w:r>
            <w:bookmarkEnd w:id="1"/>
            <w:r w:rsidRPr="00960FD5">
              <w:rPr>
                <w:rFonts w:ascii="Times New Roman" w:hAnsi="Times New Roman"/>
                <w:sz w:val="20"/>
                <w:szCs w:val="20"/>
              </w:rPr>
              <w:t xml:space="preserve"> [5366433]</w:t>
            </w:r>
          </w:p>
        </w:tc>
        <w:tc>
          <w:tcPr>
            <w:tcW w:w="2152" w:type="dxa"/>
            <w:shd w:val="clear" w:color="auto" w:fill="auto"/>
            <w:vAlign w:val="center"/>
          </w:tcPr>
          <w:p w14:paraId="58AB75E3" w14:textId="77777777" w:rsidR="00960FD5" w:rsidRPr="00960FD5" w:rsidRDefault="00960FD5" w:rsidP="00960FD5">
            <w:pPr>
              <w:spacing w:before="240" w:after="0" w:line="240" w:lineRule="auto"/>
              <w:jc w:val="center"/>
              <w:rPr>
                <w:rFonts w:ascii="Times New Roman" w:hAnsi="Times New Roman"/>
                <w:b/>
                <w:bCs/>
                <w:sz w:val="20"/>
                <w:szCs w:val="20"/>
              </w:rPr>
            </w:pPr>
            <w:r w:rsidRPr="00960FD5">
              <w:rPr>
                <w:rFonts w:ascii="Times New Roman" w:hAnsi="Times New Roman"/>
                <w:sz w:val="20"/>
                <w:szCs w:val="20"/>
              </w:rPr>
              <w:t>Anti-inflammatory activity</w:t>
            </w:r>
          </w:p>
        </w:tc>
        <w:tc>
          <w:tcPr>
            <w:tcW w:w="2677" w:type="dxa"/>
            <w:shd w:val="clear" w:color="auto" w:fill="auto"/>
            <w:vAlign w:val="center"/>
          </w:tcPr>
          <w:p w14:paraId="44D6727C" w14:textId="77777777" w:rsidR="00960FD5" w:rsidRPr="00960FD5" w:rsidRDefault="00960FD5" w:rsidP="00960FD5">
            <w:pPr>
              <w:spacing w:before="240" w:after="0" w:line="240" w:lineRule="auto"/>
              <w:jc w:val="center"/>
              <w:rPr>
                <w:rFonts w:ascii="Times New Roman" w:hAnsi="Times New Roman"/>
                <w:b/>
                <w:bCs/>
                <w:sz w:val="20"/>
                <w:szCs w:val="20"/>
              </w:rPr>
            </w:pPr>
            <w:r w:rsidRPr="00960FD5">
              <w:rPr>
                <w:rFonts w:ascii="Times New Roman" w:hAnsi="Times New Roman"/>
                <w:b/>
                <w:bCs/>
                <w:sz w:val="20"/>
                <w:szCs w:val="20"/>
              </w:rPr>
              <w:fldChar w:fldCharType="begin" w:fldLock="1"/>
            </w:r>
            <w:r w:rsidRPr="00960FD5">
              <w:rPr>
                <w:rFonts w:ascii="Times New Roman" w:hAnsi="Times New Roman"/>
                <w:b/>
                <w:bCs/>
                <w:sz w:val="20"/>
                <w:szCs w:val="20"/>
              </w:rPr>
              <w:instrText>ADDIN CSL_CITATION {"citationItems":[{"id":"ITEM-1","itemData":{"DOI":"10.7324/JAPS.2015.50419","ISSN":"22313354","abstract":"The present study was designed to determine the phytocomponents of the ethanol extract of N. nucifera seed using GC-MS. The phytochemical screening of the ethanolic extract of N. nucifera seed was performed using Perkin-Elmer Gas Chromatography - Mass Spectroscopy. GC-MS chromatogram of the ethanolic extract of N. nucifera seed showed thirty-eight peaks which indicating the presence of thirty-eight phytochemical constituents. The major phytochemical constituents are lupeol (22.95%), octadecatrienoic acid-2-[(trimethylsilyl)oxy]-1- [[(trimethylsilyl)oxy] methyl]ethyl ester (Z,Z,Z) (7.86%), 2,3-dihydroxypropyl--cis-13-docosenoate (5.35%), oleanolic acid(5.19%), tristrimethylsilyl ether derivative of 1,25-dihydroxyvitamin D2 (3.36%) ,trimethylsilyl derivative of 2-monoolein (3.26%), lucenin 2 (3.02%), lupanol (2.95%), tetraneurin-a-diol (2.78%), carotene- 1,1',2,2'-tetrahydro-1,1'-dimethoxy (2.32%), 1-oxo-forskolin (1.99%), oleic acid-3-hydroxypropyl ester (1.78%), oleic acid trimethylsilyl ester (1.69%), betulin (1.61%), à-amyrin-trimethylsilyl ether (1.49%), stigmast-5-en-3- ol-(3á,24S)(1.43%), flavone-4'-OH,5-OH,7-di-O-glucoside (1.11%). Among thirty-eight compounds identified, only twelve were reported to have biological activities. Our results indicate that N. nucifera seed contain various bioactive components.","author":[{"dropping-particle":"","family":"Abdelhamid","given":"Moustafa Salaheldin","non-dropping-particle":"","parse-names":false,"suffix":""},{"dropping-particle":"","family":"Kondratenko","given":"Elena Igorevna","non-dropping-particle":"","parse-names":false,"suffix":""},{"dropping-particle":"","family":"Lomteva","given":"Natalya Arkadievna","non-dropping-particle":"","parse-names":false,"suffix":""}],"container-title":"Journal of Applied Pharmaceutical Science","id":"ITEM-1","issue":"4","issued":{"date-parts":[["2015"]]},"page":"115-118","title":"GC-MS analysis of phytocomponents in the ethanolic extract of Nelumbo nucifera seeds from Russia","type":"article-journal","volume":"5"},"uris":["http://www.mendeley.com/documents/?uuid=a3e77a59-a0ee-3acd-9a2b-0d9367967b14"]}],"mendeley":{"formattedCitation":"(Abdelhamid et al., 2015)","plainTextFormattedCitation":"(Abdelhamid et al., 2015)","previouslyFormattedCitation":"(Abdelhamid et al., 2015)"},"properties":{"noteIndex":0},"schema":"https://github.com/citation-style-language/schema/raw/master/csl-citation.json"}</w:instrText>
            </w:r>
            <w:r w:rsidRPr="00960FD5">
              <w:rPr>
                <w:rFonts w:ascii="Times New Roman" w:hAnsi="Times New Roman"/>
                <w:b/>
                <w:bCs/>
                <w:sz w:val="20"/>
                <w:szCs w:val="20"/>
              </w:rPr>
              <w:fldChar w:fldCharType="separate"/>
            </w:r>
            <w:r w:rsidRPr="00960FD5">
              <w:rPr>
                <w:rFonts w:ascii="Times New Roman" w:hAnsi="Times New Roman"/>
                <w:bCs/>
                <w:noProof/>
                <w:sz w:val="20"/>
                <w:szCs w:val="20"/>
              </w:rPr>
              <w:t>(Abdelhamid et al., 2015)</w:t>
            </w:r>
            <w:r w:rsidRPr="00960FD5">
              <w:rPr>
                <w:rFonts w:ascii="Times New Roman" w:hAnsi="Times New Roman"/>
                <w:b/>
                <w:bCs/>
                <w:sz w:val="20"/>
                <w:szCs w:val="20"/>
              </w:rPr>
              <w:fldChar w:fldCharType="end"/>
            </w:r>
          </w:p>
        </w:tc>
      </w:tr>
      <w:tr w:rsidR="00960FD5" w:rsidRPr="00960FD5" w14:paraId="623CD4A3" w14:textId="77777777" w:rsidTr="00960FD5">
        <w:trPr>
          <w:trHeight w:val="770"/>
        </w:trPr>
        <w:tc>
          <w:tcPr>
            <w:tcW w:w="961" w:type="dxa"/>
            <w:shd w:val="clear" w:color="auto" w:fill="auto"/>
            <w:vAlign w:val="center"/>
          </w:tcPr>
          <w:p w14:paraId="0E1DDB21" w14:textId="77777777" w:rsidR="00960FD5" w:rsidRPr="00960FD5" w:rsidRDefault="00960FD5" w:rsidP="00960FD5">
            <w:pPr>
              <w:spacing w:before="240" w:after="0" w:line="240" w:lineRule="auto"/>
              <w:jc w:val="center"/>
              <w:rPr>
                <w:rFonts w:ascii="Times New Roman" w:hAnsi="Times New Roman"/>
                <w:sz w:val="20"/>
                <w:szCs w:val="20"/>
              </w:rPr>
            </w:pPr>
            <w:r w:rsidRPr="00960FD5">
              <w:rPr>
                <w:rFonts w:ascii="Times New Roman" w:hAnsi="Times New Roman"/>
                <w:sz w:val="20"/>
                <w:szCs w:val="20"/>
              </w:rPr>
              <w:t>5</w:t>
            </w:r>
          </w:p>
        </w:tc>
        <w:tc>
          <w:tcPr>
            <w:tcW w:w="1517" w:type="dxa"/>
            <w:vAlign w:val="center"/>
          </w:tcPr>
          <w:p w14:paraId="2A6C3C1C" w14:textId="77777777" w:rsidR="00960FD5" w:rsidRPr="00960FD5" w:rsidRDefault="00960FD5" w:rsidP="00960FD5">
            <w:pPr>
              <w:spacing w:before="240" w:after="0" w:line="240" w:lineRule="auto"/>
              <w:jc w:val="center"/>
              <w:rPr>
                <w:rFonts w:ascii="Times New Roman" w:hAnsi="Times New Roman"/>
                <w:sz w:val="20"/>
                <w:szCs w:val="20"/>
              </w:rPr>
            </w:pPr>
            <w:r w:rsidRPr="00960FD5">
              <w:rPr>
                <w:rFonts w:ascii="Times New Roman" w:hAnsi="Times New Roman"/>
                <w:sz w:val="20"/>
                <w:szCs w:val="20"/>
              </w:rPr>
              <w:t>22.820</w:t>
            </w:r>
          </w:p>
        </w:tc>
        <w:tc>
          <w:tcPr>
            <w:tcW w:w="3450" w:type="dxa"/>
            <w:shd w:val="clear" w:color="auto" w:fill="auto"/>
            <w:vAlign w:val="center"/>
          </w:tcPr>
          <w:p w14:paraId="154ABDB7" w14:textId="77777777" w:rsidR="00960FD5" w:rsidRPr="00960FD5" w:rsidRDefault="00960FD5" w:rsidP="00960FD5">
            <w:pPr>
              <w:spacing w:before="240" w:after="0" w:line="240" w:lineRule="auto"/>
              <w:jc w:val="center"/>
              <w:rPr>
                <w:rFonts w:ascii="Times New Roman" w:hAnsi="Times New Roman"/>
                <w:sz w:val="20"/>
                <w:szCs w:val="20"/>
              </w:rPr>
            </w:pPr>
            <w:bookmarkStart w:id="2" w:name="_Hlk117415137"/>
            <w:r w:rsidRPr="00960FD5">
              <w:rPr>
                <w:rFonts w:ascii="Times New Roman" w:hAnsi="Times New Roman"/>
                <w:sz w:val="20"/>
                <w:szCs w:val="20"/>
              </w:rPr>
              <w:t>9-Octadecenoic acid (z)-, methyl ester</w:t>
            </w:r>
            <w:bookmarkEnd w:id="2"/>
            <w:r w:rsidRPr="00960FD5">
              <w:rPr>
                <w:rFonts w:ascii="Times New Roman" w:hAnsi="Times New Roman"/>
                <w:sz w:val="20"/>
                <w:szCs w:val="20"/>
              </w:rPr>
              <w:t xml:space="preserve"> [5364509]</w:t>
            </w:r>
          </w:p>
        </w:tc>
        <w:tc>
          <w:tcPr>
            <w:tcW w:w="2152" w:type="dxa"/>
            <w:shd w:val="clear" w:color="auto" w:fill="auto"/>
            <w:vAlign w:val="center"/>
          </w:tcPr>
          <w:p w14:paraId="6F5CCA27" w14:textId="77777777" w:rsidR="00960FD5" w:rsidRPr="00960FD5" w:rsidRDefault="00960FD5" w:rsidP="00960FD5">
            <w:pPr>
              <w:spacing w:before="240" w:after="0" w:line="240" w:lineRule="auto"/>
              <w:jc w:val="center"/>
              <w:rPr>
                <w:rFonts w:ascii="Times New Roman" w:hAnsi="Times New Roman"/>
                <w:b/>
                <w:bCs/>
                <w:sz w:val="20"/>
                <w:szCs w:val="20"/>
              </w:rPr>
            </w:pPr>
            <w:r w:rsidRPr="00960FD5">
              <w:rPr>
                <w:rFonts w:ascii="Times New Roman" w:hAnsi="Times New Roman"/>
                <w:sz w:val="20"/>
                <w:szCs w:val="20"/>
              </w:rPr>
              <w:t>Anti-inflammatory activity</w:t>
            </w:r>
          </w:p>
        </w:tc>
        <w:tc>
          <w:tcPr>
            <w:tcW w:w="2677" w:type="dxa"/>
            <w:shd w:val="clear" w:color="auto" w:fill="auto"/>
            <w:vAlign w:val="center"/>
          </w:tcPr>
          <w:p w14:paraId="55C42E9B" w14:textId="77777777" w:rsidR="00960FD5" w:rsidRPr="00960FD5" w:rsidRDefault="00960FD5" w:rsidP="00960FD5">
            <w:pPr>
              <w:spacing w:before="240" w:after="0" w:line="240" w:lineRule="auto"/>
              <w:jc w:val="center"/>
              <w:rPr>
                <w:rFonts w:ascii="Times New Roman" w:hAnsi="Times New Roman"/>
                <w:b/>
                <w:bCs/>
                <w:sz w:val="20"/>
                <w:szCs w:val="20"/>
              </w:rPr>
            </w:pPr>
            <w:r w:rsidRPr="00960FD5">
              <w:rPr>
                <w:rFonts w:ascii="Times New Roman" w:hAnsi="Times New Roman"/>
                <w:b/>
                <w:bCs/>
                <w:sz w:val="20"/>
                <w:szCs w:val="20"/>
              </w:rPr>
              <w:fldChar w:fldCharType="begin" w:fldLock="1"/>
            </w:r>
            <w:r w:rsidRPr="00960FD5">
              <w:rPr>
                <w:rFonts w:ascii="Times New Roman" w:hAnsi="Times New Roman"/>
                <w:b/>
                <w:bCs/>
                <w:sz w:val="20"/>
                <w:szCs w:val="20"/>
              </w:rPr>
              <w:instrText>ADDIN CSL_CITATION {"citationItems":[{"id":"ITEM-1","itemData":{"DOI":"10.1155/2014/567409","abstract":"Objective . To explore the possible bioactive compounds in the methanolic extracts of leaf, stem, and tuber parts of the medicinal climber, Solena amplexicaulis , using GC-MS. Methods . GC-MS analysis of the plant extracts were performed by using GC-MS-5975C [Agilent] and mass spectra of the compounds found in the extract was matched with the data in the library of National Institute of Standards and Technology (NIST). Results . Thirty-five compounds were determined to be present in the parts studied. The active principles with their retention time, molecular formula, molecular weight, peak area, structure, category of the compounds, and activities were predicted. The most prevailing compounds were phytol (38.24%) in leaf, 4-(4-ethoxyphenyl) but-3-en-2-one (56.90%) in stem, and 9,17-octadecadienal, (Z)- (21.77%) in tuber. Conclusion . This study revealed that the species S. amplexicaulis is a good source of many bioactive compounds like terpenes, triazines, esters, alkanes, alcohols, hydrocarbons, aldehydes, amides, and so forth. That justifies the traditional usage of this species.","author":[{"dropping-particle":"","family":"Krishnamoorthy","given":"Karthika","non-dropping-particle":"","parse-names":false,"suffix":""},{"dropping-particle":"","family":"Subramaniam","given":"Paulsamy","non-dropping-particle":"","parse-names":false,"suffix":""}],"container-title":"International Scholarly Research Notices","id":"ITEM-1","issued":{"date-parts":[["2014"]]},"page":"1-13","title":"Phytochemical Profiling of Leaf, Stem, and Tuber Parts of Solena amplexicaulis (Lam.) Gandhi Using GC-MS","type":"article-journal","volume":"2014"},"uris":["http://www.mendeley.com/documents/?uuid=d65ddcca-61ae-3414-b7f1-4705000b0b9d"]},{"id":"ITEM-2","itemData":{"DOI":"10.3329/bjp.v9i4.20420","ISSN":"19910088","abstract":"NF-κB controls cellular growth properties of cells and its regulation is key to the management of disease like cancer. Although plant-derived bioactives have been reported to inhibit NF-κB, there is limited knowledge on the interactions between the phytochemicals and NF-κB. In this study, we identified the phytochemicals in ethanolic extract of Cucurbita pepo using Gas Chromatography-Mass Spectroscopy technique and used in silico approach to understand the interaction between the identified phytochemicals and NF-κB using Molegro Virtual Docker. The docking algorithm showed that nine phytochemicals fit well into the pocket on NF-κB.. Our analysis showed that Lys144 is a prominent residue by involving in the binding of 9-octadecenoic acid (Z)-, methyl ester, hexadecanoic acid, methyl ester and octadecanoic acid, methyl ester with the moldock score of -55.5264, -57.4634 and -61.1258 respectively. Hence, the binding of these phytochemicals to NF-κB could be responsible for the anti-inflammatory and anti-cancer property of C. pepo.","author":[{"dropping-particle":"","family":"Rotimi","given":"Solomon O.","non-dropping-particle":"","parse-names":false,"suffix":""},{"dropping-particle":"","family":"Rotimi","given":"Oluwakemi Anuoluwapo","non-dropping-particle":"","parse-names":false,"suffix":""},{"dropping-particle":"","family":"Obembe","given":"Olawole O.","non-dropping-particle":"","parse-names":false,"suffix":""}],"container-title":"Bangladesh Journal of Pharmacology","id":"ITEM-2","issue":"4","issued":{"date-parts":[["2014"]]},"page":"551-556","title":"In silico analysis of compounds characterized from ethanolic extract of Cucurbita pepo with NF-κB-inhibitory potential","type":"article-journal","volume":"9"},"uris":["http://www.mendeley.com/documents/?uuid=1bed7c27-e8a1-443d-82b3-198c3b87d156"]}],"mendeley":{"formattedCitation":"(Krishnamoorthy and Subramaniam, 2014; Rotimi et al., 2014)","plainTextFormattedCitation":"(Krishnamoorthy and Subramaniam, 2014; Rotimi et al., 2014)","previouslyFormattedCitation":"(Krishnamoorthy and Subramaniam, 2014; Rotimi et al., 2014)"},"properties":{"noteIndex":0},"schema":"https://github.com/citation-style-language/schema/raw/master/csl-citation.json"}</w:instrText>
            </w:r>
            <w:r w:rsidRPr="00960FD5">
              <w:rPr>
                <w:rFonts w:ascii="Times New Roman" w:hAnsi="Times New Roman"/>
                <w:b/>
                <w:bCs/>
                <w:sz w:val="20"/>
                <w:szCs w:val="20"/>
              </w:rPr>
              <w:fldChar w:fldCharType="separate"/>
            </w:r>
            <w:r w:rsidRPr="00960FD5">
              <w:rPr>
                <w:rFonts w:ascii="Times New Roman" w:hAnsi="Times New Roman"/>
                <w:bCs/>
                <w:noProof/>
                <w:sz w:val="20"/>
                <w:szCs w:val="20"/>
              </w:rPr>
              <w:t>(Krishnamoorthy and Subramaniam, 2014; Rotimi et al., 2014)</w:t>
            </w:r>
            <w:r w:rsidRPr="00960FD5">
              <w:rPr>
                <w:rFonts w:ascii="Times New Roman" w:hAnsi="Times New Roman"/>
                <w:b/>
                <w:bCs/>
                <w:sz w:val="20"/>
                <w:szCs w:val="20"/>
              </w:rPr>
              <w:fldChar w:fldCharType="end"/>
            </w:r>
          </w:p>
        </w:tc>
      </w:tr>
      <w:tr w:rsidR="00960FD5" w:rsidRPr="00960FD5" w14:paraId="451B9B74" w14:textId="77777777" w:rsidTr="00960FD5">
        <w:trPr>
          <w:trHeight w:val="775"/>
        </w:trPr>
        <w:tc>
          <w:tcPr>
            <w:tcW w:w="961" w:type="dxa"/>
            <w:shd w:val="clear" w:color="auto" w:fill="auto"/>
            <w:vAlign w:val="center"/>
          </w:tcPr>
          <w:p w14:paraId="52B6535F" w14:textId="77777777" w:rsidR="00960FD5" w:rsidRPr="00960FD5" w:rsidRDefault="00960FD5" w:rsidP="00960FD5">
            <w:pPr>
              <w:spacing w:before="240" w:after="0" w:line="240" w:lineRule="auto"/>
              <w:jc w:val="center"/>
              <w:rPr>
                <w:rFonts w:ascii="Times New Roman" w:hAnsi="Times New Roman"/>
                <w:sz w:val="20"/>
                <w:szCs w:val="20"/>
              </w:rPr>
            </w:pPr>
            <w:r w:rsidRPr="00960FD5">
              <w:rPr>
                <w:rFonts w:ascii="Times New Roman" w:hAnsi="Times New Roman"/>
                <w:sz w:val="20"/>
                <w:szCs w:val="20"/>
              </w:rPr>
              <w:t>6</w:t>
            </w:r>
          </w:p>
        </w:tc>
        <w:tc>
          <w:tcPr>
            <w:tcW w:w="1517" w:type="dxa"/>
            <w:vAlign w:val="center"/>
          </w:tcPr>
          <w:p w14:paraId="37A93B67" w14:textId="77777777" w:rsidR="00960FD5" w:rsidRPr="00960FD5" w:rsidRDefault="00960FD5" w:rsidP="00960FD5">
            <w:pPr>
              <w:spacing w:before="240" w:after="0" w:line="240" w:lineRule="auto"/>
              <w:jc w:val="center"/>
              <w:rPr>
                <w:rFonts w:ascii="Times New Roman" w:hAnsi="Times New Roman"/>
                <w:sz w:val="20"/>
                <w:szCs w:val="20"/>
              </w:rPr>
            </w:pPr>
            <w:r w:rsidRPr="00960FD5">
              <w:rPr>
                <w:rFonts w:ascii="Times New Roman" w:hAnsi="Times New Roman"/>
                <w:sz w:val="20"/>
                <w:szCs w:val="20"/>
              </w:rPr>
              <w:t>23.070</w:t>
            </w:r>
          </w:p>
        </w:tc>
        <w:tc>
          <w:tcPr>
            <w:tcW w:w="3450" w:type="dxa"/>
            <w:shd w:val="clear" w:color="auto" w:fill="auto"/>
            <w:vAlign w:val="center"/>
          </w:tcPr>
          <w:p w14:paraId="7258BABA" w14:textId="77777777" w:rsidR="00960FD5" w:rsidRPr="00960FD5" w:rsidRDefault="00960FD5" w:rsidP="00960FD5">
            <w:pPr>
              <w:spacing w:before="240" w:after="0" w:line="240" w:lineRule="auto"/>
              <w:jc w:val="center"/>
              <w:rPr>
                <w:rFonts w:ascii="Times New Roman" w:hAnsi="Times New Roman"/>
                <w:sz w:val="20"/>
                <w:szCs w:val="20"/>
              </w:rPr>
            </w:pPr>
            <w:r w:rsidRPr="00960FD5">
              <w:rPr>
                <w:rFonts w:ascii="Times New Roman" w:hAnsi="Times New Roman"/>
                <w:sz w:val="20"/>
                <w:szCs w:val="20"/>
              </w:rPr>
              <w:t>1,2-Benzenedicarboxylic acid, bis(2-ethylhexyl) ester [8343]</w:t>
            </w:r>
          </w:p>
        </w:tc>
        <w:tc>
          <w:tcPr>
            <w:tcW w:w="2152" w:type="dxa"/>
            <w:shd w:val="clear" w:color="auto" w:fill="auto"/>
            <w:vAlign w:val="center"/>
          </w:tcPr>
          <w:p w14:paraId="51006961" w14:textId="77777777" w:rsidR="00960FD5" w:rsidRPr="00960FD5" w:rsidRDefault="00960FD5" w:rsidP="00960FD5">
            <w:pPr>
              <w:spacing w:before="240" w:after="0" w:line="240" w:lineRule="auto"/>
              <w:jc w:val="center"/>
              <w:rPr>
                <w:rFonts w:ascii="Times New Roman" w:hAnsi="Times New Roman"/>
                <w:b/>
                <w:bCs/>
                <w:sz w:val="20"/>
                <w:szCs w:val="20"/>
              </w:rPr>
            </w:pPr>
            <w:r w:rsidRPr="00960FD5">
              <w:rPr>
                <w:rFonts w:ascii="Times New Roman" w:hAnsi="Times New Roman"/>
                <w:sz w:val="20"/>
                <w:szCs w:val="20"/>
              </w:rPr>
              <w:t>Anti-inflammatory activity</w:t>
            </w:r>
          </w:p>
        </w:tc>
        <w:tc>
          <w:tcPr>
            <w:tcW w:w="2677" w:type="dxa"/>
            <w:shd w:val="clear" w:color="auto" w:fill="auto"/>
            <w:vAlign w:val="center"/>
          </w:tcPr>
          <w:p w14:paraId="17D7992A" w14:textId="77777777" w:rsidR="00960FD5" w:rsidRPr="00960FD5" w:rsidRDefault="00960FD5" w:rsidP="00960FD5">
            <w:pPr>
              <w:spacing w:before="240" w:after="0" w:line="240" w:lineRule="auto"/>
              <w:jc w:val="center"/>
              <w:rPr>
                <w:rFonts w:ascii="Times New Roman" w:hAnsi="Times New Roman"/>
                <w:b/>
                <w:bCs/>
                <w:sz w:val="20"/>
                <w:szCs w:val="20"/>
              </w:rPr>
            </w:pPr>
            <w:r w:rsidRPr="00960FD5">
              <w:rPr>
                <w:rFonts w:ascii="Times New Roman" w:hAnsi="Times New Roman"/>
                <w:b/>
                <w:bCs/>
                <w:sz w:val="20"/>
                <w:szCs w:val="20"/>
              </w:rPr>
              <w:fldChar w:fldCharType="begin" w:fldLock="1"/>
            </w:r>
            <w:r w:rsidRPr="00960FD5">
              <w:rPr>
                <w:rFonts w:ascii="Times New Roman" w:hAnsi="Times New Roman"/>
                <w:b/>
                <w:bCs/>
                <w:sz w:val="20"/>
                <w:szCs w:val="20"/>
              </w:rPr>
              <w:instrText>ADDIN CSL_CITATION {"citationItems":[{"id":"ITEM-1","itemData":{"author":[{"dropping-particle":"","family":"Sweetlin","given":"P.","non-dropping-particle":"","parse-names":false,"suffix":""},{"dropping-particle":"","family":"Daniel","given":"R.R.","non-dropping-particle":"","parse-names":false,"suffix":""}],"container-title":"Journal of Natural Remedies","id":"ITEM-1","issue":"7","issued":{"date-parts":[["2020"]]},"page":"11-16","title":"Determination of bioactive compounds in ethanolic extract of callus derived from Mucuna pruriens using gas chromatography and mass spectroscopic technique.","type":"article-journal","volume":"21"},"uris":["http://www.mendeley.com/documents/?uuid=974d05c5-66dd-49f8-97e0-2d08b01156c2"]}],"mendeley":{"formattedCitation":"(Sweetlin and Daniel, 2020)","plainTextFormattedCitation":"(Sweetlin and Daniel, 2020)","previouslyFormattedCitation":"(Sweetlin and Daniel, 2020)"},"properties":{"noteIndex":0},"schema":"https://github.com/citation-style-language/schema/raw/master/csl-citation.json"}</w:instrText>
            </w:r>
            <w:r w:rsidRPr="00960FD5">
              <w:rPr>
                <w:rFonts w:ascii="Times New Roman" w:hAnsi="Times New Roman"/>
                <w:b/>
                <w:bCs/>
                <w:sz w:val="20"/>
                <w:szCs w:val="20"/>
              </w:rPr>
              <w:fldChar w:fldCharType="separate"/>
            </w:r>
            <w:r w:rsidRPr="00960FD5">
              <w:rPr>
                <w:rFonts w:ascii="Times New Roman" w:hAnsi="Times New Roman"/>
                <w:bCs/>
                <w:noProof/>
                <w:sz w:val="20"/>
                <w:szCs w:val="20"/>
              </w:rPr>
              <w:t>(Sweetlin and Daniel, 2020)</w:t>
            </w:r>
            <w:r w:rsidRPr="00960FD5">
              <w:rPr>
                <w:rFonts w:ascii="Times New Roman" w:hAnsi="Times New Roman"/>
                <w:b/>
                <w:bCs/>
                <w:sz w:val="20"/>
                <w:szCs w:val="20"/>
              </w:rPr>
              <w:fldChar w:fldCharType="end"/>
            </w:r>
          </w:p>
        </w:tc>
      </w:tr>
      <w:tr w:rsidR="00960FD5" w:rsidRPr="00960FD5" w14:paraId="3518E2E9" w14:textId="77777777" w:rsidTr="00960FD5">
        <w:trPr>
          <w:trHeight w:val="474"/>
        </w:trPr>
        <w:tc>
          <w:tcPr>
            <w:tcW w:w="961" w:type="dxa"/>
            <w:shd w:val="clear" w:color="auto" w:fill="auto"/>
            <w:vAlign w:val="center"/>
          </w:tcPr>
          <w:p w14:paraId="4F2777A6" w14:textId="77777777" w:rsidR="00960FD5" w:rsidRPr="00960FD5" w:rsidRDefault="00960FD5" w:rsidP="00960FD5">
            <w:pPr>
              <w:spacing w:before="240" w:after="0" w:line="240" w:lineRule="auto"/>
              <w:jc w:val="center"/>
              <w:rPr>
                <w:rFonts w:ascii="Times New Roman" w:hAnsi="Times New Roman"/>
                <w:sz w:val="20"/>
                <w:szCs w:val="20"/>
              </w:rPr>
            </w:pPr>
            <w:bookmarkStart w:id="3" w:name="_Hlk117415742"/>
            <w:r w:rsidRPr="00960FD5">
              <w:rPr>
                <w:rFonts w:ascii="Times New Roman" w:hAnsi="Times New Roman"/>
                <w:sz w:val="20"/>
                <w:szCs w:val="20"/>
              </w:rPr>
              <w:t>7</w:t>
            </w:r>
          </w:p>
        </w:tc>
        <w:tc>
          <w:tcPr>
            <w:tcW w:w="1517" w:type="dxa"/>
            <w:vAlign w:val="center"/>
          </w:tcPr>
          <w:p w14:paraId="3825F239" w14:textId="77777777" w:rsidR="00960FD5" w:rsidRPr="00960FD5" w:rsidRDefault="00960FD5" w:rsidP="00960FD5">
            <w:pPr>
              <w:spacing w:before="240" w:after="0" w:line="240" w:lineRule="auto"/>
              <w:jc w:val="center"/>
              <w:rPr>
                <w:rFonts w:ascii="Times New Roman" w:hAnsi="Times New Roman"/>
                <w:sz w:val="20"/>
                <w:szCs w:val="20"/>
              </w:rPr>
            </w:pPr>
            <w:r w:rsidRPr="00960FD5">
              <w:rPr>
                <w:rFonts w:ascii="Times New Roman" w:hAnsi="Times New Roman"/>
                <w:sz w:val="20"/>
                <w:szCs w:val="20"/>
              </w:rPr>
              <w:t>30.751</w:t>
            </w:r>
          </w:p>
        </w:tc>
        <w:tc>
          <w:tcPr>
            <w:tcW w:w="3450" w:type="dxa"/>
            <w:shd w:val="clear" w:color="auto" w:fill="auto"/>
            <w:vAlign w:val="center"/>
          </w:tcPr>
          <w:p w14:paraId="22CA4329" w14:textId="77777777" w:rsidR="00960FD5" w:rsidRPr="00960FD5" w:rsidRDefault="00960FD5" w:rsidP="00960FD5">
            <w:pPr>
              <w:spacing w:before="240" w:after="0" w:line="240" w:lineRule="auto"/>
              <w:jc w:val="center"/>
              <w:rPr>
                <w:rFonts w:ascii="Times New Roman" w:hAnsi="Times New Roman"/>
                <w:sz w:val="20"/>
                <w:szCs w:val="20"/>
              </w:rPr>
            </w:pPr>
            <w:r w:rsidRPr="00960FD5">
              <w:rPr>
                <w:rFonts w:ascii="Times New Roman" w:hAnsi="Times New Roman"/>
                <w:sz w:val="20"/>
                <w:szCs w:val="20"/>
              </w:rPr>
              <w:t>Stigmasta-3,5-dien-7-one [12444466]</w:t>
            </w:r>
          </w:p>
          <w:p w14:paraId="447F3630" w14:textId="77777777" w:rsidR="00960FD5" w:rsidRPr="00960FD5" w:rsidRDefault="00960FD5" w:rsidP="00960FD5">
            <w:pPr>
              <w:spacing w:before="240" w:after="0" w:line="240" w:lineRule="auto"/>
              <w:jc w:val="center"/>
              <w:rPr>
                <w:rFonts w:ascii="Times New Roman" w:hAnsi="Times New Roman"/>
                <w:sz w:val="20"/>
                <w:szCs w:val="20"/>
              </w:rPr>
            </w:pPr>
          </w:p>
        </w:tc>
        <w:tc>
          <w:tcPr>
            <w:tcW w:w="2152" w:type="dxa"/>
            <w:shd w:val="clear" w:color="auto" w:fill="auto"/>
            <w:vAlign w:val="center"/>
          </w:tcPr>
          <w:p w14:paraId="5F4EB56A" w14:textId="77777777" w:rsidR="00960FD5" w:rsidRPr="00960FD5" w:rsidRDefault="00960FD5" w:rsidP="00960FD5">
            <w:pPr>
              <w:spacing w:before="240" w:after="0" w:line="240" w:lineRule="auto"/>
              <w:jc w:val="center"/>
              <w:rPr>
                <w:rFonts w:ascii="Times New Roman" w:hAnsi="Times New Roman"/>
                <w:b/>
                <w:bCs/>
                <w:sz w:val="20"/>
                <w:szCs w:val="20"/>
              </w:rPr>
            </w:pPr>
            <w:r w:rsidRPr="00960FD5">
              <w:rPr>
                <w:rFonts w:ascii="Times New Roman" w:hAnsi="Times New Roman"/>
                <w:sz w:val="20"/>
                <w:szCs w:val="20"/>
              </w:rPr>
              <w:t>Anti-inflammatory activity</w:t>
            </w:r>
          </w:p>
        </w:tc>
        <w:tc>
          <w:tcPr>
            <w:tcW w:w="2677" w:type="dxa"/>
            <w:shd w:val="clear" w:color="auto" w:fill="auto"/>
            <w:vAlign w:val="center"/>
          </w:tcPr>
          <w:p w14:paraId="69928583" w14:textId="77777777" w:rsidR="00960FD5" w:rsidRPr="00960FD5" w:rsidRDefault="00960FD5" w:rsidP="00960FD5">
            <w:pPr>
              <w:spacing w:before="240" w:after="0" w:line="240" w:lineRule="auto"/>
              <w:jc w:val="center"/>
              <w:rPr>
                <w:rFonts w:ascii="Times New Roman" w:hAnsi="Times New Roman"/>
                <w:b/>
                <w:bCs/>
                <w:sz w:val="20"/>
                <w:szCs w:val="20"/>
              </w:rPr>
            </w:pPr>
            <w:r w:rsidRPr="00960FD5">
              <w:rPr>
                <w:rFonts w:ascii="Times New Roman" w:hAnsi="Times New Roman"/>
                <w:b/>
                <w:bCs/>
                <w:sz w:val="20"/>
                <w:szCs w:val="20"/>
              </w:rPr>
              <w:fldChar w:fldCharType="begin" w:fldLock="1"/>
            </w:r>
            <w:r w:rsidRPr="00960FD5">
              <w:rPr>
                <w:rFonts w:ascii="Times New Roman" w:hAnsi="Times New Roman"/>
                <w:b/>
                <w:bCs/>
                <w:sz w:val="20"/>
                <w:szCs w:val="20"/>
              </w:rPr>
              <w:instrText>ADDIN CSL_CITATION {"citationItems":[{"id":"ITEM-1","itemData":{"DOI":"10.1007/s10753-015-0299-6","ISBN":"1075301502996","ISSN":"15732576","PMID":"26707503","abstract":"Lipopolysaccharides (LPS) strongly stimulate immune cells, and unabated activation of immune system by LPS may lead to an exacerbation of sickness and depression. In this study, stigmasta-3,5-dien-7-one (ST) was isolated from Phragmitis rhizoma as a negative regulator of LPS-induced inflammation in macrophages. ST effectively reduced nitric oxide (NO), prostaglandin E2, and pro-inflammatory cytokine levels, which were markedly raised by LPS treatment. In addition, ST blocked the nuclear factor-kappa B (NF-κB) signaling pathway via down-regulation of phospho-p38 mitogen-activated protein kinase and phosphorylation and degradation of the inhibitor of NF-κB α. To our knowledge, this is the first study showing anti-inflammatory activities of ST isolated from Phragmitis rhizoma.","author":[{"dropping-particle":"","family":"Park","given":"Sook Jahr","non-dropping-particle":"","parse-names":false,"suffix":""},{"dropping-particle":"","family":"Kim","given":"Young Woo","non-dropping-particle":"","parse-names":false,"suffix":""},{"dropping-particle":"","family":"Park","given":"Moon Ki","non-dropping-particle":"","parse-names":false,"suffix":""},{"dropping-particle":"","family":"Byun","given":"Sung Hui","non-dropping-particle":"","parse-names":false,"suffix":""},{"dropping-particle":"","family":"Kim","given":"Sang Chan","non-dropping-particle":"","parse-names":false,"suffix":""},{"dropping-particle":"","family":"Lee","given":"Jong Rok","non-dropping-particle":"","parse-names":false,"suffix":""}],"container-title":"Inflammation","id":"ITEM-1","issue":"2","issued":{"date-parts":[["2016"]]},"page":"727-734","title":"Anti-inflammatory Steroid from Phragmitis rhizoma Modulates LPS-Mediated Signaling Through Inhibition of NF-κB Pathway","type":"article-journal","volume":"39"},"uris":["http://www.mendeley.com/documents/?uuid=6c0e4fc0-5231-4c58-aa84-07faac02b5ec"]}],"mendeley":{"formattedCitation":"(Park et al., 2016)","plainTextFormattedCitation":"(Park et al., 2016)","previouslyFormattedCitation":"(Park et al., 2016)"},"properties":{"noteIndex":0},"schema":"https://github.com/citation-style-language/schema/raw/master/csl-citation.json"}</w:instrText>
            </w:r>
            <w:r w:rsidRPr="00960FD5">
              <w:rPr>
                <w:rFonts w:ascii="Times New Roman" w:hAnsi="Times New Roman"/>
                <w:b/>
                <w:bCs/>
                <w:sz w:val="20"/>
                <w:szCs w:val="20"/>
              </w:rPr>
              <w:fldChar w:fldCharType="separate"/>
            </w:r>
            <w:r w:rsidRPr="00960FD5">
              <w:rPr>
                <w:rFonts w:ascii="Times New Roman" w:hAnsi="Times New Roman"/>
                <w:bCs/>
                <w:noProof/>
                <w:sz w:val="20"/>
                <w:szCs w:val="20"/>
              </w:rPr>
              <w:t>(Park et al., 2016)</w:t>
            </w:r>
            <w:r w:rsidRPr="00960FD5">
              <w:rPr>
                <w:rFonts w:ascii="Times New Roman" w:hAnsi="Times New Roman"/>
                <w:b/>
                <w:bCs/>
                <w:sz w:val="20"/>
                <w:szCs w:val="20"/>
              </w:rPr>
              <w:fldChar w:fldCharType="end"/>
            </w:r>
          </w:p>
        </w:tc>
      </w:tr>
      <w:bookmarkEnd w:id="3"/>
    </w:tbl>
    <w:p w14:paraId="26413AD3" w14:textId="3BD05C71" w:rsidR="00C52118" w:rsidRPr="00960FD5" w:rsidRDefault="00C52118" w:rsidP="00960FD5">
      <w:pPr>
        <w:rPr>
          <w:rFonts w:ascii="Times New Roman" w:hAnsi="Times New Roman"/>
          <w:b/>
          <w:bCs/>
          <w:sz w:val="20"/>
          <w:szCs w:val="20"/>
        </w:rPr>
      </w:pPr>
    </w:p>
    <w:p w14:paraId="621E1584" w14:textId="5A54CF5C" w:rsidR="00C52118" w:rsidRPr="00960FD5" w:rsidRDefault="00C52118" w:rsidP="00C52118">
      <w:pPr>
        <w:ind w:left="-851"/>
        <w:jc w:val="both"/>
        <w:rPr>
          <w:rFonts w:ascii="Times New Roman" w:hAnsi="Times New Roman"/>
          <w:b/>
          <w:bCs/>
          <w:sz w:val="20"/>
          <w:szCs w:val="20"/>
        </w:rPr>
      </w:pPr>
      <w:r w:rsidRPr="00960FD5">
        <w:rPr>
          <w:rFonts w:ascii="Times New Roman" w:hAnsi="Times New Roman"/>
          <w:b/>
          <w:bCs/>
          <w:sz w:val="20"/>
          <w:szCs w:val="20"/>
        </w:rPr>
        <w:t>References</w:t>
      </w:r>
    </w:p>
    <w:p w14:paraId="0AD433CB" w14:textId="3F1DA818" w:rsidR="00C52118" w:rsidRPr="00960FD5" w:rsidRDefault="00C52118" w:rsidP="003B6D43">
      <w:pPr>
        <w:widowControl w:val="0"/>
        <w:autoSpaceDE w:val="0"/>
        <w:autoSpaceDN w:val="0"/>
        <w:adjustRightInd w:val="0"/>
        <w:spacing w:line="240" w:lineRule="auto"/>
        <w:ind w:left="480" w:hanging="480"/>
        <w:jc w:val="both"/>
        <w:rPr>
          <w:rFonts w:ascii="Times New Roman" w:hAnsi="Times New Roman"/>
          <w:noProof/>
          <w:sz w:val="20"/>
          <w:szCs w:val="20"/>
        </w:rPr>
      </w:pPr>
      <w:r w:rsidRPr="00960FD5">
        <w:rPr>
          <w:rFonts w:ascii="Times New Roman" w:hAnsi="Times New Roman"/>
          <w:b/>
          <w:bCs/>
          <w:sz w:val="20"/>
          <w:szCs w:val="20"/>
        </w:rPr>
        <w:fldChar w:fldCharType="begin" w:fldLock="1"/>
      </w:r>
      <w:r w:rsidRPr="00960FD5">
        <w:rPr>
          <w:rFonts w:ascii="Times New Roman" w:hAnsi="Times New Roman"/>
          <w:b/>
          <w:bCs/>
          <w:sz w:val="20"/>
          <w:szCs w:val="20"/>
        </w:rPr>
        <w:instrText xml:space="preserve">ADDIN Mendeley Bibliography CSL_BIBLIOGRAPHY </w:instrText>
      </w:r>
      <w:r w:rsidRPr="00960FD5">
        <w:rPr>
          <w:rFonts w:ascii="Times New Roman" w:hAnsi="Times New Roman"/>
          <w:b/>
          <w:bCs/>
          <w:sz w:val="20"/>
          <w:szCs w:val="20"/>
        </w:rPr>
        <w:fldChar w:fldCharType="separate"/>
      </w:r>
      <w:r w:rsidRPr="00960FD5">
        <w:rPr>
          <w:rFonts w:ascii="Times New Roman" w:hAnsi="Times New Roman"/>
          <w:noProof/>
          <w:sz w:val="20"/>
          <w:szCs w:val="20"/>
        </w:rPr>
        <w:t xml:space="preserve">Abdelhamid, M. S., Kondratenko, E. I., and Lomteva, N. A. (2015). GC-MS analysis of phytocomponents in the ethanolic extract of Nelumbo nucifera seeds from Russia. </w:t>
      </w:r>
      <w:r w:rsidRPr="00960FD5">
        <w:rPr>
          <w:rFonts w:ascii="Times New Roman" w:hAnsi="Times New Roman"/>
          <w:i/>
          <w:iCs/>
          <w:noProof/>
          <w:sz w:val="20"/>
          <w:szCs w:val="20"/>
        </w:rPr>
        <w:t>J. Appl. Pharm. Sci.</w:t>
      </w:r>
      <w:r w:rsidRPr="00960FD5">
        <w:rPr>
          <w:rFonts w:ascii="Times New Roman" w:hAnsi="Times New Roman"/>
          <w:noProof/>
          <w:sz w:val="20"/>
          <w:szCs w:val="20"/>
        </w:rPr>
        <w:t xml:space="preserve"> 5, 115–118. doi: 10.7324/JAPS.2015.50419.</w:t>
      </w:r>
    </w:p>
    <w:p w14:paraId="09D3BBE1" w14:textId="77777777" w:rsidR="00C52118" w:rsidRPr="00960FD5" w:rsidRDefault="00C52118" w:rsidP="003B6D43">
      <w:pPr>
        <w:widowControl w:val="0"/>
        <w:autoSpaceDE w:val="0"/>
        <w:autoSpaceDN w:val="0"/>
        <w:adjustRightInd w:val="0"/>
        <w:spacing w:line="240" w:lineRule="auto"/>
        <w:ind w:left="480" w:hanging="480"/>
        <w:jc w:val="both"/>
        <w:rPr>
          <w:rFonts w:ascii="Times New Roman" w:hAnsi="Times New Roman"/>
          <w:noProof/>
          <w:sz w:val="20"/>
          <w:szCs w:val="20"/>
        </w:rPr>
      </w:pPr>
      <w:r w:rsidRPr="00960FD5">
        <w:rPr>
          <w:rFonts w:ascii="Times New Roman" w:hAnsi="Times New Roman"/>
          <w:noProof/>
          <w:sz w:val="20"/>
          <w:szCs w:val="20"/>
        </w:rPr>
        <w:t xml:space="preserve">Anyasor, G. N., Funmilayo, O., Odutola, O., Olugbenga, A., and Oboutor, E. M. (2015). Evaluation of Costus afer Ker Gawl. in vitro anti-inflammatory activity and its chemical constituents identified using gas chromatography-mass spectrometry analysis. </w:t>
      </w:r>
      <w:r w:rsidRPr="00960FD5">
        <w:rPr>
          <w:rFonts w:ascii="Times New Roman" w:hAnsi="Times New Roman"/>
          <w:i/>
          <w:iCs/>
          <w:noProof/>
          <w:sz w:val="20"/>
          <w:szCs w:val="20"/>
        </w:rPr>
        <w:t>J. Coast. Life Med.</w:t>
      </w:r>
      <w:r w:rsidRPr="00960FD5">
        <w:rPr>
          <w:rFonts w:ascii="Times New Roman" w:hAnsi="Times New Roman"/>
          <w:noProof/>
          <w:sz w:val="20"/>
          <w:szCs w:val="20"/>
        </w:rPr>
        <w:t xml:space="preserve"> 3, 132–138. doi: 10.12980/jclm.3.2015apjtb-2014-0186.</w:t>
      </w:r>
    </w:p>
    <w:p w14:paraId="1ADB6502" w14:textId="77777777" w:rsidR="00C52118" w:rsidRPr="00960FD5" w:rsidRDefault="00C52118" w:rsidP="003B6D43">
      <w:pPr>
        <w:widowControl w:val="0"/>
        <w:autoSpaceDE w:val="0"/>
        <w:autoSpaceDN w:val="0"/>
        <w:adjustRightInd w:val="0"/>
        <w:spacing w:line="240" w:lineRule="auto"/>
        <w:ind w:left="480" w:hanging="480"/>
        <w:jc w:val="both"/>
        <w:rPr>
          <w:rFonts w:ascii="Times New Roman" w:hAnsi="Times New Roman"/>
          <w:noProof/>
          <w:sz w:val="20"/>
          <w:szCs w:val="20"/>
        </w:rPr>
      </w:pPr>
      <w:r w:rsidRPr="00960FD5">
        <w:rPr>
          <w:rFonts w:ascii="Times New Roman" w:hAnsi="Times New Roman"/>
          <w:noProof/>
          <w:sz w:val="20"/>
          <w:szCs w:val="20"/>
        </w:rPr>
        <w:t xml:space="preserve">Aparna, V., Dileep, K. V., Mandal, P. K., Karthe, P., Sadasivan, C., and Haridas, M. (2012). Anti-Inflammatory Property of n-Hexadecanoic Acid: Structural Evidence and Kinetic Assessment. </w:t>
      </w:r>
      <w:r w:rsidRPr="00960FD5">
        <w:rPr>
          <w:rFonts w:ascii="Times New Roman" w:hAnsi="Times New Roman"/>
          <w:i/>
          <w:iCs/>
          <w:noProof/>
          <w:sz w:val="20"/>
          <w:szCs w:val="20"/>
        </w:rPr>
        <w:t>Chem. Biol. Drug Des.</w:t>
      </w:r>
      <w:r w:rsidRPr="00960FD5">
        <w:rPr>
          <w:rFonts w:ascii="Times New Roman" w:hAnsi="Times New Roman"/>
          <w:noProof/>
          <w:sz w:val="20"/>
          <w:szCs w:val="20"/>
        </w:rPr>
        <w:t xml:space="preserve"> 80, 434–439. doi: 10.1111/j.1747-0285.2012.01418.x.</w:t>
      </w:r>
    </w:p>
    <w:p w14:paraId="6DBEAF07" w14:textId="77777777" w:rsidR="00C52118" w:rsidRPr="00960FD5" w:rsidRDefault="00C52118" w:rsidP="003B6D43">
      <w:pPr>
        <w:widowControl w:val="0"/>
        <w:autoSpaceDE w:val="0"/>
        <w:autoSpaceDN w:val="0"/>
        <w:adjustRightInd w:val="0"/>
        <w:spacing w:line="240" w:lineRule="auto"/>
        <w:ind w:left="480" w:hanging="480"/>
        <w:jc w:val="both"/>
        <w:rPr>
          <w:rFonts w:ascii="Times New Roman" w:hAnsi="Times New Roman"/>
          <w:noProof/>
          <w:sz w:val="20"/>
          <w:szCs w:val="20"/>
        </w:rPr>
      </w:pPr>
      <w:r w:rsidRPr="00960FD5">
        <w:rPr>
          <w:rFonts w:ascii="Times New Roman" w:hAnsi="Times New Roman"/>
          <w:noProof/>
          <w:sz w:val="20"/>
          <w:szCs w:val="20"/>
        </w:rPr>
        <w:t xml:space="preserve">Ban, J. O., Hwang, I. G., Kim, T. M., Hwang, B. Y., Lee, U. S., Jeong, H. S., et al. (2007). Anti-proliferate and pro-apoptotic effects of 2,3-dihydro-3,5-dihydroxy-6- methyl-4H-pyranone through inactivation of NF-κB in human colon cancer cells. </w:t>
      </w:r>
      <w:r w:rsidRPr="00960FD5">
        <w:rPr>
          <w:rFonts w:ascii="Times New Roman" w:hAnsi="Times New Roman"/>
          <w:i/>
          <w:iCs/>
          <w:noProof/>
          <w:sz w:val="20"/>
          <w:szCs w:val="20"/>
        </w:rPr>
        <w:t>Arch. Pharm. Res.</w:t>
      </w:r>
      <w:r w:rsidRPr="00960FD5">
        <w:rPr>
          <w:rFonts w:ascii="Times New Roman" w:hAnsi="Times New Roman"/>
          <w:noProof/>
          <w:sz w:val="20"/>
          <w:szCs w:val="20"/>
        </w:rPr>
        <w:t xml:space="preserve"> 30, 1455–1463. doi: 10.1007/bf02977371.</w:t>
      </w:r>
    </w:p>
    <w:p w14:paraId="474D8D50" w14:textId="77777777" w:rsidR="00C52118" w:rsidRPr="00960FD5" w:rsidRDefault="00C52118" w:rsidP="003B6D43">
      <w:pPr>
        <w:widowControl w:val="0"/>
        <w:autoSpaceDE w:val="0"/>
        <w:autoSpaceDN w:val="0"/>
        <w:adjustRightInd w:val="0"/>
        <w:spacing w:line="240" w:lineRule="auto"/>
        <w:ind w:left="480" w:hanging="480"/>
        <w:jc w:val="both"/>
        <w:rPr>
          <w:rFonts w:ascii="Times New Roman" w:hAnsi="Times New Roman"/>
          <w:noProof/>
          <w:sz w:val="20"/>
          <w:szCs w:val="20"/>
        </w:rPr>
      </w:pPr>
      <w:r w:rsidRPr="00960FD5">
        <w:rPr>
          <w:rFonts w:ascii="Times New Roman" w:hAnsi="Times New Roman"/>
          <w:noProof/>
          <w:sz w:val="20"/>
          <w:szCs w:val="20"/>
        </w:rPr>
        <w:t xml:space="preserve">Belakhdar, G., Benjouad, A., and Abdennebi, E. H. (2015). Determination of some bioactive chemical constituents from Thesium humile Vahl. </w:t>
      </w:r>
      <w:r w:rsidRPr="00960FD5">
        <w:rPr>
          <w:rFonts w:ascii="Times New Roman" w:hAnsi="Times New Roman"/>
          <w:i/>
          <w:iCs/>
          <w:noProof/>
          <w:sz w:val="20"/>
          <w:szCs w:val="20"/>
        </w:rPr>
        <w:t>J. Mater. Environ. Sci.</w:t>
      </w:r>
      <w:r w:rsidRPr="00960FD5">
        <w:rPr>
          <w:rFonts w:ascii="Times New Roman" w:hAnsi="Times New Roman"/>
          <w:noProof/>
          <w:sz w:val="20"/>
          <w:szCs w:val="20"/>
        </w:rPr>
        <w:t xml:space="preserve"> 6, 2778–2783.</w:t>
      </w:r>
    </w:p>
    <w:p w14:paraId="053313F4" w14:textId="77777777" w:rsidR="00C52118" w:rsidRPr="00960FD5" w:rsidRDefault="00C52118" w:rsidP="003B6D43">
      <w:pPr>
        <w:widowControl w:val="0"/>
        <w:autoSpaceDE w:val="0"/>
        <w:autoSpaceDN w:val="0"/>
        <w:adjustRightInd w:val="0"/>
        <w:spacing w:line="240" w:lineRule="auto"/>
        <w:ind w:left="480" w:hanging="480"/>
        <w:jc w:val="both"/>
        <w:rPr>
          <w:rFonts w:ascii="Times New Roman" w:hAnsi="Times New Roman"/>
          <w:noProof/>
          <w:sz w:val="20"/>
          <w:szCs w:val="20"/>
        </w:rPr>
      </w:pPr>
      <w:r w:rsidRPr="00960FD5">
        <w:rPr>
          <w:rFonts w:ascii="Times New Roman" w:hAnsi="Times New Roman"/>
          <w:noProof/>
          <w:sz w:val="20"/>
          <w:szCs w:val="20"/>
        </w:rPr>
        <w:t xml:space="preserve">Krishnamoorthy, K., and Subramaniam, P. (2014). Phytochemical Profiling of Leaf, Stem, and Tuber Parts of Solena amplexicaulis (Lam.) Gandhi Using GC-MS. </w:t>
      </w:r>
      <w:r w:rsidRPr="00960FD5">
        <w:rPr>
          <w:rFonts w:ascii="Times New Roman" w:hAnsi="Times New Roman"/>
          <w:i/>
          <w:iCs/>
          <w:noProof/>
          <w:sz w:val="20"/>
          <w:szCs w:val="20"/>
        </w:rPr>
        <w:t>Int. Sch. Res. Not.</w:t>
      </w:r>
      <w:r w:rsidRPr="00960FD5">
        <w:rPr>
          <w:rFonts w:ascii="Times New Roman" w:hAnsi="Times New Roman"/>
          <w:noProof/>
          <w:sz w:val="20"/>
          <w:szCs w:val="20"/>
        </w:rPr>
        <w:t xml:space="preserve"> 2014, 1–13. doi: </w:t>
      </w:r>
      <w:r w:rsidRPr="00960FD5">
        <w:rPr>
          <w:rFonts w:ascii="Times New Roman" w:hAnsi="Times New Roman"/>
          <w:noProof/>
          <w:sz w:val="20"/>
          <w:szCs w:val="20"/>
        </w:rPr>
        <w:lastRenderedPageBreak/>
        <w:t>10.1155/2014/567409.</w:t>
      </w:r>
    </w:p>
    <w:p w14:paraId="13911B9C" w14:textId="77777777" w:rsidR="00C52118" w:rsidRPr="00960FD5" w:rsidRDefault="00C52118" w:rsidP="003B6D43">
      <w:pPr>
        <w:widowControl w:val="0"/>
        <w:autoSpaceDE w:val="0"/>
        <w:autoSpaceDN w:val="0"/>
        <w:adjustRightInd w:val="0"/>
        <w:spacing w:line="240" w:lineRule="auto"/>
        <w:ind w:left="480" w:hanging="480"/>
        <w:jc w:val="both"/>
        <w:rPr>
          <w:rFonts w:ascii="Times New Roman" w:hAnsi="Times New Roman"/>
          <w:noProof/>
          <w:sz w:val="20"/>
          <w:szCs w:val="20"/>
        </w:rPr>
      </w:pPr>
      <w:r w:rsidRPr="00960FD5">
        <w:rPr>
          <w:rFonts w:ascii="Times New Roman" w:hAnsi="Times New Roman"/>
          <w:noProof/>
          <w:sz w:val="20"/>
          <w:szCs w:val="20"/>
        </w:rPr>
        <w:t xml:space="preserve">Park, S. J., Kim, Y. W., Park, M. K., Byun, S. H., Kim, S. C., and Lee, J. R. (2016). Anti-inflammatory Steroid from Phragmitis rhizoma Modulates LPS-Mediated Signaling Through Inhibition of NF-κB Pathway. </w:t>
      </w:r>
      <w:r w:rsidRPr="00960FD5">
        <w:rPr>
          <w:rFonts w:ascii="Times New Roman" w:hAnsi="Times New Roman"/>
          <w:i/>
          <w:iCs/>
          <w:noProof/>
          <w:sz w:val="20"/>
          <w:szCs w:val="20"/>
        </w:rPr>
        <w:t>Inflammation</w:t>
      </w:r>
      <w:r w:rsidRPr="00960FD5">
        <w:rPr>
          <w:rFonts w:ascii="Times New Roman" w:hAnsi="Times New Roman"/>
          <w:noProof/>
          <w:sz w:val="20"/>
          <w:szCs w:val="20"/>
        </w:rPr>
        <w:t xml:space="preserve"> 39, 727–734. doi: 10.1007/s10753-015-0299-6.</w:t>
      </w:r>
    </w:p>
    <w:p w14:paraId="40DCEA57" w14:textId="77777777" w:rsidR="00C52118" w:rsidRPr="00960FD5" w:rsidRDefault="00C52118" w:rsidP="003B6D43">
      <w:pPr>
        <w:widowControl w:val="0"/>
        <w:autoSpaceDE w:val="0"/>
        <w:autoSpaceDN w:val="0"/>
        <w:adjustRightInd w:val="0"/>
        <w:spacing w:line="240" w:lineRule="auto"/>
        <w:ind w:left="480" w:hanging="480"/>
        <w:jc w:val="both"/>
        <w:rPr>
          <w:rFonts w:ascii="Times New Roman" w:hAnsi="Times New Roman"/>
          <w:noProof/>
          <w:sz w:val="20"/>
          <w:szCs w:val="20"/>
        </w:rPr>
      </w:pPr>
      <w:r w:rsidRPr="00960FD5">
        <w:rPr>
          <w:rFonts w:ascii="Times New Roman" w:hAnsi="Times New Roman"/>
          <w:noProof/>
          <w:sz w:val="20"/>
          <w:szCs w:val="20"/>
        </w:rPr>
        <w:t xml:space="preserve">Rotimi, S. O., Rotimi, O. A., and Obembe, O. O. (2014). In silico analysis of compounds characterized from ethanolic extract of Cucurbita pepo with NF-κB-inhibitory potential. </w:t>
      </w:r>
      <w:r w:rsidRPr="00960FD5">
        <w:rPr>
          <w:rFonts w:ascii="Times New Roman" w:hAnsi="Times New Roman"/>
          <w:i/>
          <w:iCs/>
          <w:noProof/>
          <w:sz w:val="20"/>
          <w:szCs w:val="20"/>
        </w:rPr>
        <w:t>Bangladesh J. Pharmacol.</w:t>
      </w:r>
      <w:r w:rsidRPr="00960FD5">
        <w:rPr>
          <w:rFonts w:ascii="Times New Roman" w:hAnsi="Times New Roman"/>
          <w:noProof/>
          <w:sz w:val="20"/>
          <w:szCs w:val="20"/>
        </w:rPr>
        <w:t xml:space="preserve"> 9, 551–556. doi: 10.3329/bjp.v9i4.20420.</w:t>
      </w:r>
    </w:p>
    <w:p w14:paraId="7616EE0F" w14:textId="77777777" w:rsidR="00C52118" w:rsidRPr="00960FD5" w:rsidRDefault="00C52118" w:rsidP="003B6D43">
      <w:pPr>
        <w:widowControl w:val="0"/>
        <w:autoSpaceDE w:val="0"/>
        <w:autoSpaceDN w:val="0"/>
        <w:adjustRightInd w:val="0"/>
        <w:spacing w:line="240" w:lineRule="auto"/>
        <w:ind w:left="480" w:hanging="480"/>
        <w:jc w:val="both"/>
        <w:rPr>
          <w:rFonts w:ascii="Times New Roman" w:hAnsi="Times New Roman"/>
          <w:noProof/>
          <w:sz w:val="20"/>
          <w:szCs w:val="20"/>
        </w:rPr>
      </w:pPr>
      <w:r w:rsidRPr="00960FD5">
        <w:rPr>
          <w:rFonts w:ascii="Times New Roman" w:hAnsi="Times New Roman"/>
          <w:noProof/>
          <w:sz w:val="20"/>
          <w:szCs w:val="20"/>
        </w:rPr>
        <w:t xml:space="preserve">Sweetlin, P., and Daniel, R. R. (2020). Determination of bioactive compounds in ethanolic extract of callus derived from Mucuna pruriens using gas chromatography and mass spectroscopic technique. </w:t>
      </w:r>
      <w:r w:rsidRPr="00960FD5">
        <w:rPr>
          <w:rFonts w:ascii="Times New Roman" w:hAnsi="Times New Roman"/>
          <w:i/>
          <w:iCs/>
          <w:noProof/>
          <w:sz w:val="20"/>
          <w:szCs w:val="20"/>
        </w:rPr>
        <w:t>J. Nat. Remedies</w:t>
      </w:r>
      <w:r w:rsidRPr="00960FD5">
        <w:rPr>
          <w:rFonts w:ascii="Times New Roman" w:hAnsi="Times New Roman"/>
          <w:noProof/>
          <w:sz w:val="20"/>
          <w:szCs w:val="20"/>
        </w:rPr>
        <w:t xml:space="preserve"> 21, 11–16.</w:t>
      </w:r>
    </w:p>
    <w:p w14:paraId="02A3D24B" w14:textId="7821AE03" w:rsidR="00C52118" w:rsidRPr="00C52118" w:rsidRDefault="00C52118" w:rsidP="00C52118">
      <w:pPr>
        <w:ind w:left="-851"/>
        <w:jc w:val="both"/>
        <w:rPr>
          <w:rFonts w:ascii="Times New Roman" w:hAnsi="Times New Roman"/>
          <w:b/>
          <w:bCs/>
          <w:sz w:val="24"/>
          <w:szCs w:val="24"/>
        </w:rPr>
      </w:pPr>
      <w:r w:rsidRPr="00960FD5">
        <w:rPr>
          <w:rFonts w:ascii="Times New Roman" w:hAnsi="Times New Roman"/>
          <w:b/>
          <w:bCs/>
          <w:sz w:val="20"/>
          <w:szCs w:val="20"/>
        </w:rPr>
        <w:fldChar w:fldCharType="end"/>
      </w:r>
    </w:p>
    <w:sectPr w:rsidR="00C52118" w:rsidRPr="00C52118" w:rsidSect="00960FD5">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8BFB1" w14:textId="77777777" w:rsidR="00684F2B" w:rsidRDefault="00684F2B" w:rsidP="00960FD5">
      <w:pPr>
        <w:spacing w:after="0" w:line="240" w:lineRule="auto"/>
      </w:pPr>
      <w:r>
        <w:separator/>
      </w:r>
    </w:p>
  </w:endnote>
  <w:endnote w:type="continuationSeparator" w:id="0">
    <w:p w14:paraId="2C7C6620" w14:textId="77777777" w:rsidR="00684F2B" w:rsidRDefault="00684F2B" w:rsidP="00960F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0D907" w14:textId="77777777" w:rsidR="00684F2B" w:rsidRDefault="00684F2B" w:rsidP="00960FD5">
      <w:pPr>
        <w:spacing w:after="0" w:line="240" w:lineRule="auto"/>
      </w:pPr>
      <w:r>
        <w:separator/>
      </w:r>
    </w:p>
  </w:footnote>
  <w:footnote w:type="continuationSeparator" w:id="0">
    <w:p w14:paraId="129906B5" w14:textId="77777777" w:rsidR="00684F2B" w:rsidRDefault="00684F2B" w:rsidP="00960FD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25E"/>
    <w:rsid w:val="00172840"/>
    <w:rsid w:val="00244CE6"/>
    <w:rsid w:val="00287E32"/>
    <w:rsid w:val="003B6D43"/>
    <w:rsid w:val="004F048C"/>
    <w:rsid w:val="005757DE"/>
    <w:rsid w:val="005B5D60"/>
    <w:rsid w:val="00651EC7"/>
    <w:rsid w:val="00684F2B"/>
    <w:rsid w:val="00786C92"/>
    <w:rsid w:val="007B4B75"/>
    <w:rsid w:val="008E3190"/>
    <w:rsid w:val="0094425E"/>
    <w:rsid w:val="00960FD5"/>
    <w:rsid w:val="00984879"/>
    <w:rsid w:val="00AA1F7A"/>
    <w:rsid w:val="00C07675"/>
    <w:rsid w:val="00C52118"/>
    <w:rsid w:val="00D14641"/>
    <w:rsid w:val="00D64D9C"/>
    <w:rsid w:val="00DB097E"/>
    <w:rsid w:val="00E2066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D0707"/>
  <w15:chartTrackingRefBased/>
  <w15:docId w15:val="{7CB01027-7F84-4D5F-9CFD-B5A23CB7B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675"/>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0F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0FD5"/>
    <w:rPr>
      <w:rFonts w:ascii="Calibri" w:eastAsia="Calibri" w:hAnsi="Calibri" w:cs="Times New Roman"/>
    </w:rPr>
  </w:style>
  <w:style w:type="paragraph" w:styleId="Footer">
    <w:name w:val="footer"/>
    <w:basedOn w:val="Normal"/>
    <w:link w:val="FooterChar"/>
    <w:uiPriority w:val="99"/>
    <w:unhideWhenUsed/>
    <w:rsid w:val="00960F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0FD5"/>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8802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umenb123@rediffmail.com" TargetMode="External"/><Relationship Id="rId3" Type="http://schemas.openxmlformats.org/officeDocument/2006/relationships/settings" Target="settings.xml"/><Relationship Id="rId7" Type="http://schemas.openxmlformats.org/officeDocument/2006/relationships/hyperlink" Target="mailto:soumenb@nbu.ac.i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62EA2C-F31C-47DC-BC14-4461A4F5E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4575</Words>
  <Characters>26083</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Sourav Sarkar</dc:creator>
  <cp:keywords/>
  <dc:description/>
  <cp:lastModifiedBy>Sourav Sarkar</cp:lastModifiedBy>
  <cp:revision>22</cp:revision>
  <dcterms:created xsi:type="dcterms:W3CDTF">2022-12-09T16:58:00Z</dcterms:created>
  <dcterms:modified xsi:type="dcterms:W3CDTF">2023-03-07T05:45:00Z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http://www.zotero.org/styles/frontiers-in-pharmacology</vt:lpwstr>
  </property>
  <property fmtid="{D5CDD505-2E9C-101B-9397-08002B2CF9AE}" pid="15" name="Mendeley Recent Style Name 6_1">
    <vt:lpwstr>Frontiers in Pharmacology</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9th edition</vt:lpwstr>
  </property>
  <property fmtid="{D5CDD505-2E9C-101B-9397-08002B2CF9AE}" pid="22" name="Mendeley Document_1">
    <vt:lpwstr>True</vt:lpwstr>
  </property>
  <property fmtid="{D5CDD505-2E9C-101B-9397-08002B2CF9AE}" pid="23" name="Mendeley Unique User Id_1">
    <vt:lpwstr>085ffc84-b123-347e-ba12-d6fb162a0e3c</vt:lpwstr>
  </property>
  <property fmtid="{D5CDD505-2E9C-101B-9397-08002B2CF9AE}" pid="24" name="Mendeley Citation Style_1">
    <vt:lpwstr>http://www.zotero.org/styles/frontiers-in-pharmacology</vt:lpwstr>
  </property>
</Properties>
</file>