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2DDE4" w14:textId="77777777" w:rsidR="00022626" w:rsidRPr="00022626" w:rsidRDefault="00022626" w:rsidP="00022626">
      <w:pPr>
        <w:spacing w:line="256" w:lineRule="auto"/>
        <w:jc w:val="both"/>
        <w:rPr>
          <w:rFonts w:ascii="Times New Roman" w:eastAsia="Calibri" w:hAnsi="Times New Roman" w:cs="Times New Roman"/>
          <w:b/>
          <w:bCs/>
          <w:noProof/>
          <w:sz w:val="20"/>
          <w:szCs w:val="20"/>
        </w:rPr>
      </w:pPr>
      <w:r w:rsidRPr="00022626">
        <w:rPr>
          <w:rFonts w:ascii="Times New Roman" w:eastAsia="Calibri" w:hAnsi="Times New Roman" w:cs="Times New Roman"/>
          <w:b/>
          <w:bCs/>
          <w:noProof/>
          <w:sz w:val="20"/>
          <w:szCs w:val="20"/>
        </w:rPr>
        <w:t>Arcticle Title</w:t>
      </w:r>
    </w:p>
    <w:p w14:paraId="32B766D8" w14:textId="77777777" w:rsidR="00022626" w:rsidRPr="00022626" w:rsidRDefault="00022626" w:rsidP="00022626">
      <w:pPr>
        <w:spacing w:line="256" w:lineRule="auto"/>
        <w:jc w:val="both"/>
        <w:rPr>
          <w:rFonts w:ascii="Times New Roman" w:eastAsia="Calibri" w:hAnsi="Times New Roman" w:cs="Times New Roman"/>
          <w:noProof/>
          <w:sz w:val="20"/>
          <w:szCs w:val="20"/>
        </w:rPr>
      </w:pPr>
      <w:r w:rsidRPr="00022626">
        <w:rPr>
          <w:rFonts w:ascii="Times New Roman" w:eastAsia="Calibri" w:hAnsi="Times New Roman" w:cs="Times New Roman"/>
          <w:i/>
          <w:iCs/>
          <w:noProof/>
          <w:sz w:val="20"/>
          <w:szCs w:val="20"/>
        </w:rPr>
        <w:t>In silico</w:t>
      </w:r>
      <w:r w:rsidRPr="00022626">
        <w:rPr>
          <w:rFonts w:ascii="Times New Roman" w:eastAsia="Calibri" w:hAnsi="Times New Roman" w:cs="Times New Roman"/>
          <w:noProof/>
          <w:sz w:val="20"/>
          <w:szCs w:val="20"/>
        </w:rPr>
        <w:t xml:space="preserve"> molecular docking analysis of </w:t>
      </w:r>
      <w:r w:rsidRPr="00022626">
        <w:rPr>
          <w:rFonts w:ascii="Times New Roman" w:eastAsia="Calibri" w:hAnsi="Times New Roman" w:cs="Times New Roman"/>
          <w:i/>
          <w:iCs/>
          <w:noProof/>
          <w:sz w:val="20"/>
          <w:szCs w:val="20"/>
        </w:rPr>
        <w:t>Equisetum diffusum</w:t>
      </w:r>
      <w:r w:rsidRPr="00022626">
        <w:rPr>
          <w:rFonts w:ascii="Times New Roman" w:eastAsia="Calibri" w:hAnsi="Times New Roman" w:cs="Times New Roman"/>
          <w:noProof/>
          <w:sz w:val="20"/>
          <w:szCs w:val="20"/>
        </w:rPr>
        <w:t xml:space="preserve"> D. Don phytocompounds against potent inflammatory markers and validating its role through </w:t>
      </w:r>
      <w:r w:rsidRPr="00022626">
        <w:rPr>
          <w:rFonts w:ascii="Times New Roman" w:eastAsia="Calibri" w:hAnsi="Times New Roman" w:cs="Times New Roman"/>
          <w:i/>
          <w:iCs/>
          <w:noProof/>
          <w:sz w:val="20"/>
          <w:szCs w:val="20"/>
        </w:rPr>
        <w:t>in vitro</w:t>
      </w:r>
      <w:r w:rsidRPr="00022626">
        <w:rPr>
          <w:rFonts w:ascii="Times New Roman" w:eastAsia="Calibri" w:hAnsi="Times New Roman" w:cs="Times New Roman"/>
          <w:noProof/>
          <w:sz w:val="20"/>
          <w:szCs w:val="20"/>
        </w:rPr>
        <w:t xml:space="preserve"> and </w:t>
      </w:r>
      <w:r w:rsidRPr="00022626">
        <w:rPr>
          <w:rFonts w:ascii="Times New Roman" w:eastAsia="Calibri" w:hAnsi="Times New Roman" w:cs="Times New Roman"/>
          <w:i/>
          <w:iCs/>
          <w:noProof/>
          <w:sz w:val="20"/>
          <w:szCs w:val="20"/>
        </w:rPr>
        <w:t>in vivo</w:t>
      </w:r>
      <w:r w:rsidRPr="00022626">
        <w:rPr>
          <w:rFonts w:ascii="Times New Roman" w:eastAsia="Calibri" w:hAnsi="Times New Roman" w:cs="Times New Roman"/>
          <w:noProof/>
          <w:sz w:val="20"/>
          <w:szCs w:val="20"/>
        </w:rPr>
        <w:t xml:space="preserve"> anti-inflammatory assays.</w:t>
      </w:r>
    </w:p>
    <w:p w14:paraId="0E35304B" w14:textId="77777777" w:rsidR="00022626" w:rsidRPr="00022626" w:rsidRDefault="00022626" w:rsidP="00022626">
      <w:pPr>
        <w:spacing w:line="256" w:lineRule="auto"/>
        <w:jc w:val="both"/>
        <w:rPr>
          <w:rFonts w:ascii="Times New Roman" w:eastAsia="Calibri" w:hAnsi="Times New Roman" w:cs="Times New Roman"/>
          <w:b/>
          <w:bCs/>
          <w:sz w:val="20"/>
          <w:szCs w:val="20"/>
        </w:rPr>
      </w:pPr>
    </w:p>
    <w:p w14:paraId="298A57E2" w14:textId="77777777" w:rsidR="00022626" w:rsidRPr="00022626" w:rsidRDefault="00022626" w:rsidP="00022626">
      <w:pPr>
        <w:spacing w:line="256" w:lineRule="auto"/>
        <w:jc w:val="both"/>
        <w:rPr>
          <w:rFonts w:ascii="Times New Roman" w:eastAsia="Calibri" w:hAnsi="Times New Roman" w:cs="Times New Roman"/>
          <w:sz w:val="20"/>
          <w:szCs w:val="20"/>
        </w:rPr>
      </w:pPr>
      <w:r w:rsidRPr="00022626">
        <w:rPr>
          <w:rFonts w:ascii="Times New Roman" w:eastAsia="Calibri" w:hAnsi="Times New Roman" w:cs="Times New Roman"/>
          <w:b/>
          <w:bCs/>
          <w:sz w:val="20"/>
          <w:szCs w:val="20"/>
        </w:rPr>
        <w:t>Authors:</w:t>
      </w:r>
    </w:p>
    <w:p w14:paraId="3B5A3A24" w14:textId="77777777" w:rsidR="00022626" w:rsidRPr="00022626" w:rsidRDefault="00022626" w:rsidP="00022626">
      <w:pPr>
        <w:spacing w:line="360" w:lineRule="auto"/>
        <w:jc w:val="both"/>
        <w:rPr>
          <w:rFonts w:ascii="Times New Roman" w:eastAsia="Calibri" w:hAnsi="Times New Roman" w:cs="Times New Roman"/>
          <w:sz w:val="20"/>
          <w:szCs w:val="20"/>
          <w:vertAlign w:val="superscript"/>
        </w:rPr>
      </w:pPr>
      <w:r w:rsidRPr="00022626">
        <w:rPr>
          <w:rFonts w:ascii="Times New Roman" w:eastAsia="Calibri" w:hAnsi="Times New Roman" w:cs="Times New Roman"/>
          <w:sz w:val="20"/>
          <w:szCs w:val="20"/>
        </w:rPr>
        <w:t>Sourav Sarkar</w:t>
      </w:r>
      <w:r w:rsidRPr="00022626">
        <w:rPr>
          <w:rFonts w:ascii="Times New Roman" w:eastAsia="Calibri" w:hAnsi="Times New Roman" w:cs="Times New Roman"/>
          <w:sz w:val="20"/>
          <w:szCs w:val="20"/>
          <w:vertAlign w:val="superscript"/>
        </w:rPr>
        <w:t>1</w:t>
      </w:r>
      <w:r w:rsidRPr="00022626">
        <w:rPr>
          <w:rFonts w:ascii="Times New Roman" w:eastAsia="Calibri" w:hAnsi="Times New Roman" w:cs="Times New Roman"/>
          <w:sz w:val="20"/>
          <w:szCs w:val="20"/>
        </w:rPr>
        <w:t>,</w:t>
      </w:r>
      <w:r w:rsidRPr="00022626">
        <w:rPr>
          <w:rFonts w:ascii="Times New Roman" w:eastAsia="Calibri" w:hAnsi="Times New Roman" w:cs="Times New Roman"/>
          <w:sz w:val="20"/>
          <w:szCs w:val="20"/>
          <w:vertAlign w:val="superscript"/>
        </w:rPr>
        <w:t xml:space="preserve"> </w:t>
      </w:r>
      <w:r w:rsidRPr="00022626">
        <w:rPr>
          <w:rFonts w:ascii="Times New Roman" w:eastAsia="Calibri" w:hAnsi="Times New Roman" w:cs="Times New Roman"/>
          <w:sz w:val="20"/>
          <w:szCs w:val="20"/>
        </w:rPr>
        <w:t>Debabrata Modak</w:t>
      </w:r>
      <w:r w:rsidRPr="00022626">
        <w:rPr>
          <w:rFonts w:ascii="Times New Roman" w:eastAsia="Calibri" w:hAnsi="Times New Roman" w:cs="Times New Roman"/>
          <w:sz w:val="20"/>
          <w:szCs w:val="20"/>
          <w:vertAlign w:val="superscript"/>
        </w:rPr>
        <w:t>1</w:t>
      </w:r>
      <w:r w:rsidRPr="00022626">
        <w:rPr>
          <w:rFonts w:ascii="Times New Roman" w:eastAsia="Calibri" w:hAnsi="Times New Roman" w:cs="Times New Roman"/>
          <w:sz w:val="20"/>
          <w:szCs w:val="20"/>
        </w:rPr>
        <w:t>, Md. Salman Haydar</w:t>
      </w:r>
      <w:r w:rsidRPr="00022626">
        <w:rPr>
          <w:rFonts w:ascii="Times New Roman" w:eastAsia="Calibri" w:hAnsi="Times New Roman" w:cs="Times New Roman"/>
          <w:sz w:val="20"/>
          <w:szCs w:val="20"/>
          <w:vertAlign w:val="superscript"/>
        </w:rPr>
        <w:t>2</w:t>
      </w:r>
      <w:r w:rsidRPr="00022626">
        <w:rPr>
          <w:rFonts w:ascii="Times New Roman" w:eastAsia="Calibri" w:hAnsi="Times New Roman" w:cs="Times New Roman"/>
          <w:sz w:val="20"/>
          <w:szCs w:val="20"/>
        </w:rPr>
        <w:t>,</w:t>
      </w:r>
      <w:r w:rsidRPr="00022626">
        <w:rPr>
          <w:rFonts w:ascii="Times New Roman" w:eastAsia="Calibri" w:hAnsi="Times New Roman" w:cs="Times New Roman"/>
          <w:sz w:val="20"/>
          <w:szCs w:val="20"/>
          <w:vertAlign w:val="superscript"/>
        </w:rPr>
        <w:t xml:space="preserve"> </w:t>
      </w:r>
      <w:r w:rsidRPr="00022626">
        <w:rPr>
          <w:rFonts w:ascii="Times New Roman" w:eastAsia="Calibri" w:hAnsi="Times New Roman" w:cs="Times New Roman"/>
          <w:sz w:val="20"/>
          <w:szCs w:val="20"/>
        </w:rPr>
        <w:t>John J. Georrge</w:t>
      </w:r>
      <w:r w:rsidRPr="00022626">
        <w:rPr>
          <w:rFonts w:ascii="Times New Roman" w:eastAsia="Calibri" w:hAnsi="Times New Roman" w:cs="Times New Roman"/>
          <w:sz w:val="20"/>
          <w:szCs w:val="20"/>
          <w:vertAlign w:val="superscript"/>
        </w:rPr>
        <w:t xml:space="preserve">3 </w:t>
      </w:r>
      <w:r w:rsidRPr="00022626">
        <w:rPr>
          <w:rFonts w:ascii="Times New Roman" w:eastAsia="Calibri" w:hAnsi="Times New Roman" w:cs="Times New Roman"/>
          <w:sz w:val="20"/>
          <w:szCs w:val="20"/>
        </w:rPr>
        <w:t>and Soumen Bhattacharjee</w:t>
      </w:r>
      <w:r w:rsidRPr="00022626">
        <w:rPr>
          <w:rFonts w:ascii="Times New Roman" w:eastAsia="Calibri" w:hAnsi="Times New Roman" w:cs="Times New Roman"/>
          <w:sz w:val="20"/>
          <w:szCs w:val="20"/>
          <w:vertAlign w:val="superscript"/>
        </w:rPr>
        <w:t>1*</w:t>
      </w:r>
    </w:p>
    <w:p w14:paraId="0F754408" w14:textId="77777777" w:rsidR="00022626" w:rsidRPr="00022626" w:rsidRDefault="00022626" w:rsidP="00022626">
      <w:pPr>
        <w:spacing w:line="360" w:lineRule="auto"/>
        <w:jc w:val="both"/>
        <w:rPr>
          <w:rFonts w:ascii="Times New Roman" w:eastAsia="Calibri" w:hAnsi="Times New Roman" w:cs="Times New Roman"/>
          <w:sz w:val="20"/>
          <w:szCs w:val="20"/>
        </w:rPr>
      </w:pPr>
      <w:r w:rsidRPr="00022626">
        <w:rPr>
          <w:rFonts w:ascii="Times New Roman" w:eastAsia="Calibri" w:hAnsi="Times New Roman" w:cs="Times New Roman"/>
          <w:sz w:val="20"/>
          <w:szCs w:val="20"/>
          <w:vertAlign w:val="superscript"/>
        </w:rPr>
        <w:t>1</w:t>
      </w:r>
      <w:r w:rsidRPr="00022626">
        <w:rPr>
          <w:rFonts w:ascii="Times New Roman" w:eastAsia="Calibri" w:hAnsi="Times New Roman" w:cs="Times New Roman"/>
          <w:sz w:val="20"/>
          <w:szCs w:val="20"/>
        </w:rPr>
        <w:t>Cell and Molecular Biology Laboratory, Department of Zoology, University of North Bengal, Darjeeling, 734013, West Bengal, India.</w:t>
      </w:r>
    </w:p>
    <w:p w14:paraId="20BFAF4A" w14:textId="77777777" w:rsidR="00022626" w:rsidRPr="00022626" w:rsidRDefault="00022626" w:rsidP="00022626">
      <w:pPr>
        <w:spacing w:line="360" w:lineRule="auto"/>
        <w:jc w:val="both"/>
        <w:rPr>
          <w:rFonts w:ascii="Times New Roman" w:eastAsia="Calibri" w:hAnsi="Times New Roman" w:cs="Times New Roman"/>
          <w:sz w:val="20"/>
          <w:szCs w:val="20"/>
        </w:rPr>
      </w:pPr>
      <w:r w:rsidRPr="00022626">
        <w:rPr>
          <w:rFonts w:ascii="Times New Roman" w:eastAsia="Calibri" w:hAnsi="Times New Roman" w:cs="Times New Roman"/>
          <w:sz w:val="20"/>
          <w:szCs w:val="20"/>
          <w:vertAlign w:val="superscript"/>
        </w:rPr>
        <w:t>2</w:t>
      </w:r>
      <w:r w:rsidRPr="00022626">
        <w:rPr>
          <w:rFonts w:ascii="Times New Roman" w:eastAsia="Calibri" w:hAnsi="Times New Roman" w:cs="Times New Roman"/>
          <w:sz w:val="20"/>
          <w:szCs w:val="20"/>
        </w:rPr>
        <w:t>Nanobiology and Phytotherapy Laboratory, Department of Botany, University of North Bengal, Darjeeling, 734013, West Bengal, India.</w:t>
      </w:r>
    </w:p>
    <w:p w14:paraId="74B46F30" w14:textId="77777777" w:rsidR="00022626" w:rsidRPr="00022626" w:rsidRDefault="00022626" w:rsidP="00022626">
      <w:pPr>
        <w:spacing w:line="360" w:lineRule="auto"/>
        <w:jc w:val="both"/>
        <w:rPr>
          <w:rFonts w:ascii="Times New Roman" w:eastAsia="Calibri" w:hAnsi="Times New Roman" w:cs="Times New Roman"/>
          <w:sz w:val="20"/>
          <w:szCs w:val="20"/>
        </w:rPr>
      </w:pPr>
      <w:r w:rsidRPr="00022626">
        <w:rPr>
          <w:rFonts w:ascii="Times New Roman" w:eastAsia="Calibri" w:hAnsi="Times New Roman" w:cs="Times New Roman"/>
          <w:sz w:val="20"/>
          <w:szCs w:val="20"/>
          <w:vertAlign w:val="superscript"/>
          <w:lang w:val="en-US"/>
        </w:rPr>
        <w:t>3</w:t>
      </w:r>
      <w:r w:rsidRPr="00022626">
        <w:rPr>
          <w:rFonts w:ascii="Times New Roman" w:eastAsia="Calibri" w:hAnsi="Times New Roman" w:cs="Times New Roman"/>
          <w:sz w:val="20"/>
          <w:szCs w:val="20"/>
        </w:rPr>
        <w:t>Department of Bioinformatics, University of North Bengal, Darjeeling, 734013, West Bengal, India.</w:t>
      </w:r>
    </w:p>
    <w:p w14:paraId="491A8550" w14:textId="77777777" w:rsidR="00022626" w:rsidRPr="00022626" w:rsidRDefault="00022626" w:rsidP="00022626">
      <w:pPr>
        <w:spacing w:line="256" w:lineRule="auto"/>
        <w:jc w:val="both"/>
        <w:rPr>
          <w:rFonts w:ascii="Times New Roman" w:eastAsia="Calibri" w:hAnsi="Times New Roman" w:cs="Times New Roman"/>
          <w:b/>
          <w:bCs/>
          <w:sz w:val="20"/>
          <w:szCs w:val="20"/>
        </w:rPr>
      </w:pPr>
    </w:p>
    <w:p w14:paraId="19793817" w14:textId="4BB39818" w:rsidR="00022626" w:rsidRPr="00022626" w:rsidRDefault="00172A3D" w:rsidP="00022626">
      <w:pPr>
        <w:spacing w:line="256" w:lineRule="auto"/>
        <w:jc w:val="both"/>
        <w:rPr>
          <w:rFonts w:ascii="Times New Roman" w:eastAsia="Calibri" w:hAnsi="Times New Roman" w:cs="Times New Roman"/>
          <w:sz w:val="20"/>
          <w:szCs w:val="20"/>
        </w:rPr>
      </w:pPr>
      <w:r>
        <w:rPr>
          <w:rFonts w:ascii="Times New Roman" w:eastAsia="Calibri" w:hAnsi="Times New Roman" w:cs="Times New Roman"/>
          <w:b/>
          <w:bCs/>
          <w:sz w:val="20"/>
          <w:szCs w:val="20"/>
        </w:rPr>
        <w:t>*</w:t>
      </w:r>
      <w:r w:rsidR="00022626" w:rsidRPr="00022626">
        <w:rPr>
          <w:rFonts w:ascii="Times New Roman" w:eastAsia="Calibri" w:hAnsi="Times New Roman" w:cs="Times New Roman"/>
          <w:b/>
          <w:bCs/>
          <w:sz w:val="20"/>
          <w:szCs w:val="20"/>
        </w:rPr>
        <w:t>E. Mail of Corresponding author</w:t>
      </w:r>
      <w:r w:rsidR="00022626" w:rsidRPr="00022626">
        <w:rPr>
          <w:rFonts w:ascii="Times New Roman" w:eastAsia="Calibri" w:hAnsi="Times New Roman" w:cs="Times New Roman"/>
          <w:sz w:val="20"/>
          <w:szCs w:val="20"/>
        </w:rPr>
        <w:t xml:space="preserve">: </w:t>
      </w:r>
    </w:p>
    <w:p w14:paraId="5A697EA7" w14:textId="77777777" w:rsidR="00022626" w:rsidRPr="00022626" w:rsidRDefault="00000000" w:rsidP="00022626">
      <w:pPr>
        <w:spacing w:line="256" w:lineRule="auto"/>
        <w:jc w:val="both"/>
        <w:rPr>
          <w:rFonts w:ascii="Times New Roman" w:eastAsia="Calibri" w:hAnsi="Times New Roman" w:cs="Times New Roman"/>
          <w:sz w:val="20"/>
          <w:szCs w:val="20"/>
          <w:lang w:val="en-US"/>
        </w:rPr>
      </w:pPr>
      <w:hyperlink r:id="rId5" w:history="1">
        <w:r w:rsidR="00022626" w:rsidRPr="00022626">
          <w:rPr>
            <w:rFonts w:ascii="Times New Roman" w:eastAsia="Calibri" w:hAnsi="Times New Roman" w:cs="Times New Roman"/>
            <w:color w:val="0563C1" w:themeColor="hyperlink"/>
            <w:sz w:val="20"/>
            <w:szCs w:val="20"/>
            <w:u w:val="single"/>
            <w:lang w:val="en-US"/>
          </w:rPr>
          <w:t>soumenb@nbu.ac.in</w:t>
        </w:r>
      </w:hyperlink>
      <w:r w:rsidR="00022626" w:rsidRPr="00022626">
        <w:rPr>
          <w:rFonts w:ascii="Times New Roman" w:eastAsia="Calibri" w:hAnsi="Times New Roman" w:cs="Times New Roman"/>
          <w:sz w:val="20"/>
          <w:szCs w:val="20"/>
          <w:lang w:val="en-US"/>
        </w:rPr>
        <w:t xml:space="preserve"> / </w:t>
      </w:r>
      <w:hyperlink r:id="rId6" w:history="1">
        <w:r w:rsidR="00022626" w:rsidRPr="00022626">
          <w:rPr>
            <w:rFonts w:ascii="Times New Roman" w:eastAsia="Calibri" w:hAnsi="Times New Roman" w:cs="Times New Roman"/>
            <w:color w:val="0563C1" w:themeColor="hyperlink"/>
            <w:sz w:val="20"/>
            <w:szCs w:val="20"/>
            <w:u w:val="single"/>
            <w:lang w:val="en-US"/>
          </w:rPr>
          <w:t>soumenb123@rediffmail.com</w:t>
        </w:r>
      </w:hyperlink>
    </w:p>
    <w:p w14:paraId="160A58F3" w14:textId="77777777" w:rsidR="00022626" w:rsidRDefault="00022626">
      <w:pP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br w:type="page"/>
      </w:r>
    </w:p>
    <w:p w14:paraId="3419DA0B" w14:textId="67A72765" w:rsidR="00201A89" w:rsidRPr="00022626" w:rsidRDefault="00201A89" w:rsidP="00A26745">
      <w:pPr>
        <w:ind w:left="-284"/>
        <w:jc w:val="both"/>
        <w:rPr>
          <w:rFonts w:ascii="Times New Roman" w:eastAsia="Calibri" w:hAnsi="Times New Roman" w:cs="Times New Roman"/>
          <w:sz w:val="20"/>
          <w:szCs w:val="20"/>
          <w:lang w:val="en-US"/>
        </w:rPr>
      </w:pPr>
      <w:r w:rsidRPr="00022626">
        <w:rPr>
          <w:rFonts w:ascii="Times New Roman" w:eastAsia="Calibri" w:hAnsi="Times New Roman" w:cs="Times New Roman"/>
          <w:b/>
          <w:bCs/>
          <w:sz w:val="20"/>
          <w:szCs w:val="20"/>
          <w:lang w:val="en-US"/>
        </w:rPr>
        <w:lastRenderedPageBreak/>
        <w:t xml:space="preserve">Title: </w:t>
      </w:r>
      <w:r w:rsidR="0060481D" w:rsidRPr="0060481D">
        <w:rPr>
          <w:rFonts w:ascii="Times New Roman" w:eastAsia="Calibri" w:hAnsi="Times New Roman" w:cs="Times New Roman"/>
          <w:sz w:val="20"/>
          <w:szCs w:val="20"/>
          <w:lang w:val="en-US"/>
        </w:rPr>
        <w:t>Supplementary File</w:t>
      </w:r>
      <w:r w:rsidRPr="00022626">
        <w:rPr>
          <w:rFonts w:ascii="Times New Roman" w:eastAsia="Calibri" w:hAnsi="Times New Roman" w:cs="Times New Roman"/>
          <w:sz w:val="20"/>
          <w:szCs w:val="20"/>
          <w:lang w:val="en-US"/>
        </w:rPr>
        <w:t xml:space="preserve"> </w:t>
      </w:r>
      <w:r w:rsidR="006671EC" w:rsidRPr="00022626">
        <w:rPr>
          <w:rFonts w:ascii="Times New Roman" w:eastAsia="Calibri" w:hAnsi="Times New Roman" w:cs="Times New Roman"/>
          <w:sz w:val="20"/>
          <w:szCs w:val="20"/>
          <w:lang w:val="en-US"/>
        </w:rPr>
        <w:t>3</w:t>
      </w:r>
      <w:r w:rsidRPr="00022626">
        <w:rPr>
          <w:rFonts w:ascii="Times New Roman" w:eastAsia="Calibri" w:hAnsi="Times New Roman" w:cs="Times New Roman"/>
          <w:sz w:val="20"/>
          <w:szCs w:val="20"/>
          <w:lang w:val="en-US"/>
        </w:rPr>
        <w:t>.</w:t>
      </w:r>
    </w:p>
    <w:p w14:paraId="5ECEA971" w14:textId="77777777" w:rsidR="00201A89" w:rsidRPr="00022626" w:rsidRDefault="00201A89" w:rsidP="00A26745">
      <w:pPr>
        <w:ind w:left="-284"/>
        <w:jc w:val="both"/>
        <w:rPr>
          <w:rFonts w:ascii="Times New Roman" w:eastAsia="Calibri" w:hAnsi="Times New Roman" w:cs="Times New Roman"/>
          <w:sz w:val="20"/>
          <w:szCs w:val="20"/>
          <w:lang w:val="en-US"/>
        </w:rPr>
      </w:pPr>
      <w:r w:rsidRPr="00022626">
        <w:rPr>
          <w:rFonts w:ascii="Times New Roman" w:eastAsia="Calibri" w:hAnsi="Times New Roman" w:cs="Times New Roman"/>
          <w:b/>
          <w:bCs/>
          <w:sz w:val="20"/>
          <w:szCs w:val="20"/>
          <w:lang w:val="en-US"/>
        </w:rPr>
        <w:t>Description:</w:t>
      </w:r>
      <w:r w:rsidRPr="00022626">
        <w:rPr>
          <w:rFonts w:ascii="Times New Roman" w:eastAsia="Calibri" w:hAnsi="Times New Roman" w:cs="Times New Roman"/>
          <w:iCs/>
          <w:sz w:val="20"/>
          <w:szCs w:val="20"/>
        </w:rPr>
        <w:t xml:space="preserve"> Information</w:t>
      </w:r>
      <w:r w:rsidRPr="00022626">
        <w:rPr>
          <w:rFonts w:ascii="Times New Roman" w:eastAsia="Calibri" w:hAnsi="Times New Roman" w:cs="Times New Roman"/>
          <w:b/>
          <w:bCs/>
          <w:sz w:val="20"/>
          <w:szCs w:val="20"/>
          <w:lang w:val="en-US"/>
        </w:rPr>
        <w:t xml:space="preserve"> </w:t>
      </w:r>
      <w:r w:rsidRPr="00022626">
        <w:rPr>
          <w:rFonts w:ascii="Times New Roman" w:eastAsia="Calibri" w:hAnsi="Times New Roman" w:cs="Times New Roman"/>
          <w:sz w:val="20"/>
          <w:szCs w:val="20"/>
          <w:lang w:val="en-US"/>
        </w:rPr>
        <w:t>regarding the</w:t>
      </w:r>
      <w:r w:rsidRPr="00022626">
        <w:rPr>
          <w:rFonts w:ascii="Times New Roman" w:eastAsia="Calibri" w:hAnsi="Times New Roman" w:cs="Times New Roman"/>
          <w:b/>
          <w:bCs/>
          <w:sz w:val="20"/>
          <w:szCs w:val="20"/>
          <w:lang w:val="en-US"/>
        </w:rPr>
        <w:t xml:space="preserve"> </w:t>
      </w:r>
      <w:r w:rsidRPr="00022626">
        <w:rPr>
          <w:rFonts w:ascii="Times New Roman" w:eastAsia="Calibri" w:hAnsi="Times New Roman" w:cs="Times New Roman"/>
          <w:iCs/>
          <w:sz w:val="20"/>
          <w:szCs w:val="20"/>
        </w:rPr>
        <w:t>PDB identification (</w:t>
      </w:r>
      <w:r w:rsidRPr="00022626">
        <w:rPr>
          <w:rFonts w:ascii="Times New Roman" w:eastAsia="Calibri" w:hAnsi="Times New Roman" w:cs="Times New Roman"/>
          <w:sz w:val="20"/>
          <w:szCs w:val="20"/>
          <w:lang w:val="en-US"/>
        </w:rPr>
        <w:t>pdb ID details)</w:t>
      </w:r>
      <w:r w:rsidRPr="00022626">
        <w:rPr>
          <w:rFonts w:ascii="Times New Roman" w:eastAsia="Calibri" w:hAnsi="Times New Roman" w:cs="Times New Roman"/>
          <w:iCs/>
          <w:sz w:val="20"/>
          <w:szCs w:val="20"/>
        </w:rPr>
        <w:t xml:space="preserve"> of selected proteins.</w:t>
      </w:r>
    </w:p>
    <w:tbl>
      <w:tblPr>
        <w:tblStyle w:val="TableGrid"/>
        <w:tblW w:w="10065" w:type="dxa"/>
        <w:tblInd w:w="-289" w:type="dxa"/>
        <w:tblLayout w:type="fixed"/>
        <w:tblLook w:val="04A0" w:firstRow="1" w:lastRow="0" w:firstColumn="1" w:lastColumn="0" w:noHBand="0" w:noVBand="1"/>
      </w:tblPr>
      <w:tblGrid>
        <w:gridCol w:w="576"/>
        <w:gridCol w:w="1209"/>
        <w:gridCol w:w="912"/>
        <w:gridCol w:w="843"/>
        <w:gridCol w:w="1422"/>
        <w:gridCol w:w="1418"/>
        <w:gridCol w:w="1275"/>
        <w:gridCol w:w="2410"/>
      </w:tblGrid>
      <w:tr w:rsidR="001D723A" w:rsidRPr="00022626" w14:paraId="5155AB9F" w14:textId="77777777" w:rsidTr="001D723A">
        <w:tc>
          <w:tcPr>
            <w:tcW w:w="576" w:type="dxa"/>
            <w:vMerge w:val="restart"/>
          </w:tcPr>
          <w:p w14:paraId="71C71BBD" w14:textId="56063AB5" w:rsidR="001D723A" w:rsidRPr="00022626" w:rsidRDefault="001D723A" w:rsidP="00D9100F">
            <w:pPr>
              <w:spacing w:after="160" w:line="259" w:lineRule="auto"/>
              <w:rPr>
                <w:rFonts w:ascii="Times New Roman" w:hAnsi="Times New Roman" w:cs="Times New Roman"/>
                <w:b/>
                <w:bCs/>
                <w:sz w:val="20"/>
                <w:szCs w:val="20"/>
                <w:lang w:val="en-US"/>
              </w:rPr>
            </w:pPr>
            <w:r w:rsidRPr="00022626">
              <w:rPr>
                <w:rFonts w:ascii="Times New Roman" w:hAnsi="Times New Roman" w:cs="Times New Roman"/>
                <w:b/>
                <w:bCs/>
                <w:sz w:val="20"/>
                <w:szCs w:val="20"/>
                <w:lang w:val="en-US"/>
              </w:rPr>
              <w:t>S</w:t>
            </w:r>
            <w:r w:rsidR="0007031C" w:rsidRPr="00022626">
              <w:rPr>
                <w:rFonts w:ascii="Times New Roman" w:hAnsi="Times New Roman" w:cs="Times New Roman"/>
                <w:b/>
                <w:bCs/>
                <w:sz w:val="20"/>
                <w:szCs w:val="20"/>
                <w:lang w:val="en-US"/>
              </w:rPr>
              <w:t>l.</w:t>
            </w:r>
            <w:r w:rsidRPr="00022626">
              <w:rPr>
                <w:rFonts w:ascii="Times New Roman" w:hAnsi="Times New Roman" w:cs="Times New Roman"/>
                <w:b/>
                <w:bCs/>
                <w:sz w:val="20"/>
                <w:szCs w:val="20"/>
                <w:lang w:val="en-US"/>
              </w:rPr>
              <w:t xml:space="preserve"> N</w:t>
            </w:r>
            <w:r w:rsidR="0007031C" w:rsidRPr="00022626">
              <w:rPr>
                <w:rFonts w:ascii="Times New Roman" w:hAnsi="Times New Roman" w:cs="Times New Roman"/>
                <w:b/>
                <w:bCs/>
                <w:sz w:val="20"/>
                <w:szCs w:val="20"/>
                <w:lang w:val="en-US"/>
              </w:rPr>
              <w:t>o.</w:t>
            </w:r>
          </w:p>
        </w:tc>
        <w:tc>
          <w:tcPr>
            <w:tcW w:w="1209" w:type="dxa"/>
            <w:vMerge w:val="restart"/>
          </w:tcPr>
          <w:p w14:paraId="7E800D7A" w14:textId="04853258" w:rsidR="001D723A" w:rsidRPr="00022626" w:rsidRDefault="001D723A" w:rsidP="00D9100F">
            <w:pPr>
              <w:spacing w:after="160" w:line="259" w:lineRule="auto"/>
              <w:rPr>
                <w:rFonts w:ascii="Times New Roman" w:hAnsi="Times New Roman" w:cs="Times New Roman"/>
                <w:b/>
                <w:bCs/>
                <w:sz w:val="20"/>
                <w:szCs w:val="20"/>
                <w:lang w:val="en-US"/>
              </w:rPr>
            </w:pPr>
            <w:r w:rsidRPr="00022626">
              <w:rPr>
                <w:rFonts w:ascii="Times New Roman" w:hAnsi="Times New Roman" w:cs="Times New Roman"/>
                <w:b/>
                <w:bCs/>
                <w:sz w:val="20"/>
                <w:szCs w:val="20"/>
                <w:lang w:val="en-US"/>
              </w:rPr>
              <w:t>G</w:t>
            </w:r>
            <w:r w:rsidR="0007031C" w:rsidRPr="00022626">
              <w:rPr>
                <w:rFonts w:ascii="Times New Roman" w:hAnsi="Times New Roman" w:cs="Times New Roman"/>
                <w:b/>
                <w:bCs/>
                <w:sz w:val="20"/>
                <w:szCs w:val="20"/>
                <w:lang w:val="en-US"/>
              </w:rPr>
              <w:t>ene</w:t>
            </w:r>
            <w:r w:rsidRPr="00022626">
              <w:rPr>
                <w:rFonts w:ascii="Times New Roman" w:hAnsi="Times New Roman" w:cs="Times New Roman"/>
                <w:b/>
                <w:bCs/>
                <w:sz w:val="20"/>
                <w:szCs w:val="20"/>
                <w:lang w:val="en-US"/>
              </w:rPr>
              <w:t xml:space="preserve"> N</w:t>
            </w:r>
            <w:r w:rsidR="0007031C" w:rsidRPr="00022626">
              <w:rPr>
                <w:rFonts w:ascii="Times New Roman" w:hAnsi="Times New Roman" w:cs="Times New Roman"/>
                <w:b/>
                <w:bCs/>
                <w:sz w:val="20"/>
                <w:szCs w:val="20"/>
                <w:lang w:val="en-US"/>
              </w:rPr>
              <w:t>ame</w:t>
            </w:r>
          </w:p>
        </w:tc>
        <w:tc>
          <w:tcPr>
            <w:tcW w:w="912" w:type="dxa"/>
            <w:vMerge w:val="restart"/>
          </w:tcPr>
          <w:p w14:paraId="11921036" w14:textId="77777777" w:rsidR="001D723A" w:rsidRPr="00022626" w:rsidRDefault="001D723A" w:rsidP="00D9100F">
            <w:pPr>
              <w:spacing w:after="160" w:line="259" w:lineRule="auto"/>
              <w:rPr>
                <w:rFonts w:ascii="Times New Roman" w:hAnsi="Times New Roman" w:cs="Times New Roman"/>
                <w:b/>
                <w:bCs/>
                <w:sz w:val="20"/>
                <w:szCs w:val="20"/>
                <w:lang w:val="en-US"/>
              </w:rPr>
            </w:pPr>
            <w:r w:rsidRPr="00022626">
              <w:rPr>
                <w:rFonts w:ascii="Times New Roman" w:hAnsi="Times New Roman" w:cs="Times New Roman"/>
                <w:b/>
                <w:bCs/>
                <w:sz w:val="20"/>
                <w:szCs w:val="20"/>
                <w:lang w:val="en-US"/>
              </w:rPr>
              <w:t>PDB ID</w:t>
            </w:r>
          </w:p>
        </w:tc>
        <w:tc>
          <w:tcPr>
            <w:tcW w:w="843" w:type="dxa"/>
            <w:vMerge w:val="restart"/>
          </w:tcPr>
          <w:p w14:paraId="2B84AA15" w14:textId="77777777" w:rsidR="001D723A" w:rsidRPr="00022626" w:rsidRDefault="001D723A" w:rsidP="00D9100F">
            <w:pPr>
              <w:spacing w:after="160" w:line="259" w:lineRule="auto"/>
              <w:rPr>
                <w:rFonts w:ascii="Times New Roman" w:hAnsi="Times New Roman" w:cs="Times New Roman"/>
                <w:b/>
                <w:bCs/>
                <w:sz w:val="20"/>
                <w:szCs w:val="20"/>
                <w:lang w:val="en-US"/>
              </w:rPr>
            </w:pPr>
            <w:r w:rsidRPr="00022626">
              <w:rPr>
                <w:rFonts w:ascii="Times New Roman" w:hAnsi="Times New Roman" w:cs="Times New Roman"/>
                <w:b/>
                <w:bCs/>
                <w:sz w:val="20"/>
                <w:szCs w:val="20"/>
                <w:lang w:val="en-US"/>
              </w:rPr>
              <w:t>Chain name</w:t>
            </w:r>
          </w:p>
        </w:tc>
        <w:tc>
          <w:tcPr>
            <w:tcW w:w="4115" w:type="dxa"/>
            <w:gridSpan w:val="3"/>
          </w:tcPr>
          <w:p w14:paraId="1B7D9F87" w14:textId="77777777" w:rsidR="001D723A" w:rsidRPr="00022626" w:rsidRDefault="001D723A" w:rsidP="001D723A">
            <w:pPr>
              <w:spacing w:after="160" w:line="259" w:lineRule="auto"/>
              <w:jc w:val="center"/>
              <w:rPr>
                <w:rFonts w:ascii="Times New Roman" w:hAnsi="Times New Roman" w:cs="Times New Roman"/>
                <w:b/>
                <w:bCs/>
                <w:sz w:val="20"/>
                <w:szCs w:val="20"/>
                <w:lang w:val="en-US"/>
              </w:rPr>
            </w:pPr>
            <w:r w:rsidRPr="00022626">
              <w:rPr>
                <w:rFonts w:ascii="Times New Roman" w:hAnsi="Times New Roman" w:cs="Times New Roman"/>
                <w:b/>
                <w:bCs/>
                <w:sz w:val="20"/>
                <w:szCs w:val="20"/>
                <w:lang w:val="en-US"/>
              </w:rPr>
              <w:t>CO-ORDINATES</w:t>
            </w:r>
          </w:p>
        </w:tc>
        <w:tc>
          <w:tcPr>
            <w:tcW w:w="2410" w:type="dxa"/>
            <w:vMerge w:val="restart"/>
            <w:vAlign w:val="center"/>
          </w:tcPr>
          <w:p w14:paraId="3D5DC4DA" w14:textId="719B3C03" w:rsidR="001D723A" w:rsidRPr="00022626" w:rsidRDefault="001D723A" w:rsidP="001D723A">
            <w:pPr>
              <w:spacing w:after="160" w:line="259" w:lineRule="auto"/>
              <w:jc w:val="center"/>
              <w:rPr>
                <w:rFonts w:ascii="Times New Roman" w:hAnsi="Times New Roman" w:cs="Times New Roman"/>
                <w:b/>
                <w:bCs/>
                <w:sz w:val="20"/>
                <w:szCs w:val="20"/>
                <w:lang w:val="en-US"/>
              </w:rPr>
            </w:pPr>
            <w:r w:rsidRPr="00022626">
              <w:rPr>
                <w:rFonts w:ascii="Times New Roman" w:hAnsi="Times New Roman" w:cs="Times New Roman"/>
                <w:b/>
                <w:bCs/>
                <w:sz w:val="20"/>
                <w:szCs w:val="20"/>
                <w:lang w:val="en-US"/>
              </w:rPr>
              <w:t>R</w:t>
            </w:r>
            <w:r w:rsidR="0007031C" w:rsidRPr="00022626">
              <w:rPr>
                <w:rFonts w:ascii="Times New Roman" w:hAnsi="Times New Roman" w:cs="Times New Roman"/>
                <w:b/>
                <w:bCs/>
                <w:sz w:val="20"/>
                <w:szCs w:val="20"/>
                <w:lang w:val="en-US"/>
              </w:rPr>
              <w:t>eferences</w:t>
            </w:r>
          </w:p>
        </w:tc>
      </w:tr>
      <w:tr w:rsidR="001D723A" w:rsidRPr="00022626" w14:paraId="734A240C" w14:textId="77777777" w:rsidTr="001D723A">
        <w:tc>
          <w:tcPr>
            <w:tcW w:w="576" w:type="dxa"/>
            <w:vMerge/>
          </w:tcPr>
          <w:p w14:paraId="5EA5D717" w14:textId="77777777" w:rsidR="001D723A" w:rsidRPr="00022626" w:rsidRDefault="001D723A" w:rsidP="00D9100F">
            <w:pPr>
              <w:spacing w:after="160" w:line="259" w:lineRule="auto"/>
              <w:rPr>
                <w:rFonts w:ascii="Times New Roman" w:hAnsi="Times New Roman" w:cs="Times New Roman"/>
                <w:sz w:val="20"/>
                <w:szCs w:val="20"/>
                <w:lang w:val="en-US"/>
              </w:rPr>
            </w:pPr>
          </w:p>
        </w:tc>
        <w:tc>
          <w:tcPr>
            <w:tcW w:w="1209" w:type="dxa"/>
            <w:vMerge/>
          </w:tcPr>
          <w:p w14:paraId="1B396F84" w14:textId="77777777" w:rsidR="001D723A" w:rsidRPr="00022626" w:rsidRDefault="001D723A" w:rsidP="00D9100F">
            <w:pPr>
              <w:spacing w:after="160" w:line="259" w:lineRule="auto"/>
              <w:rPr>
                <w:rFonts w:ascii="Times New Roman" w:hAnsi="Times New Roman" w:cs="Times New Roman"/>
                <w:sz w:val="20"/>
                <w:szCs w:val="20"/>
                <w:lang w:val="en-US"/>
              </w:rPr>
            </w:pPr>
          </w:p>
        </w:tc>
        <w:tc>
          <w:tcPr>
            <w:tcW w:w="912" w:type="dxa"/>
            <w:vMerge/>
          </w:tcPr>
          <w:p w14:paraId="0577CC7C" w14:textId="77777777" w:rsidR="001D723A" w:rsidRPr="00022626" w:rsidRDefault="001D723A" w:rsidP="00D9100F">
            <w:pPr>
              <w:spacing w:after="160" w:line="259" w:lineRule="auto"/>
              <w:rPr>
                <w:rFonts w:ascii="Times New Roman" w:hAnsi="Times New Roman" w:cs="Times New Roman"/>
                <w:sz w:val="20"/>
                <w:szCs w:val="20"/>
                <w:lang w:val="en-US"/>
              </w:rPr>
            </w:pPr>
          </w:p>
        </w:tc>
        <w:tc>
          <w:tcPr>
            <w:tcW w:w="843" w:type="dxa"/>
            <w:vMerge/>
          </w:tcPr>
          <w:p w14:paraId="5FEC66FE" w14:textId="77777777" w:rsidR="001D723A" w:rsidRPr="00022626" w:rsidRDefault="001D723A" w:rsidP="00D9100F">
            <w:pPr>
              <w:spacing w:after="160" w:line="259" w:lineRule="auto"/>
              <w:rPr>
                <w:rFonts w:ascii="Times New Roman" w:hAnsi="Times New Roman" w:cs="Times New Roman"/>
                <w:sz w:val="20"/>
                <w:szCs w:val="20"/>
                <w:lang w:val="en-US"/>
              </w:rPr>
            </w:pPr>
          </w:p>
        </w:tc>
        <w:tc>
          <w:tcPr>
            <w:tcW w:w="1422" w:type="dxa"/>
          </w:tcPr>
          <w:p w14:paraId="0B381616" w14:textId="77777777" w:rsidR="001D723A" w:rsidRPr="00022626" w:rsidRDefault="001D723A" w:rsidP="003D0E20">
            <w:pPr>
              <w:spacing w:after="160" w:line="259" w:lineRule="auto"/>
              <w:jc w:val="center"/>
              <w:rPr>
                <w:rFonts w:ascii="Times New Roman" w:hAnsi="Times New Roman" w:cs="Times New Roman"/>
                <w:sz w:val="20"/>
                <w:szCs w:val="20"/>
                <w:lang w:val="en-US"/>
              </w:rPr>
            </w:pPr>
            <w:r w:rsidRPr="00022626">
              <w:rPr>
                <w:rFonts w:ascii="Times New Roman" w:hAnsi="Times New Roman" w:cs="Times New Roman"/>
                <w:sz w:val="20"/>
                <w:szCs w:val="20"/>
                <w:lang w:val="en-US"/>
              </w:rPr>
              <w:t>X</w:t>
            </w:r>
          </w:p>
        </w:tc>
        <w:tc>
          <w:tcPr>
            <w:tcW w:w="1418" w:type="dxa"/>
          </w:tcPr>
          <w:p w14:paraId="01B40E7B" w14:textId="77777777" w:rsidR="001D723A" w:rsidRPr="00022626" w:rsidRDefault="001D723A" w:rsidP="003D0E20">
            <w:pPr>
              <w:spacing w:after="160" w:line="259" w:lineRule="auto"/>
              <w:jc w:val="center"/>
              <w:rPr>
                <w:rFonts w:ascii="Times New Roman" w:hAnsi="Times New Roman" w:cs="Times New Roman"/>
                <w:sz w:val="20"/>
                <w:szCs w:val="20"/>
                <w:lang w:val="en-US"/>
              </w:rPr>
            </w:pPr>
            <w:r w:rsidRPr="00022626">
              <w:rPr>
                <w:rFonts w:ascii="Times New Roman" w:hAnsi="Times New Roman" w:cs="Times New Roman"/>
                <w:sz w:val="20"/>
                <w:szCs w:val="20"/>
                <w:lang w:val="en-US"/>
              </w:rPr>
              <w:t>Y</w:t>
            </w:r>
          </w:p>
        </w:tc>
        <w:tc>
          <w:tcPr>
            <w:tcW w:w="1275" w:type="dxa"/>
          </w:tcPr>
          <w:p w14:paraId="739C38E8" w14:textId="77777777" w:rsidR="001D723A" w:rsidRPr="00022626" w:rsidRDefault="001D723A" w:rsidP="003D0E20">
            <w:pPr>
              <w:spacing w:after="160" w:line="259" w:lineRule="auto"/>
              <w:jc w:val="center"/>
              <w:rPr>
                <w:rFonts w:ascii="Times New Roman" w:hAnsi="Times New Roman" w:cs="Times New Roman"/>
                <w:sz w:val="20"/>
                <w:szCs w:val="20"/>
                <w:lang w:val="en-US"/>
              </w:rPr>
            </w:pPr>
            <w:r w:rsidRPr="00022626">
              <w:rPr>
                <w:rFonts w:ascii="Times New Roman" w:hAnsi="Times New Roman" w:cs="Times New Roman"/>
                <w:sz w:val="20"/>
                <w:szCs w:val="20"/>
                <w:lang w:val="en-US"/>
              </w:rPr>
              <w:t>Z</w:t>
            </w:r>
          </w:p>
        </w:tc>
        <w:tc>
          <w:tcPr>
            <w:tcW w:w="2410" w:type="dxa"/>
            <w:vMerge/>
          </w:tcPr>
          <w:p w14:paraId="4B400D46" w14:textId="77777777" w:rsidR="001D723A" w:rsidRPr="00022626" w:rsidRDefault="001D723A" w:rsidP="00D9100F">
            <w:pPr>
              <w:spacing w:after="160" w:line="259" w:lineRule="auto"/>
              <w:rPr>
                <w:rFonts w:ascii="Times New Roman" w:hAnsi="Times New Roman" w:cs="Times New Roman"/>
                <w:sz w:val="20"/>
                <w:szCs w:val="20"/>
                <w:lang w:val="en-US"/>
              </w:rPr>
            </w:pPr>
          </w:p>
        </w:tc>
      </w:tr>
      <w:tr w:rsidR="00D9100F" w:rsidRPr="00022626" w14:paraId="4FC8E49D" w14:textId="77777777" w:rsidTr="001D723A">
        <w:tc>
          <w:tcPr>
            <w:tcW w:w="576" w:type="dxa"/>
          </w:tcPr>
          <w:p w14:paraId="7E55D698"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1</w:t>
            </w:r>
          </w:p>
        </w:tc>
        <w:tc>
          <w:tcPr>
            <w:tcW w:w="1209" w:type="dxa"/>
          </w:tcPr>
          <w:p w14:paraId="3E167756"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COX-2</w:t>
            </w:r>
          </w:p>
        </w:tc>
        <w:tc>
          <w:tcPr>
            <w:tcW w:w="912" w:type="dxa"/>
          </w:tcPr>
          <w:p w14:paraId="7EECEA4A"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5IKQ</w:t>
            </w:r>
          </w:p>
        </w:tc>
        <w:tc>
          <w:tcPr>
            <w:tcW w:w="843" w:type="dxa"/>
          </w:tcPr>
          <w:p w14:paraId="61E52718"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A</w:t>
            </w:r>
          </w:p>
        </w:tc>
        <w:tc>
          <w:tcPr>
            <w:tcW w:w="1422" w:type="dxa"/>
          </w:tcPr>
          <w:p w14:paraId="2F19BAA2"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32.854535</w:t>
            </w:r>
          </w:p>
        </w:tc>
        <w:tc>
          <w:tcPr>
            <w:tcW w:w="1418" w:type="dxa"/>
          </w:tcPr>
          <w:p w14:paraId="09199672"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32.944359</w:t>
            </w:r>
          </w:p>
        </w:tc>
        <w:tc>
          <w:tcPr>
            <w:tcW w:w="1275" w:type="dxa"/>
          </w:tcPr>
          <w:p w14:paraId="35AD52BB"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22.980354</w:t>
            </w:r>
          </w:p>
        </w:tc>
        <w:tc>
          <w:tcPr>
            <w:tcW w:w="2410" w:type="dxa"/>
          </w:tcPr>
          <w:p w14:paraId="554B9611" w14:textId="291E58D2" w:rsidR="00D9100F" w:rsidRPr="00022626" w:rsidRDefault="00773674"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fldChar w:fldCharType="begin" w:fldLock="1"/>
            </w:r>
            <w:r w:rsidRPr="00022626">
              <w:rPr>
                <w:rFonts w:ascii="Times New Roman" w:hAnsi="Times New Roman" w:cs="Times New Roman"/>
                <w:sz w:val="20"/>
                <w:szCs w:val="20"/>
                <w:lang w:val="en-US"/>
              </w:rPr>
              <w:instrText>ADDIN CSL_CITATION {"citationItems":[{"id":"ITEM-1","itemData":{"DOI":"10.1074/jbc.M116.725713","ISSN":"1083351X","abstract":"Cyclooxygenase-2 (COX-2) catalyzes the oxygenation of arachidonic acid (AA) and endocannabinoid substrates, placing the enzyme at a unique junction between the eicosanoid and endocannabinoid signaling pathways. COX-2 is a sequence homodimer, but the enzyme displays half-of-site reactivity, such that only one monomer of the dimer is active at a given time. Certain rapid reversible, competitive nonsteroidal anti-inflammatory drugs (NSAIDs) have been shown to inhibit COX-2 in a substrate-selective manner, with the binding of inhibitor to a single monomer sufficient to inhibit the oxygenation of endocannabinoids but not arachidonic acid. The underlying mechanism responsible for substrate-selective inhibition has remained elusive. We utilized structural and biophysical methods to evaluate flufenamic acid, meclofenamic acid, mefenamic acid, and tolfenamic acid for their ability to act as substrateselective inhibitors. Crystal structures of each drug in complex with human COX-2 revealed that the inhibitor binds within the cyclooxygenase channel in an inverted orientation, with the carboxylate group interacting with Tyr-385 and Ser-530 at the top of the channel. Tryptophan fluorescence quenching, continuous-wave electron spin resonance, and UV-visible spectroscopy demonstrate that flufenamic acid, mefenamic acid, and tolfenamic acid are substrate-selective inhibitors that bind rapidly to COX-2, quench tyrosyl radicals, and reduce higher oxidation states of the heme moiety. Substrate-selective inhibition was attenuated by the addition of the lipid peroxide 15-hydroperoxyeicosatertaenoic acid. Collectively, these studies implicate peroxide tone as an important mechanistic component of substrate-selective inhibition by flufenamic acid, mefenamic acid, and tolfenamic acid.","author":[{"dropping-particle":"","family":"Orlando","given":"Benjamin J.","non-dropping-particle":"","parse-names":false,"suffix":""},{"dropping-particle":"","family":"Malkowski","given":"Michael G.","non-dropping-particle":"","parse-names":false,"suffix":""}],"container-title":"Journal of Biological Chemistry","id":"ITEM-1","issue":"29","issued":{"date-parts":[["2016"]]},"title":"Substrate-selective inhibition of cyclooxygeanse-2 by fenamic acid derivatives is dependent on peroxide tone","type":"article-journal","volume":"291"},"uris":["http://www.mendeley.com/documents/?uuid=3197e47e-e38d-3501-8782-3a5e8e200b59"]}],"mendeley":{"formattedCitation":"(Orlando &amp; Malkowski, 2016)","plainTextFormattedCitation":"(Orlando &amp; Malkowski, 2016)","previouslyFormattedCitation":"(Orlando &amp; Malkowski, 2016)"},"properties":{"noteIndex":0},"schema":"https://github.com/citation-style-language/schema/raw/master/csl-citation.json"}</w:instrText>
            </w:r>
            <w:r w:rsidRPr="00022626">
              <w:rPr>
                <w:rFonts w:ascii="Times New Roman" w:hAnsi="Times New Roman" w:cs="Times New Roman"/>
                <w:sz w:val="20"/>
                <w:szCs w:val="20"/>
                <w:lang w:val="en-US"/>
              </w:rPr>
              <w:fldChar w:fldCharType="separate"/>
            </w:r>
            <w:r w:rsidRPr="00022626">
              <w:rPr>
                <w:rFonts w:ascii="Times New Roman" w:hAnsi="Times New Roman" w:cs="Times New Roman"/>
                <w:noProof/>
                <w:sz w:val="20"/>
                <w:szCs w:val="20"/>
                <w:lang w:val="en-US"/>
              </w:rPr>
              <w:t>(Orlando &amp; Malkowski, 2016)</w:t>
            </w:r>
            <w:r w:rsidRPr="00022626">
              <w:rPr>
                <w:rFonts w:ascii="Times New Roman" w:hAnsi="Times New Roman" w:cs="Times New Roman"/>
                <w:sz w:val="20"/>
                <w:szCs w:val="20"/>
                <w:lang w:val="en-US"/>
              </w:rPr>
              <w:fldChar w:fldCharType="end"/>
            </w:r>
          </w:p>
        </w:tc>
      </w:tr>
      <w:tr w:rsidR="00D9100F" w:rsidRPr="00022626" w14:paraId="3CA26E6F" w14:textId="77777777" w:rsidTr="001D723A">
        <w:tc>
          <w:tcPr>
            <w:tcW w:w="576" w:type="dxa"/>
          </w:tcPr>
          <w:p w14:paraId="68F73E17"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2</w:t>
            </w:r>
          </w:p>
        </w:tc>
        <w:tc>
          <w:tcPr>
            <w:tcW w:w="1209" w:type="dxa"/>
          </w:tcPr>
          <w:p w14:paraId="7015D723"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TNF-α</w:t>
            </w:r>
          </w:p>
        </w:tc>
        <w:tc>
          <w:tcPr>
            <w:tcW w:w="912" w:type="dxa"/>
          </w:tcPr>
          <w:p w14:paraId="10EB514E"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2AZ5</w:t>
            </w:r>
          </w:p>
        </w:tc>
        <w:tc>
          <w:tcPr>
            <w:tcW w:w="843" w:type="dxa"/>
          </w:tcPr>
          <w:p w14:paraId="2E9ACCEB"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A</w:t>
            </w:r>
          </w:p>
        </w:tc>
        <w:tc>
          <w:tcPr>
            <w:tcW w:w="1422" w:type="dxa"/>
          </w:tcPr>
          <w:p w14:paraId="03B413F7"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-21.973519</w:t>
            </w:r>
          </w:p>
        </w:tc>
        <w:tc>
          <w:tcPr>
            <w:tcW w:w="1418" w:type="dxa"/>
          </w:tcPr>
          <w:p w14:paraId="2E6E8DE0"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70.223093</w:t>
            </w:r>
          </w:p>
        </w:tc>
        <w:tc>
          <w:tcPr>
            <w:tcW w:w="1275" w:type="dxa"/>
          </w:tcPr>
          <w:p w14:paraId="6245851E"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37.347500</w:t>
            </w:r>
          </w:p>
        </w:tc>
        <w:tc>
          <w:tcPr>
            <w:tcW w:w="2410" w:type="dxa"/>
          </w:tcPr>
          <w:p w14:paraId="2010B953" w14:textId="00F0905F" w:rsidR="00D9100F" w:rsidRPr="00022626" w:rsidRDefault="00773674"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fldChar w:fldCharType="begin" w:fldLock="1"/>
            </w:r>
            <w:r w:rsidR="00304AB2" w:rsidRPr="00022626">
              <w:rPr>
                <w:rFonts w:ascii="Times New Roman" w:hAnsi="Times New Roman" w:cs="Times New Roman"/>
                <w:sz w:val="20"/>
                <w:szCs w:val="20"/>
                <w:lang w:val="en-US"/>
              </w:rPr>
              <w:instrText>ADDIN CSL_CITATION {"citationItems":[{"id":"ITEM-1","itemData":{"DOI":"10.1126/science.1116304","ISSN":"1095-9203","abstract":"We have identified a small-molecule inhibitor of tumor necrosis factor alpha (TNF-alpha) that promotes subunit disassembly of this trimeric cytokine family member. The compound inhibits TNF-alpha activity in biochemical and cell-based assays with median inhibitory concentrations of 22 and 4.6 micromolar, respectively. Formation of an intermediate complex between the compound and the intact trimer results in a 600-fold accelerated subunit dissociation rate that leads to trimer dissociation. A structure solved by x-ray crystallography reveals that a single compound molecule displaces a subunit of the trimer to form a complex with a dimer of TNF-alpha subunits.","author":[{"dropping-particle":"","family":"He","given":"Molly M","non-dropping-particle":"","parse-names":false,"suffix":""},{"dropping-particle":"","family":"Smith","given":"Annemarie Stroustrup","non-dropping-particle":"","parse-names":false,"suffix":""},{"dropping-particle":"","family":"Oslob","given":"Johan D","non-dropping-particle":"","parse-names":false,"suffix":""},{"dropping-particle":"","family":"Flanagan","given":"William M","non-dropping-particle":"","parse-names":false,"suffix":""},{"dropping-particle":"","family":"Braisted","given":"Andrew C","non-dropping-particle":"","parse-names":false,"suffix":""},{"dropping-particle":"","family":"Whitty","given":"Adrian","non-dropping-particle":"","parse-names":false,"suffix":""},{"dropping-particle":"","family":"Cancilla","given":"Mark T","non-dropping-particle":"","parse-names":false,"suffix":""},{"dropping-particle":"","family":"Wang","given":"Jun","non-dropping-particle":"","parse-names":false,"suffix":""},{"dropping-particle":"","family":"Lugovskoy","given":"Alexey A","non-dropping-particle":"","parse-names":false,"suffix":""},{"dropping-particle":"","family":"Yoburn","given":"Josh C","non-dropping-particle":"","parse-names":false,"suffix":""},{"dropping-particle":"","family":"Fung","given":"Amy D","non-dropping-particle":"","parse-names":false,"suffix":""},{"dropping-particle":"","family":"Farrington","given":"Graham","non-dropping-particle":"","parse-names":false,"suffix":""},{"dropping-particle":"","family":"Eldredge","given":"John K","non-dropping-particle":"","parse-names":false,"suffix":""},{"dropping-particle":"","family":"Day","given":"Eric S","non-dropping-particle":"","parse-names":false,"suffix":""},{"dropping-particle":"","family":"Cruz","given":"Leslie A","non-dropping-particle":"","parse-names":false,"suffix":""},{"dropping-particle":"","family":"Cachero","given":"Teresa G","non-dropping-particle":"","parse-names":false,"suffix":""},{"dropping-particle":"","family":"Miller","given":"Stephan K","non-dropping-particle":"","parse-names":false,"suffix":""},{"dropping-particle":"","family":"Friedman","given":"Jessica E","non-dropping-particle":"","parse-names":false,"suffix":""},{"dropping-particle":"","family":"Choong","given":"Ingrid C","non-dropping-particle":"","parse-names":false,"suffix":""},{"dropping-particle":"","family":"Cunningham","given":"Brian C","non-dropping-particle":"","parse-names":false,"suffix":""}],"container-title":"Science (New York, N.Y.)","id":"ITEM-1","issue":"5750","issued":{"date-parts":[["2005"]]},"title":"Small-molecule inhibition of TNF-alpha.","type":"article-journal","volume":"310"},"uris":["http://www.mendeley.com/documents/?uuid=47ae0b65-c02c-31b9-a913-8b276cde7a54"]}],"mendeley":{"formattedCitation":"(He et al., 2005)","plainTextFormattedCitation":"(He et al., 2005)","previouslyFormattedCitation":"(He et al., 2005)"},"properties":{"noteIndex":0},"schema":"https://github.com/citation-style-language/schema/raw/master/csl-citation.json"}</w:instrText>
            </w:r>
            <w:r w:rsidRPr="00022626">
              <w:rPr>
                <w:rFonts w:ascii="Times New Roman" w:hAnsi="Times New Roman" w:cs="Times New Roman"/>
                <w:sz w:val="20"/>
                <w:szCs w:val="20"/>
                <w:lang w:val="en-US"/>
              </w:rPr>
              <w:fldChar w:fldCharType="separate"/>
            </w:r>
            <w:r w:rsidRPr="00022626">
              <w:rPr>
                <w:rFonts w:ascii="Times New Roman" w:hAnsi="Times New Roman" w:cs="Times New Roman"/>
                <w:noProof/>
                <w:sz w:val="20"/>
                <w:szCs w:val="20"/>
                <w:lang w:val="en-US"/>
              </w:rPr>
              <w:t>(He et al., 2005)</w:t>
            </w:r>
            <w:r w:rsidRPr="00022626">
              <w:rPr>
                <w:rFonts w:ascii="Times New Roman" w:hAnsi="Times New Roman" w:cs="Times New Roman"/>
                <w:sz w:val="20"/>
                <w:szCs w:val="20"/>
                <w:lang w:val="en-US"/>
              </w:rPr>
              <w:fldChar w:fldCharType="end"/>
            </w:r>
          </w:p>
        </w:tc>
      </w:tr>
      <w:tr w:rsidR="00D9100F" w:rsidRPr="00022626" w14:paraId="608684F2" w14:textId="77777777" w:rsidTr="001D723A">
        <w:tc>
          <w:tcPr>
            <w:tcW w:w="576" w:type="dxa"/>
          </w:tcPr>
          <w:p w14:paraId="3E736487"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3</w:t>
            </w:r>
          </w:p>
        </w:tc>
        <w:tc>
          <w:tcPr>
            <w:tcW w:w="1209" w:type="dxa"/>
            <w:shd w:val="clear" w:color="auto" w:fill="auto"/>
          </w:tcPr>
          <w:p w14:paraId="6BE45E77"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IL-6</w:t>
            </w:r>
          </w:p>
        </w:tc>
        <w:tc>
          <w:tcPr>
            <w:tcW w:w="912" w:type="dxa"/>
          </w:tcPr>
          <w:p w14:paraId="3308E9C0"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1ALU</w:t>
            </w:r>
          </w:p>
        </w:tc>
        <w:tc>
          <w:tcPr>
            <w:tcW w:w="843" w:type="dxa"/>
          </w:tcPr>
          <w:p w14:paraId="77FC4197"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A</w:t>
            </w:r>
          </w:p>
        </w:tc>
        <w:tc>
          <w:tcPr>
            <w:tcW w:w="1422" w:type="dxa"/>
          </w:tcPr>
          <w:p w14:paraId="236D2BB4"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-1.625656</w:t>
            </w:r>
          </w:p>
        </w:tc>
        <w:tc>
          <w:tcPr>
            <w:tcW w:w="1418" w:type="dxa"/>
          </w:tcPr>
          <w:p w14:paraId="2E3256F5"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-22.247728</w:t>
            </w:r>
          </w:p>
        </w:tc>
        <w:tc>
          <w:tcPr>
            <w:tcW w:w="1275" w:type="dxa"/>
          </w:tcPr>
          <w:p w14:paraId="5C3EC22E" w14:textId="77777777" w:rsidR="00D9100F" w:rsidRPr="00022626" w:rsidRDefault="00D9100F"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t>2.009775</w:t>
            </w:r>
          </w:p>
        </w:tc>
        <w:tc>
          <w:tcPr>
            <w:tcW w:w="2410" w:type="dxa"/>
          </w:tcPr>
          <w:p w14:paraId="6EAC3BFE" w14:textId="3FCC8474" w:rsidR="00D9100F" w:rsidRPr="00022626" w:rsidRDefault="00304AB2" w:rsidP="00D9100F">
            <w:pPr>
              <w:spacing w:after="160" w:line="259" w:lineRule="auto"/>
              <w:rPr>
                <w:rFonts w:ascii="Times New Roman" w:hAnsi="Times New Roman" w:cs="Times New Roman"/>
                <w:sz w:val="20"/>
                <w:szCs w:val="20"/>
                <w:lang w:val="en-US"/>
              </w:rPr>
            </w:pPr>
            <w:r w:rsidRPr="00022626">
              <w:rPr>
                <w:rFonts w:ascii="Times New Roman" w:hAnsi="Times New Roman" w:cs="Times New Roman"/>
                <w:sz w:val="20"/>
                <w:szCs w:val="20"/>
                <w:lang w:val="en-US"/>
              </w:rPr>
              <w:fldChar w:fldCharType="begin" w:fldLock="1"/>
            </w:r>
            <w:r w:rsidR="000E7564" w:rsidRPr="00022626">
              <w:rPr>
                <w:rFonts w:ascii="Times New Roman" w:hAnsi="Times New Roman" w:cs="Times New Roman"/>
                <w:sz w:val="20"/>
                <w:szCs w:val="20"/>
                <w:lang w:val="en-US"/>
              </w:rPr>
              <w:instrText>ADDIN CSL_CITATION {"citationItems":[{"id":"ITEM-1","itemData":{"author":[{"dropping-particle":"","family":"Somers","given":"William","non-dropping-particle":"","parse-names":false,"suffix":""},{"dropping-particle":"","family":"Stahl","given":"Mark","non-dropping-particle":"","parse-names":false,"suffix":""},{"dropping-particle":"","family":"Seehra","given":"Jasbir S","non-dropping-particle":"","parse-names":false,"suffix":""}],"id":"ITEM-1","issue":"5","issued":{"date-parts":[["1997"]]},"page":"989-997","title":"1 . 9 Å crystal structure of interleukin 6 : implications for a novel mode of receptor dimerization and signaling","type":"article-journal","volume":"16"},"uris":["http://www.mendeley.com/documents/?uuid=320c476b-1504-4397-8088-206354aafa1d"]}],"mendeley":{"formattedCitation":"(Somers et al., 1997)","plainTextFormattedCitation":"(Somers et al., 1997)","previouslyFormattedCitation":"(Somers et al., 1997)"},"properties":{"noteIndex":0},"schema":"https://github.com/citation-style-language/schema/raw/master/csl-citation.json"}</w:instrText>
            </w:r>
            <w:r w:rsidRPr="00022626">
              <w:rPr>
                <w:rFonts w:ascii="Times New Roman" w:hAnsi="Times New Roman" w:cs="Times New Roman"/>
                <w:sz w:val="20"/>
                <w:szCs w:val="20"/>
                <w:lang w:val="en-US"/>
              </w:rPr>
              <w:fldChar w:fldCharType="separate"/>
            </w:r>
            <w:r w:rsidRPr="00022626">
              <w:rPr>
                <w:rFonts w:ascii="Times New Roman" w:hAnsi="Times New Roman" w:cs="Times New Roman"/>
                <w:noProof/>
                <w:sz w:val="20"/>
                <w:szCs w:val="20"/>
                <w:lang w:val="en-US"/>
              </w:rPr>
              <w:t>(Somers et al., 1997)</w:t>
            </w:r>
            <w:r w:rsidRPr="00022626">
              <w:rPr>
                <w:rFonts w:ascii="Times New Roman" w:hAnsi="Times New Roman" w:cs="Times New Roman"/>
                <w:sz w:val="20"/>
                <w:szCs w:val="20"/>
                <w:lang w:val="en-US"/>
              </w:rPr>
              <w:fldChar w:fldCharType="end"/>
            </w:r>
          </w:p>
        </w:tc>
      </w:tr>
    </w:tbl>
    <w:p w14:paraId="75757ED5" w14:textId="77777777" w:rsidR="002D5B40" w:rsidRPr="00022626" w:rsidRDefault="002D5B40">
      <w:pPr>
        <w:rPr>
          <w:rFonts w:ascii="Times New Roman" w:hAnsi="Times New Roman" w:cs="Times New Roman"/>
          <w:sz w:val="20"/>
          <w:szCs w:val="20"/>
        </w:rPr>
      </w:pPr>
    </w:p>
    <w:p w14:paraId="47D108E1" w14:textId="77777777" w:rsidR="00304AB2" w:rsidRPr="00022626" w:rsidRDefault="00304AB2">
      <w:pPr>
        <w:rPr>
          <w:rFonts w:ascii="Times New Roman" w:hAnsi="Times New Roman" w:cs="Times New Roman"/>
          <w:sz w:val="20"/>
          <w:szCs w:val="20"/>
        </w:rPr>
      </w:pPr>
    </w:p>
    <w:p w14:paraId="13DCE5F5" w14:textId="272FC32C" w:rsidR="00304AB2" w:rsidRPr="00022626" w:rsidRDefault="00304AB2">
      <w:pPr>
        <w:rPr>
          <w:rFonts w:ascii="Times New Roman" w:hAnsi="Times New Roman" w:cs="Times New Roman"/>
          <w:b/>
          <w:bCs/>
          <w:sz w:val="20"/>
          <w:szCs w:val="20"/>
        </w:rPr>
      </w:pPr>
      <w:r w:rsidRPr="00022626">
        <w:rPr>
          <w:rFonts w:ascii="Times New Roman" w:hAnsi="Times New Roman" w:cs="Times New Roman"/>
          <w:b/>
          <w:bCs/>
          <w:sz w:val="20"/>
          <w:szCs w:val="20"/>
        </w:rPr>
        <w:t>References</w:t>
      </w:r>
    </w:p>
    <w:p w14:paraId="68785185" w14:textId="656102AB" w:rsidR="000E7564" w:rsidRPr="00022626" w:rsidRDefault="000E7564" w:rsidP="000E7564">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022626">
        <w:rPr>
          <w:rFonts w:ascii="Times New Roman" w:hAnsi="Times New Roman" w:cs="Times New Roman"/>
          <w:b/>
          <w:bCs/>
          <w:sz w:val="20"/>
          <w:szCs w:val="20"/>
        </w:rPr>
        <w:fldChar w:fldCharType="begin" w:fldLock="1"/>
      </w:r>
      <w:r w:rsidRPr="00022626">
        <w:rPr>
          <w:rFonts w:ascii="Times New Roman" w:hAnsi="Times New Roman" w:cs="Times New Roman"/>
          <w:b/>
          <w:bCs/>
          <w:sz w:val="20"/>
          <w:szCs w:val="20"/>
        </w:rPr>
        <w:instrText xml:space="preserve">ADDIN Mendeley Bibliography CSL_BIBLIOGRAPHY </w:instrText>
      </w:r>
      <w:r w:rsidRPr="00022626">
        <w:rPr>
          <w:rFonts w:ascii="Times New Roman" w:hAnsi="Times New Roman" w:cs="Times New Roman"/>
          <w:b/>
          <w:bCs/>
          <w:sz w:val="20"/>
          <w:szCs w:val="20"/>
        </w:rPr>
        <w:fldChar w:fldCharType="separate"/>
      </w:r>
      <w:r w:rsidRPr="00022626">
        <w:rPr>
          <w:rFonts w:ascii="Times New Roman" w:hAnsi="Times New Roman" w:cs="Times New Roman"/>
          <w:noProof/>
          <w:sz w:val="20"/>
          <w:szCs w:val="20"/>
        </w:rPr>
        <w:t xml:space="preserve">He, M. M., Smith, A. S., Oslob, J. D., Flanagan, W. M., Braisted, A. C., Whitty, A., Cancilla, M. T., Wang, J., Lugovskoy, A. A., Yoburn, J. C., Fung, A. D., Farrington, G., Eldredge, J. K., Day, E. S., Cruz, L. A., Cachero, T. G., Miller, S. K., Friedman, J. E., Choong, I. C., &amp; Cunningham, B. C. (2005). Small-molecule inhibition of TNF-alpha. </w:t>
      </w:r>
      <w:r w:rsidRPr="00022626">
        <w:rPr>
          <w:rFonts w:ascii="Times New Roman" w:hAnsi="Times New Roman" w:cs="Times New Roman"/>
          <w:i/>
          <w:iCs/>
          <w:noProof/>
          <w:sz w:val="20"/>
          <w:szCs w:val="20"/>
        </w:rPr>
        <w:t>Science (New York, N.Y.)</w:t>
      </w:r>
      <w:r w:rsidRPr="00022626">
        <w:rPr>
          <w:rFonts w:ascii="Times New Roman" w:hAnsi="Times New Roman" w:cs="Times New Roman"/>
          <w:noProof/>
          <w:sz w:val="20"/>
          <w:szCs w:val="20"/>
        </w:rPr>
        <w:t xml:space="preserve">, </w:t>
      </w:r>
      <w:r w:rsidRPr="00022626">
        <w:rPr>
          <w:rFonts w:ascii="Times New Roman" w:hAnsi="Times New Roman" w:cs="Times New Roman"/>
          <w:i/>
          <w:iCs/>
          <w:noProof/>
          <w:sz w:val="20"/>
          <w:szCs w:val="20"/>
        </w:rPr>
        <w:t>310</w:t>
      </w:r>
      <w:r w:rsidRPr="00022626">
        <w:rPr>
          <w:rFonts w:ascii="Times New Roman" w:hAnsi="Times New Roman" w:cs="Times New Roman"/>
          <w:noProof/>
          <w:sz w:val="20"/>
          <w:szCs w:val="20"/>
        </w:rPr>
        <w:t>(5750). https://doi.org/10.1126/science.1116304</w:t>
      </w:r>
    </w:p>
    <w:p w14:paraId="6ADC456A" w14:textId="77777777" w:rsidR="000E7564" w:rsidRPr="00022626" w:rsidRDefault="000E7564" w:rsidP="000E7564">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022626">
        <w:rPr>
          <w:rFonts w:ascii="Times New Roman" w:hAnsi="Times New Roman" w:cs="Times New Roman"/>
          <w:noProof/>
          <w:sz w:val="20"/>
          <w:szCs w:val="20"/>
        </w:rPr>
        <w:t xml:space="preserve">Orlando, B. J., &amp; Malkowski, M. G. (2016). Substrate-selective inhibition of cyclooxygeanse-2 by fenamic acid derivatives is dependent on peroxide tone. </w:t>
      </w:r>
      <w:r w:rsidRPr="00022626">
        <w:rPr>
          <w:rFonts w:ascii="Times New Roman" w:hAnsi="Times New Roman" w:cs="Times New Roman"/>
          <w:i/>
          <w:iCs/>
          <w:noProof/>
          <w:sz w:val="20"/>
          <w:szCs w:val="20"/>
        </w:rPr>
        <w:t>Journal of Biological Chemistry</w:t>
      </w:r>
      <w:r w:rsidRPr="00022626">
        <w:rPr>
          <w:rFonts w:ascii="Times New Roman" w:hAnsi="Times New Roman" w:cs="Times New Roman"/>
          <w:noProof/>
          <w:sz w:val="20"/>
          <w:szCs w:val="20"/>
        </w:rPr>
        <w:t xml:space="preserve">, </w:t>
      </w:r>
      <w:r w:rsidRPr="00022626">
        <w:rPr>
          <w:rFonts w:ascii="Times New Roman" w:hAnsi="Times New Roman" w:cs="Times New Roman"/>
          <w:i/>
          <w:iCs/>
          <w:noProof/>
          <w:sz w:val="20"/>
          <w:szCs w:val="20"/>
        </w:rPr>
        <w:t>291</w:t>
      </w:r>
      <w:r w:rsidRPr="00022626">
        <w:rPr>
          <w:rFonts w:ascii="Times New Roman" w:hAnsi="Times New Roman" w:cs="Times New Roman"/>
          <w:noProof/>
          <w:sz w:val="20"/>
          <w:szCs w:val="20"/>
        </w:rPr>
        <w:t>(29). https://doi.org/10.1074/jbc.M116.725713</w:t>
      </w:r>
    </w:p>
    <w:p w14:paraId="1F5FD524" w14:textId="77777777" w:rsidR="000E7564" w:rsidRPr="00022626" w:rsidRDefault="000E7564" w:rsidP="000E7564">
      <w:pPr>
        <w:widowControl w:val="0"/>
        <w:autoSpaceDE w:val="0"/>
        <w:autoSpaceDN w:val="0"/>
        <w:adjustRightInd w:val="0"/>
        <w:spacing w:line="240" w:lineRule="auto"/>
        <w:ind w:left="480" w:hanging="480"/>
        <w:jc w:val="both"/>
        <w:rPr>
          <w:rFonts w:ascii="Times New Roman" w:hAnsi="Times New Roman" w:cs="Times New Roman"/>
          <w:noProof/>
          <w:sz w:val="20"/>
          <w:szCs w:val="20"/>
        </w:rPr>
      </w:pPr>
      <w:r w:rsidRPr="00022626">
        <w:rPr>
          <w:rFonts w:ascii="Times New Roman" w:hAnsi="Times New Roman" w:cs="Times New Roman"/>
          <w:noProof/>
          <w:sz w:val="20"/>
          <w:szCs w:val="20"/>
        </w:rPr>
        <w:t xml:space="preserve">Somers, W., Stahl, M., &amp; Seehra, J. S. (1997). </w:t>
      </w:r>
      <w:r w:rsidRPr="00022626">
        <w:rPr>
          <w:rFonts w:ascii="Times New Roman" w:hAnsi="Times New Roman" w:cs="Times New Roman"/>
          <w:i/>
          <w:iCs/>
          <w:noProof/>
          <w:sz w:val="20"/>
          <w:szCs w:val="20"/>
        </w:rPr>
        <w:t>1 . 9 Å crystal structure of interleukin 6 : implications for a novel mode of receptor dimerization and signaling</w:t>
      </w:r>
      <w:r w:rsidRPr="00022626">
        <w:rPr>
          <w:rFonts w:ascii="Times New Roman" w:hAnsi="Times New Roman" w:cs="Times New Roman"/>
          <w:noProof/>
          <w:sz w:val="20"/>
          <w:szCs w:val="20"/>
        </w:rPr>
        <w:t xml:space="preserve">. </w:t>
      </w:r>
      <w:r w:rsidRPr="00022626">
        <w:rPr>
          <w:rFonts w:ascii="Times New Roman" w:hAnsi="Times New Roman" w:cs="Times New Roman"/>
          <w:i/>
          <w:iCs/>
          <w:noProof/>
          <w:sz w:val="20"/>
          <w:szCs w:val="20"/>
        </w:rPr>
        <w:t>16</w:t>
      </w:r>
      <w:r w:rsidRPr="00022626">
        <w:rPr>
          <w:rFonts w:ascii="Times New Roman" w:hAnsi="Times New Roman" w:cs="Times New Roman"/>
          <w:noProof/>
          <w:sz w:val="20"/>
          <w:szCs w:val="20"/>
        </w:rPr>
        <w:t>(5), 989–997.</w:t>
      </w:r>
    </w:p>
    <w:p w14:paraId="41A8F8BB" w14:textId="7D1BC550" w:rsidR="00304AB2" w:rsidRPr="00304AB2" w:rsidRDefault="000E7564" w:rsidP="000E7564">
      <w:pPr>
        <w:jc w:val="both"/>
        <w:rPr>
          <w:rFonts w:ascii="Times New Roman" w:hAnsi="Times New Roman" w:cs="Times New Roman"/>
          <w:b/>
          <w:bCs/>
          <w:sz w:val="24"/>
          <w:szCs w:val="24"/>
        </w:rPr>
      </w:pPr>
      <w:r w:rsidRPr="00022626">
        <w:rPr>
          <w:rFonts w:ascii="Times New Roman" w:hAnsi="Times New Roman" w:cs="Times New Roman"/>
          <w:b/>
          <w:bCs/>
          <w:sz w:val="20"/>
          <w:szCs w:val="20"/>
        </w:rPr>
        <w:fldChar w:fldCharType="end"/>
      </w:r>
    </w:p>
    <w:sectPr w:rsidR="00304AB2" w:rsidRPr="00304A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E6B"/>
    <w:rsid w:val="00022626"/>
    <w:rsid w:val="0007031C"/>
    <w:rsid w:val="000E7564"/>
    <w:rsid w:val="00172A3D"/>
    <w:rsid w:val="001D1DC0"/>
    <w:rsid w:val="001D723A"/>
    <w:rsid w:val="00201A89"/>
    <w:rsid w:val="002D5B40"/>
    <w:rsid w:val="00304AB2"/>
    <w:rsid w:val="003D0E20"/>
    <w:rsid w:val="004607C0"/>
    <w:rsid w:val="005563B0"/>
    <w:rsid w:val="0060481D"/>
    <w:rsid w:val="006671EC"/>
    <w:rsid w:val="00773674"/>
    <w:rsid w:val="008F1E6B"/>
    <w:rsid w:val="00A26745"/>
    <w:rsid w:val="00D910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932FC"/>
  <w15:chartTrackingRefBased/>
  <w15:docId w15:val="{D4DB3982-99AD-4CDB-B9D2-FD0A0B9E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1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03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64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oumenb123@rediffmail.com" TargetMode="External"/><Relationship Id="rId5" Type="http://schemas.openxmlformats.org/officeDocument/2006/relationships/hyperlink" Target="mailto:soumenb@nbu.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9A7AA-1D65-4153-9ED1-22C8CDF2E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1469</Words>
  <Characters>8376</Characters>
  <Application>Microsoft Office Word</Application>
  <DocSecurity>0</DocSecurity>
  <Lines>69</Lines>
  <Paragraphs>19</Paragraphs>
  <ScaleCrop>false</ScaleCrop>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Sourav Sarkar</dc:creator>
  <cp:keywords/>
  <dc:description/>
  <cp:lastModifiedBy>Sourav Sarkar</cp:lastModifiedBy>
  <cp:revision>26</cp:revision>
  <dcterms:created xsi:type="dcterms:W3CDTF">2023-02-17T08:17:00Z</dcterms:created>
  <dcterms:modified xsi:type="dcterms:W3CDTF">2023-03-07T05:44:00Z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085ffc84-b123-347e-ba12-d6fb162a0e3c</vt:lpwstr>
  </property>
  <property fmtid="{D5CDD505-2E9C-101B-9397-08002B2CF9AE}" pid="24" name="Mendeley Citation Style_1">
    <vt:lpwstr>http://www.zotero.org/styles/apa</vt:lpwstr>
  </property>
</Properties>
</file>