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DEDDAD" w14:textId="77777777" w:rsidR="007C29A8" w:rsidRPr="004173FD" w:rsidRDefault="007C29A8" w:rsidP="007C29A8">
      <w:pPr>
        <w:spacing w:line="600" w:lineRule="auto"/>
        <w:jc w:val="both"/>
        <w:rPr>
          <w:b/>
          <w:bCs/>
        </w:rPr>
      </w:pPr>
      <w:r w:rsidRPr="00C702F2">
        <w:rPr>
          <w:b/>
          <w:bCs/>
        </w:rPr>
        <w:t>N-</w:t>
      </w:r>
      <w:r>
        <w:rPr>
          <w:b/>
          <w:bCs/>
        </w:rPr>
        <w:t xml:space="preserve">linked </w:t>
      </w:r>
      <w:r w:rsidRPr="00C702F2">
        <w:rPr>
          <w:b/>
          <w:bCs/>
        </w:rPr>
        <w:t xml:space="preserve">glycosylation </w:t>
      </w:r>
      <w:r>
        <w:rPr>
          <w:b/>
          <w:bCs/>
        </w:rPr>
        <w:t>is essential for</w:t>
      </w:r>
      <w:r w:rsidRPr="00C702F2">
        <w:rPr>
          <w:b/>
          <w:bCs/>
        </w:rPr>
        <w:t xml:space="preserve"> </w:t>
      </w:r>
      <w:r>
        <w:rPr>
          <w:b/>
          <w:bCs/>
        </w:rPr>
        <w:t xml:space="preserve">anti-tumor activities of </w:t>
      </w:r>
      <w:r w:rsidRPr="00C702F2">
        <w:rPr>
          <w:b/>
          <w:bCs/>
        </w:rPr>
        <w:t>KIAA1324</w:t>
      </w:r>
      <w:r>
        <w:rPr>
          <w:b/>
          <w:bCs/>
        </w:rPr>
        <w:t xml:space="preserve"> in gastric cancer</w:t>
      </w:r>
    </w:p>
    <w:p w14:paraId="18EB2F4F" w14:textId="77777777" w:rsidR="007C29A8" w:rsidRPr="00111E44" w:rsidRDefault="007C29A8" w:rsidP="007C29A8">
      <w:pPr>
        <w:spacing w:line="276" w:lineRule="auto"/>
        <w:jc w:val="both"/>
        <w:rPr>
          <w:color w:val="000000" w:themeColor="text1"/>
        </w:rPr>
      </w:pPr>
      <w:r w:rsidRPr="00111E44">
        <w:rPr>
          <w:color w:val="000000" w:themeColor="text1"/>
        </w:rPr>
        <w:t>Rebecca Yun</w:t>
      </w:r>
      <w:r w:rsidRPr="00111E44">
        <w:rPr>
          <w:color w:val="000000" w:themeColor="text1"/>
          <w:vertAlign w:val="superscript"/>
        </w:rPr>
        <w:t>1,</w:t>
      </w:r>
      <w:proofErr w:type="gramStart"/>
      <w:r w:rsidRPr="00111E44">
        <w:rPr>
          <w:color w:val="000000" w:themeColor="text1"/>
          <w:vertAlign w:val="superscript"/>
        </w:rPr>
        <w:t>2</w:t>
      </w:r>
      <w:r w:rsidRPr="00111E44">
        <w:rPr>
          <w:rFonts w:eastAsiaTheme="minorEastAsia"/>
          <w:color w:val="000000" w:themeColor="text1"/>
          <w:vertAlign w:val="superscript"/>
        </w:rPr>
        <w:t>,#</w:t>
      </w:r>
      <w:proofErr w:type="gramEnd"/>
      <w:r w:rsidRPr="00111E44">
        <w:rPr>
          <w:color w:val="000000" w:themeColor="text1"/>
        </w:rPr>
        <w:t>, Eunji Hong</w:t>
      </w:r>
      <w:r w:rsidRPr="00111E44">
        <w:rPr>
          <w:color w:val="000000" w:themeColor="text1"/>
          <w:vertAlign w:val="superscript"/>
        </w:rPr>
        <w:t>1,3,</w:t>
      </w:r>
      <w:r w:rsidRPr="00111E44">
        <w:rPr>
          <w:rFonts w:eastAsiaTheme="minorEastAsia"/>
          <w:color w:val="000000" w:themeColor="text1"/>
          <w:vertAlign w:val="superscript"/>
        </w:rPr>
        <w:t>#</w:t>
      </w:r>
      <w:r w:rsidRPr="00111E44">
        <w:rPr>
          <w:color w:val="000000" w:themeColor="text1"/>
        </w:rPr>
        <w:t xml:space="preserve">, </w:t>
      </w:r>
      <w:proofErr w:type="spellStart"/>
      <w:r w:rsidRPr="00111E44">
        <w:rPr>
          <w:color w:val="000000" w:themeColor="text1"/>
        </w:rPr>
        <w:t>Junil</w:t>
      </w:r>
      <w:proofErr w:type="spellEnd"/>
      <w:r w:rsidRPr="00111E44">
        <w:rPr>
          <w:color w:val="000000" w:themeColor="text1"/>
        </w:rPr>
        <w:t xml:space="preserve"> Kim</w:t>
      </w:r>
      <w:r w:rsidRPr="00111E44">
        <w:rPr>
          <w:color w:val="000000" w:themeColor="text1"/>
          <w:vertAlign w:val="superscript"/>
        </w:rPr>
        <w:t>4,</w:t>
      </w:r>
      <w:r w:rsidRPr="00111E44">
        <w:rPr>
          <w:rFonts w:eastAsiaTheme="minorEastAsia"/>
          <w:color w:val="000000" w:themeColor="text1"/>
          <w:vertAlign w:val="superscript"/>
        </w:rPr>
        <w:t>#</w:t>
      </w:r>
      <w:r w:rsidRPr="00111E44">
        <w:rPr>
          <w:color w:val="000000" w:themeColor="text1"/>
        </w:rPr>
        <w:t>, Bora Park</w:t>
      </w:r>
      <w:r w:rsidRPr="00111E44">
        <w:rPr>
          <w:rFonts w:eastAsia="Gulim"/>
          <w:color w:val="000000" w:themeColor="text1"/>
          <w:vertAlign w:val="superscript"/>
        </w:rPr>
        <w:t>5</w:t>
      </w:r>
      <w:r w:rsidRPr="00111E44">
        <w:rPr>
          <w:color w:val="000000" w:themeColor="text1"/>
        </w:rPr>
        <w:t xml:space="preserve">, Staci </w:t>
      </w:r>
      <w:proofErr w:type="spellStart"/>
      <w:r w:rsidRPr="00111E44">
        <w:rPr>
          <w:color w:val="000000" w:themeColor="text1"/>
        </w:rPr>
        <w:t>Jakyong</w:t>
      </w:r>
      <w:proofErr w:type="spellEnd"/>
      <w:r w:rsidRPr="00111E44">
        <w:rPr>
          <w:color w:val="000000" w:themeColor="text1"/>
        </w:rPr>
        <w:t xml:space="preserve"> Kim</w:t>
      </w:r>
      <w:r w:rsidRPr="00111E44">
        <w:rPr>
          <w:rFonts w:eastAsia="Gulim"/>
          <w:color w:val="000000" w:themeColor="text1"/>
          <w:vertAlign w:val="superscript"/>
        </w:rPr>
        <w:t>6</w:t>
      </w:r>
      <w:r w:rsidRPr="00111E44">
        <w:rPr>
          <w:color w:val="000000" w:themeColor="text1"/>
        </w:rPr>
        <w:t>, Bona Lee</w:t>
      </w:r>
      <w:r w:rsidRPr="00111E44">
        <w:rPr>
          <w:rFonts w:eastAsia="Gulim"/>
          <w:color w:val="000000" w:themeColor="text1"/>
          <w:vertAlign w:val="superscript"/>
        </w:rPr>
        <w:t>7</w:t>
      </w:r>
      <w:r w:rsidRPr="00111E44">
        <w:rPr>
          <w:color w:val="000000" w:themeColor="text1"/>
        </w:rPr>
        <w:t xml:space="preserve">, </w:t>
      </w:r>
      <w:r w:rsidRPr="00111E44">
        <w:rPr>
          <w:rFonts w:eastAsiaTheme="minorEastAsia"/>
          <w:color w:val="000000" w:themeColor="text1"/>
        </w:rPr>
        <w:t>Yong</w:t>
      </w:r>
      <w:r w:rsidRPr="00111E44">
        <w:rPr>
          <w:color w:val="000000" w:themeColor="text1"/>
        </w:rPr>
        <w:t xml:space="preserve"> </w:t>
      </w:r>
      <w:r w:rsidRPr="00111E44">
        <w:rPr>
          <w:rFonts w:eastAsiaTheme="minorEastAsia"/>
          <w:color w:val="000000" w:themeColor="text1"/>
        </w:rPr>
        <w:t>Sang Song</w:t>
      </w:r>
      <w:r>
        <w:rPr>
          <w:rFonts w:eastAsiaTheme="minorEastAsia"/>
          <w:color w:val="000000" w:themeColor="text1"/>
          <w:vertAlign w:val="superscript"/>
        </w:rPr>
        <w:t>2,8</w:t>
      </w:r>
      <w:r w:rsidRPr="00111E44">
        <w:rPr>
          <w:rFonts w:eastAsiaTheme="minorEastAsia"/>
          <w:color w:val="000000" w:themeColor="text1"/>
        </w:rPr>
        <w:t xml:space="preserve">, </w:t>
      </w:r>
      <w:proofErr w:type="spellStart"/>
      <w:r w:rsidRPr="00111E44">
        <w:rPr>
          <w:color w:val="000000" w:themeColor="text1"/>
        </w:rPr>
        <w:t>Seong-Jin</w:t>
      </w:r>
      <w:proofErr w:type="spellEnd"/>
      <w:r w:rsidRPr="00111E44">
        <w:rPr>
          <w:color w:val="000000" w:themeColor="text1"/>
        </w:rPr>
        <w:t xml:space="preserve"> Kim</w:t>
      </w:r>
      <w:r w:rsidRPr="00111E44">
        <w:rPr>
          <w:color w:val="000000" w:themeColor="text1"/>
          <w:vertAlign w:val="superscript"/>
        </w:rPr>
        <w:t>1,</w:t>
      </w:r>
      <w:r w:rsidRPr="00111E44">
        <w:rPr>
          <w:rFonts w:eastAsiaTheme="minorEastAsia"/>
          <w:color w:val="000000" w:themeColor="text1"/>
          <w:vertAlign w:val="superscript"/>
        </w:rPr>
        <w:t>9</w:t>
      </w:r>
      <w:r w:rsidRPr="00111E44">
        <w:rPr>
          <w:rFonts w:eastAsiaTheme="minorEastAsia"/>
          <w:color w:val="000000" w:themeColor="text1"/>
        </w:rPr>
        <w:t>,</w:t>
      </w:r>
      <w:r w:rsidRPr="00111E44">
        <w:rPr>
          <w:color w:val="000000" w:themeColor="text1"/>
        </w:rPr>
        <w:t xml:space="preserve"> </w:t>
      </w:r>
      <w:proofErr w:type="spellStart"/>
      <w:r w:rsidRPr="00111E44">
        <w:rPr>
          <w:color w:val="000000" w:themeColor="text1"/>
        </w:rPr>
        <w:t>Sujin</w:t>
      </w:r>
      <w:proofErr w:type="spellEnd"/>
      <w:r w:rsidRPr="00111E44">
        <w:rPr>
          <w:color w:val="000000" w:themeColor="text1"/>
        </w:rPr>
        <w:t xml:space="preserve"> Park</w:t>
      </w:r>
      <w:r w:rsidRPr="00111E44">
        <w:rPr>
          <w:color w:val="000000" w:themeColor="text1"/>
          <w:vertAlign w:val="superscript"/>
        </w:rPr>
        <w:t>1*</w:t>
      </w:r>
      <w:r w:rsidRPr="00111E44">
        <w:rPr>
          <w:color w:val="000000" w:themeColor="text1"/>
        </w:rPr>
        <w:t xml:space="preserve">, </w:t>
      </w:r>
      <w:r w:rsidRPr="00111E44">
        <w:rPr>
          <w:rFonts w:eastAsiaTheme="minorEastAsia"/>
          <w:color w:val="000000" w:themeColor="text1"/>
        </w:rPr>
        <w:t>and</w:t>
      </w:r>
      <w:r w:rsidRPr="00111E44">
        <w:rPr>
          <w:color w:val="000000" w:themeColor="text1"/>
        </w:rPr>
        <w:t xml:space="preserve"> </w:t>
      </w:r>
      <w:proofErr w:type="spellStart"/>
      <w:r w:rsidRPr="00111E44">
        <w:rPr>
          <w:color w:val="000000" w:themeColor="text1"/>
        </w:rPr>
        <w:t>Jin</w:t>
      </w:r>
      <w:proofErr w:type="spellEnd"/>
      <w:r w:rsidRPr="00111E44">
        <w:rPr>
          <w:color w:val="000000" w:themeColor="text1"/>
        </w:rPr>
        <w:t xml:space="preserve"> </w:t>
      </w:r>
      <w:proofErr w:type="spellStart"/>
      <w:r w:rsidRPr="00111E44">
        <w:rPr>
          <w:color w:val="000000" w:themeColor="text1"/>
        </w:rPr>
        <w:t>Muk</w:t>
      </w:r>
      <w:proofErr w:type="spellEnd"/>
      <w:r w:rsidRPr="00111E44">
        <w:rPr>
          <w:color w:val="000000" w:themeColor="text1"/>
        </w:rPr>
        <w:t xml:space="preserve"> Kang</w:t>
      </w:r>
      <w:r w:rsidRPr="00111E44">
        <w:rPr>
          <w:rFonts w:eastAsiaTheme="minorEastAsia"/>
          <w:color w:val="000000" w:themeColor="text1"/>
          <w:vertAlign w:val="superscript"/>
        </w:rPr>
        <w:t>10</w:t>
      </w:r>
      <w:r w:rsidRPr="00111E44">
        <w:rPr>
          <w:color w:val="000000" w:themeColor="text1"/>
          <w:vertAlign w:val="superscript"/>
        </w:rPr>
        <w:t>*</w:t>
      </w:r>
    </w:p>
    <w:p w14:paraId="1182AE1D" w14:textId="77777777" w:rsidR="007C29A8" w:rsidRPr="00111E44" w:rsidRDefault="007C29A8" w:rsidP="007C29A8">
      <w:pPr>
        <w:spacing w:line="480" w:lineRule="auto"/>
        <w:jc w:val="both"/>
        <w:rPr>
          <w:rFonts w:eastAsia="HYSinMyeongJo-Medium"/>
          <w:bCs/>
          <w:color w:val="000000" w:themeColor="text1"/>
          <w:vertAlign w:val="superscript"/>
        </w:rPr>
      </w:pPr>
    </w:p>
    <w:p w14:paraId="5D5E3BCA" w14:textId="77777777" w:rsidR="007C29A8" w:rsidRPr="00111E44" w:rsidRDefault="007C29A8" w:rsidP="007C29A8">
      <w:pPr>
        <w:spacing w:line="360" w:lineRule="auto"/>
        <w:jc w:val="both"/>
        <w:rPr>
          <w:rFonts w:eastAsia="Gulim"/>
          <w:color w:val="000000" w:themeColor="text1"/>
        </w:rPr>
      </w:pPr>
      <w:r w:rsidRPr="00111E44">
        <w:rPr>
          <w:rFonts w:eastAsia="HYSinMyeongJo-Medium"/>
          <w:bCs/>
          <w:color w:val="000000" w:themeColor="text1"/>
          <w:vertAlign w:val="superscript"/>
        </w:rPr>
        <w:t>1</w:t>
      </w:r>
      <w:r w:rsidRPr="00111E44">
        <w:rPr>
          <w:rFonts w:eastAsia="HYSinMyeongJo-Medium"/>
          <w:bCs/>
          <w:color w:val="000000" w:themeColor="text1"/>
        </w:rPr>
        <w:t xml:space="preserve">GILO Institute, GILO Foundation, Seoul 06668, Republic of Korea, </w:t>
      </w:r>
      <w:r w:rsidRPr="00111E44">
        <w:rPr>
          <w:color w:val="000000" w:themeColor="text1"/>
          <w:vertAlign w:val="superscript"/>
        </w:rPr>
        <w:t>2</w:t>
      </w:r>
      <w:r>
        <w:rPr>
          <w:color w:val="000000" w:themeColor="text1"/>
        </w:rPr>
        <w:t>Interdisciplinary Program in Cancer Biology</w:t>
      </w:r>
      <w:r w:rsidRPr="00111E44">
        <w:rPr>
          <w:color w:val="000000" w:themeColor="text1"/>
        </w:rPr>
        <w:t xml:space="preserve">, Seoul National University, </w:t>
      </w:r>
      <w:proofErr w:type="spellStart"/>
      <w:r>
        <w:rPr>
          <w:color w:val="000000" w:themeColor="text1"/>
        </w:rPr>
        <w:t>Gwanak-gu</w:t>
      </w:r>
      <w:proofErr w:type="spellEnd"/>
      <w:r w:rsidRPr="00111E44">
        <w:rPr>
          <w:color w:val="000000" w:themeColor="text1"/>
        </w:rPr>
        <w:t>, Seoul</w:t>
      </w:r>
      <w:r>
        <w:rPr>
          <w:rFonts w:hint="eastAsia"/>
          <w:color w:val="000000" w:themeColor="text1"/>
        </w:rPr>
        <w:t xml:space="preserve"> </w:t>
      </w:r>
      <w:r>
        <w:rPr>
          <w:color w:val="000000" w:themeColor="text1"/>
        </w:rPr>
        <w:t>08826</w:t>
      </w:r>
      <w:r w:rsidRPr="00111E44">
        <w:rPr>
          <w:color w:val="000000" w:themeColor="text1"/>
        </w:rPr>
        <w:t>, Republic of Korea</w:t>
      </w:r>
      <w:r w:rsidRPr="00111E44">
        <w:rPr>
          <w:rFonts w:eastAsia="HYSinMyeongJo-Medium"/>
          <w:bCs/>
          <w:color w:val="000000" w:themeColor="text1"/>
        </w:rPr>
        <w:t xml:space="preserve">, </w:t>
      </w:r>
      <w:r w:rsidRPr="00111E44">
        <w:rPr>
          <w:color w:val="000000" w:themeColor="text1"/>
          <w:vertAlign w:val="superscript"/>
        </w:rPr>
        <w:t>3</w:t>
      </w:r>
      <w:r w:rsidRPr="00111E44">
        <w:rPr>
          <w:color w:val="000000" w:themeColor="text1"/>
        </w:rPr>
        <w:t>Department of Biomedical Science, College of Life Science, Sungkyunkwan University, Suwon, Gyeonggi-do 16419</w:t>
      </w:r>
      <w:r>
        <w:rPr>
          <w:color w:val="000000" w:themeColor="text1"/>
        </w:rPr>
        <w:t>,</w:t>
      </w:r>
      <w:r w:rsidRPr="00111E44">
        <w:rPr>
          <w:color w:val="000000" w:themeColor="text1"/>
        </w:rPr>
        <w:t xml:space="preserve"> Republic of Korea, </w:t>
      </w:r>
      <w:r w:rsidRPr="00111E44">
        <w:rPr>
          <w:color w:val="000000" w:themeColor="text1"/>
          <w:vertAlign w:val="superscript"/>
        </w:rPr>
        <w:t>4</w:t>
      </w:r>
      <w:r w:rsidRPr="00111E44">
        <w:rPr>
          <w:rFonts w:eastAsiaTheme="minorEastAsia"/>
          <w:color w:val="000000" w:themeColor="text1"/>
        </w:rPr>
        <w:t xml:space="preserve">School of Systems Biomedical Science, </w:t>
      </w:r>
      <w:proofErr w:type="spellStart"/>
      <w:r w:rsidRPr="00111E44">
        <w:rPr>
          <w:rFonts w:eastAsiaTheme="minorEastAsia"/>
          <w:color w:val="000000" w:themeColor="text1"/>
        </w:rPr>
        <w:t>Soongsil</w:t>
      </w:r>
      <w:proofErr w:type="spellEnd"/>
      <w:r w:rsidRPr="00111E44">
        <w:rPr>
          <w:rFonts w:eastAsiaTheme="minorEastAsia"/>
          <w:color w:val="000000" w:themeColor="text1"/>
        </w:rPr>
        <w:t xml:space="preserve"> University, Seoul 06978, Republic of Korea,</w:t>
      </w:r>
      <w:r w:rsidRPr="00111E44">
        <w:rPr>
          <w:color w:val="000000" w:themeColor="text1"/>
          <w:shd w:val="clear" w:color="auto" w:fill="FFFFFF"/>
        </w:rPr>
        <w:t xml:space="preserve"> </w:t>
      </w:r>
      <w:r>
        <w:rPr>
          <w:rFonts w:eastAsia="Gulim"/>
          <w:color w:val="000000" w:themeColor="text1"/>
          <w:vertAlign w:val="superscript"/>
        </w:rPr>
        <w:t>5</w:t>
      </w:r>
      <w:r w:rsidRPr="00FB022E">
        <w:rPr>
          <w:rFonts w:eastAsia="Gulim"/>
          <w:color w:val="000000" w:themeColor="text1"/>
        </w:rPr>
        <w:t>WellSpan York Hospital Family Medicine Residency Program, York</w:t>
      </w:r>
      <w:r>
        <w:rPr>
          <w:rFonts w:eastAsia="Gulim"/>
          <w:color w:val="000000" w:themeColor="text1"/>
        </w:rPr>
        <w:t xml:space="preserve">, </w:t>
      </w:r>
      <w:r w:rsidRPr="00111E44">
        <w:rPr>
          <w:rFonts w:eastAsia="Gulim"/>
          <w:color w:val="000000" w:themeColor="text1"/>
        </w:rPr>
        <w:t xml:space="preserve">Pennsylvania, USA, </w:t>
      </w:r>
      <w:r w:rsidRPr="00111E44">
        <w:rPr>
          <w:rFonts w:eastAsia="Gulim"/>
          <w:color w:val="000000" w:themeColor="text1"/>
          <w:vertAlign w:val="superscript"/>
        </w:rPr>
        <w:t>6</w:t>
      </w:r>
      <w:r>
        <w:rPr>
          <w:rFonts w:eastAsia="Gulim"/>
          <w:color w:val="000000" w:themeColor="text1"/>
        </w:rPr>
        <w:t xml:space="preserve">International </w:t>
      </w:r>
      <w:r w:rsidRPr="00111E44">
        <w:rPr>
          <w:rFonts w:eastAsia="Gulim"/>
          <w:color w:val="000000" w:themeColor="text1"/>
        </w:rPr>
        <w:t xml:space="preserve">Institute for Integrative Sleep Medicine, University of Tsukuba, Tsukuba, Japan, </w:t>
      </w:r>
      <w:r w:rsidRPr="00111E44">
        <w:rPr>
          <w:rFonts w:eastAsia="Gulim"/>
          <w:color w:val="000000" w:themeColor="text1"/>
          <w:vertAlign w:val="superscript"/>
        </w:rPr>
        <w:t>7</w:t>
      </w:r>
      <w:r w:rsidRPr="00111E44">
        <w:rPr>
          <w:rFonts w:eastAsia="Gulim"/>
          <w:color w:val="000000" w:themeColor="text1"/>
        </w:rPr>
        <w:t xml:space="preserve">Case Western Reserve University School of Medicine, Cleveland, OH, United States, </w:t>
      </w:r>
      <w:r w:rsidRPr="00111E44">
        <w:rPr>
          <w:rFonts w:eastAsia="Gulim"/>
          <w:color w:val="000000" w:themeColor="text1"/>
          <w:vertAlign w:val="superscript"/>
        </w:rPr>
        <w:t>8</w:t>
      </w:r>
      <w:r w:rsidRPr="00111E44">
        <w:rPr>
          <w:rFonts w:eastAsia="Gulim"/>
          <w:color w:val="000000" w:themeColor="text1"/>
        </w:rPr>
        <w:t xml:space="preserve">Department of Obstetrics and Gynecology, College of Medicine, Seoul National University, Seoul, Republic of Korea, </w:t>
      </w:r>
      <w:r w:rsidRPr="00111E44">
        <w:rPr>
          <w:rFonts w:eastAsiaTheme="minorEastAsia"/>
          <w:color w:val="000000" w:themeColor="text1"/>
          <w:vertAlign w:val="superscript"/>
        </w:rPr>
        <w:t>9</w:t>
      </w:r>
      <w:r w:rsidRPr="00111E44">
        <w:rPr>
          <w:rFonts w:eastAsia="Gulim"/>
          <w:color w:val="000000" w:themeColor="text1"/>
        </w:rPr>
        <w:t>Medpacto Inc., Seoul 06668,</w:t>
      </w:r>
      <w:r w:rsidRPr="00111E44">
        <w:rPr>
          <w:color w:val="000000" w:themeColor="text1"/>
          <w:vertAlign w:val="superscript"/>
        </w:rPr>
        <w:t xml:space="preserve"> </w:t>
      </w:r>
      <w:r w:rsidRPr="00111E44">
        <w:rPr>
          <w:rFonts w:eastAsia="Gulim"/>
          <w:color w:val="000000" w:themeColor="text1"/>
        </w:rPr>
        <w:t xml:space="preserve">Republic of Korea, </w:t>
      </w:r>
      <w:r w:rsidRPr="00111E44">
        <w:rPr>
          <w:rFonts w:eastAsiaTheme="minorEastAsia"/>
          <w:color w:val="000000" w:themeColor="text1"/>
          <w:vertAlign w:val="superscript"/>
        </w:rPr>
        <w:t>10</w:t>
      </w:r>
      <w:r w:rsidRPr="00111E44">
        <w:rPr>
          <w:rFonts w:eastAsia="HYSinMyeongJo-Medium"/>
          <w:color w:val="000000" w:themeColor="text1"/>
        </w:rPr>
        <w:t>Department of Pediatric Hematology &amp; Oncology, University Hospitals Cleveland Medical Center, Cleveland, Ohio, USA</w:t>
      </w:r>
      <w:r w:rsidRPr="00111E44">
        <w:rPr>
          <w:rFonts w:eastAsia="Gulim"/>
          <w:color w:val="000000" w:themeColor="text1"/>
        </w:rPr>
        <w:t>,</w:t>
      </w:r>
    </w:p>
    <w:p w14:paraId="0328A980" w14:textId="77777777" w:rsidR="007C29A8" w:rsidRPr="00111E44" w:rsidRDefault="007C29A8" w:rsidP="007C29A8">
      <w:pPr>
        <w:spacing w:line="480" w:lineRule="auto"/>
        <w:jc w:val="both"/>
        <w:rPr>
          <w:rFonts w:eastAsia="Gulim"/>
          <w:color w:val="000000" w:themeColor="text1"/>
        </w:rPr>
      </w:pPr>
    </w:p>
    <w:p w14:paraId="49FB434E" w14:textId="77777777" w:rsidR="007C29A8" w:rsidRPr="00111E44" w:rsidRDefault="007C29A8" w:rsidP="007C29A8">
      <w:pPr>
        <w:spacing w:line="480" w:lineRule="auto"/>
        <w:jc w:val="both"/>
        <w:rPr>
          <w:rFonts w:eastAsia="Gulim"/>
          <w:color w:val="000000" w:themeColor="text1"/>
        </w:rPr>
      </w:pPr>
      <w:r w:rsidRPr="00111E44">
        <w:rPr>
          <w:rFonts w:eastAsia="Malgun Gothic"/>
          <w:color w:val="000000" w:themeColor="text1"/>
          <w:vertAlign w:val="superscript"/>
        </w:rPr>
        <w:t>#</w:t>
      </w:r>
      <w:r w:rsidRPr="00111E44">
        <w:rPr>
          <w:rFonts w:eastAsia="Gulim"/>
          <w:color w:val="000000" w:themeColor="text1"/>
        </w:rPr>
        <w:t>These authors contributed equally.</w:t>
      </w:r>
    </w:p>
    <w:p w14:paraId="4751DCD5" w14:textId="77777777" w:rsidR="007C29A8" w:rsidRPr="00111E44" w:rsidRDefault="007C29A8" w:rsidP="007C29A8">
      <w:pPr>
        <w:spacing w:line="480" w:lineRule="auto"/>
        <w:jc w:val="both"/>
        <w:rPr>
          <w:rFonts w:eastAsia="Gulim"/>
          <w:color w:val="000000" w:themeColor="text1"/>
        </w:rPr>
      </w:pPr>
    </w:p>
    <w:p w14:paraId="2A91AB86" w14:textId="77777777" w:rsidR="007C29A8" w:rsidRPr="00111E44" w:rsidRDefault="007C29A8" w:rsidP="007C29A8">
      <w:pPr>
        <w:spacing w:line="480" w:lineRule="auto"/>
        <w:jc w:val="both"/>
        <w:rPr>
          <w:color w:val="000000" w:themeColor="text1"/>
        </w:rPr>
      </w:pPr>
      <w:r w:rsidRPr="00111E44">
        <w:rPr>
          <w:color w:val="000000" w:themeColor="text1"/>
        </w:rPr>
        <w:t xml:space="preserve">* Correspondence: </w:t>
      </w:r>
      <w:proofErr w:type="spellStart"/>
      <w:r w:rsidRPr="00111E44">
        <w:rPr>
          <w:rFonts w:eastAsia="Batang"/>
          <w:color w:val="000000" w:themeColor="text1"/>
        </w:rPr>
        <w:t>Jin</w:t>
      </w:r>
      <w:proofErr w:type="spellEnd"/>
      <w:r w:rsidRPr="00111E44">
        <w:rPr>
          <w:rFonts w:eastAsia="Batang"/>
          <w:color w:val="000000" w:themeColor="text1"/>
        </w:rPr>
        <w:t xml:space="preserve"> </w:t>
      </w:r>
      <w:proofErr w:type="spellStart"/>
      <w:r w:rsidRPr="00111E44">
        <w:rPr>
          <w:rFonts w:eastAsia="Batang"/>
          <w:color w:val="000000" w:themeColor="text1"/>
        </w:rPr>
        <w:t>Muk</w:t>
      </w:r>
      <w:proofErr w:type="spellEnd"/>
      <w:r w:rsidRPr="00111E44">
        <w:rPr>
          <w:rFonts w:eastAsia="Batang"/>
          <w:color w:val="000000" w:themeColor="text1"/>
        </w:rPr>
        <w:t xml:space="preserve"> Kang, Ph.D. (E-mail: jinmuk.kang@uhhospitals.org),</w:t>
      </w:r>
      <w:r w:rsidRPr="00111E44">
        <w:rPr>
          <w:color w:val="000000" w:themeColor="text1"/>
          <w:vertAlign w:val="superscript"/>
        </w:rPr>
        <w:t xml:space="preserve"> </w:t>
      </w:r>
      <w:proofErr w:type="spellStart"/>
      <w:r w:rsidRPr="00111E44">
        <w:rPr>
          <w:rFonts w:eastAsia="Batang"/>
          <w:color w:val="000000" w:themeColor="text1"/>
        </w:rPr>
        <w:t>Sujin</w:t>
      </w:r>
      <w:proofErr w:type="spellEnd"/>
      <w:r w:rsidRPr="00111E44">
        <w:rPr>
          <w:rFonts w:eastAsia="Batang"/>
          <w:color w:val="000000" w:themeColor="text1"/>
        </w:rPr>
        <w:t xml:space="preserve"> Park, Ph.D. (E-mail: sujinpark@gilo.or.kr),</w:t>
      </w:r>
      <w:r w:rsidRPr="00111E44">
        <w:rPr>
          <w:color w:val="000000" w:themeColor="text1"/>
        </w:rPr>
        <w:t xml:space="preserve"> </w:t>
      </w:r>
      <w:r w:rsidRPr="00111E44">
        <w:rPr>
          <w:rFonts w:eastAsiaTheme="minorEastAsia"/>
          <w:color w:val="000000" w:themeColor="text1"/>
        </w:rPr>
        <w:t>Research</w:t>
      </w:r>
      <w:r w:rsidRPr="00111E44">
        <w:rPr>
          <w:color w:val="000000" w:themeColor="text1"/>
        </w:rPr>
        <w:t xml:space="preserve"> Institute, GILO Foundation, 92 </w:t>
      </w:r>
      <w:proofErr w:type="spellStart"/>
      <w:r w:rsidRPr="00111E44">
        <w:rPr>
          <w:color w:val="000000" w:themeColor="text1"/>
        </w:rPr>
        <w:t>Myeongdal-ro</w:t>
      </w:r>
      <w:proofErr w:type="spellEnd"/>
      <w:r w:rsidRPr="00111E44">
        <w:rPr>
          <w:color w:val="000000" w:themeColor="text1"/>
        </w:rPr>
        <w:t xml:space="preserve">, </w:t>
      </w:r>
      <w:proofErr w:type="spellStart"/>
      <w:r w:rsidRPr="00111E44">
        <w:rPr>
          <w:color w:val="000000" w:themeColor="text1"/>
        </w:rPr>
        <w:t>Seocho-gu</w:t>
      </w:r>
      <w:proofErr w:type="spellEnd"/>
      <w:r w:rsidRPr="00111E44">
        <w:rPr>
          <w:color w:val="000000" w:themeColor="text1"/>
        </w:rPr>
        <w:t>, Seoul, 06668, Republic of Korea. Phone: +82-2-581-0023; Fax: +82-2-581-0125;</w:t>
      </w:r>
    </w:p>
    <w:p w14:paraId="316E0CD8" w14:textId="77777777" w:rsidR="007C29A8" w:rsidRPr="00111E44" w:rsidRDefault="007C29A8" w:rsidP="007C29A8">
      <w:pPr>
        <w:spacing w:line="480" w:lineRule="auto"/>
        <w:jc w:val="both"/>
        <w:rPr>
          <w:rFonts w:eastAsiaTheme="minorEastAsia"/>
          <w:color w:val="000000" w:themeColor="text1"/>
        </w:rPr>
      </w:pPr>
    </w:p>
    <w:p w14:paraId="65EF9A26" w14:textId="77777777" w:rsidR="007C29A8" w:rsidRPr="00111E44" w:rsidRDefault="007C29A8" w:rsidP="007C29A8">
      <w:pPr>
        <w:spacing w:line="480" w:lineRule="auto"/>
        <w:jc w:val="both"/>
        <w:rPr>
          <w:rFonts w:eastAsiaTheme="minorEastAsia"/>
          <w:color w:val="000000" w:themeColor="text1"/>
        </w:rPr>
      </w:pPr>
      <w:r w:rsidRPr="00111E44">
        <w:rPr>
          <w:rFonts w:eastAsiaTheme="minorEastAsia"/>
          <w:color w:val="000000" w:themeColor="text1"/>
        </w:rPr>
        <w:t xml:space="preserve">Running title: Role of N-linked glycosylation in KIAA1324-induced tumor suppressive activity </w:t>
      </w:r>
    </w:p>
    <w:p w14:paraId="0AD39560" w14:textId="0482F4CA" w:rsidR="007C29A8" w:rsidRPr="00595819" w:rsidRDefault="007C29A8" w:rsidP="00595819">
      <w:r w:rsidRPr="00111E44">
        <w:rPr>
          <w:rFonts w:eastAsiaTheme="minorEastAsia"/>
          <w:color w:val="000000" w:themeColor="text1"/>
        </w:rPr>
        <w:t>Key words: N-</w:t>
      </w:r>
      <w:proofErr w:type="spellStart"/>
      <w:r w:rsidRPr="00111E44">
        <w:rPr>
          <w:rFonts w:eastAsiaTheme="minorEastAsia"/>
          <w:color w:val="000000" w:themeColor="text1"/>
        </w:rPr>
        <w:t>glycoslyation</w:t>
      </w:r>
      <w:proofErr w:type="spellEnd"/>
      <w:r w:rsidRPr="00111E44">
        <w:rPr>
          <w:rFonts w:eastAsiaTheme="minorEastAsia"/>
          <w:color w:val="000000" w:themeColor="text1"/>
        </w:rPr>
        <w:t>, Elapor1, tumor suppressor, prognostic marker, apoptosis, cell cycle arrest, stomach cancer</w:t>
      </w:r>
      <w:r w:rsidRPr="00111E44">
        <w:rPr>
          <w:bCs/>
        </w:rPr>
        <w:br w:type="page"/>
      </w:r>
    </w:p>
    <w:p w14:paraId="721648F5" w14:textId="77777777" w:rsidR="007C29A8" w:rsidRDefault="007C29A8" w:rsidP="007C29A8"/>
    <w:p w14:paraId="55D6BF8E" w14:textId="56550D76" w:rsidR="00A25D9F" w:rsidRDefault="00A25D9F" w:rsidP="00EA0852">
      <w:pPr>
        <w:pStyle w:val="NormalWeb"/>
        <w:spacing w:before="0" w:beforeAutospacing="0" w:after="0" w:afterAutospacing="0" w:line="480" w:lineRule="auto"/>
        <w:jc w:val="both"/>
        <w:rPr>
          <w:b/>
          <w:bCs/>
          <w:color w:val="000000"/>
        </w:rPr>
      </w:pPr>
      <w:r w:rsidRPr="00A25D9F">
        <w:rPr>
          <w:b/>
          <w:bCs/>
          <w:noProof/>
          <w:color w:val="000000"/>
          <w:lang w:eastAsia="en-US"/>
        </w:rPr>
        <w:drawing>
          <wp:inline distT="0" distB="0" distL="0" distR="0" wp14:anchorId="17F249A7" wp14:editId="40749E90">
            <wp:extent cx="5943454" cy="5347855"/>
            <wp:effectExtent l="0" t="0" r="63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t="10839" b="21677"/>
                    <a:stretch/>
                  </pic:blipFill>
                  <pic:spPr bwMode="auto">
                    <a:xfrm>
                      <a:off x="0" y="0"/>
                      <a:ext cx="5943600" cy="53479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8E125C7" w14:textId="17C9215A" w:rsidR="00C42BA9" w:rsidRPr="001B2381" w:rsidRDefault="00C42BA9" w:rsidP="00EA0852">
      <w:pPr>
        <w:pStyle w:val="NormalWeb"/>
        <w:spacing w:before="0" w:beforeAutospacing="0" w:after="0" w:afterAutospacing="0" w:line="480" w:lineRule="auto"/>
        <w:jc w:val="both"/>
      </w:pPr>
      <w:r w:rsidRPr="001B2381">
        <w:rPr>
          <w:b/>
          <w:bCs/>
          <w:color w:val="000000"/>
        </w:rPr>
        <w:t>Supplementary Fig</w:t>
      </w:r>
      <w:r w:rsidR="007D1452">
        <w:rPr>
          <w:b/>
          <w:bCs/>
          <w:color w:val="000000"/>
        </w:rPr>
        <w:t>.</w:t>
      </w:r>
      <w:r w:rsidRPr="001B2381">
        <w:rPr>
          <w:b/>
          <w:bCs/>
          <w:color w:val="000000"/>
        </w:rPr>
        <w:t xml:space="preserve"> 1</w:t>
      </w:r>
    </w:p>
    <w:p w14:paraId="06486D3F" w14:textId="601AD5F5" w:rsidR="00DA5A24" w:rsidRPr="00595819" w:rsidRDefault="00DA5A24" w:rsidP="00595819">
      <w:pPr>
        <w:pStyle w:val="NormalWeb"/>
        <w:spacing w:before="0" w:beforeAutospacing="0" w:after="0" w:afterAutospacing="0" w:line="480" w:lineRule="auto"/>
        <w:jc w:val="both"/>
      </w:pPr>
      <w:r w:rsidRPr="001B2381">
        <w:rPr>
          <w:color w:val="000000"/>
        </w:rPr>
        <w:t>KIAA1324 is a favorable prognostic marker in various cancer patients. Graphs of the public datasets showed an association between KIAA1324 expression level and breast, lung, or ovarian cancer patients’ overall survival, relapse-free survival, or distant metastasis-free survival.</w:t>
      </w:r>
      <w:r>
        <w:rPr>
          <w:b/>
          <w:bCs/>
          <w:color w:val="000000"/>
        </w:rPr>
        <w:br w:type="page"/>
      </w:r>
    </w:p>
    <w:p w14:paraId="03B62989" w14:textId="6420D900" w:rsidR="00DA5A24" w:rsidRDefault="00DA5A24" w:rsidP="00DA5A24">
      <w:pPr>
        <w:pStyle w:val="NormalWeb"/>
        <w:spacing w:before="0" w:beforeAutospacing="0" w:after="0" w:afterAutospacing="0" w:line="480" w:lineRule="auto"/>
        <w:jc w:val="both"/>
        <w:rPr>
          <w:rFonts w:eastAsiaTheme="minorEastAsia"/>
          <w:b/>
          <w:color w:val="000000"/>
        </w:rPr>
      </w:pPr>
      <w:r w:rsidRPr="00DA5A24">
        <w:rPr>
          <w:rFonts w:eastAsiaTheme="minorEastAsia"/>
          <w:b/>
          <w:noProof/>
          <w:color w:val="000000"/>
          <w:lang w:eastAsia="en-US"/>
        </w:rPr>
        <w:lastRenderedPageBreak/>
        <w:drawing>
          <wp:inline distT="0" distB="0" distL="0" distR="0" wp14:anchorId="5B31B0A3" wp14:editId="0D17BD0F">
            <wp:extent cx="5942688" cy="2870708"/>
            <wp:effectExtent l="0" t="0" r="127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t="6401" b="51733"/>
                    <a:stretch/>
                  </pic:blipFill>
                  <pic:spPr bwMode="auto">
                    <a:xfrm>
                      <a:off x="0" y="0"/>
                      <a:ext cx="5943600" cy="28711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7F1677B" w14:textId="7DDF89CB" w:rsidR="00DA5A24" w:rsidRDefault="00DA5A24" w:rsidP="00DA5A24">
      <w:pPr>
        <w:pStyle w:val="NormalWeb"/>
        <w:spacing w:before="0" w:beforeAutospacing="0" w:after="0" w:afterAutospacing="0" w:line="480" w:lineRule="auto"/>
        <w:jc w:val="both"/>
        <w:rPr>
          <w:rFonts w:eastAsiaTheme="minorEastAsia"/>
          <w:b/>
          <w:color w:val="000000"/>
        </w:rPr>
      </w:pPr>
      <w:r w:rsidRPr="00B942F0">
        <w:rPr>
          <w:rFonts w:eastAsiaTheme="minorEastAsia" w:hint="eastAsia"/>
          <w:b/>
          <w:color w:val="000000"/>
        </w:rPr>
        <w:t xml:space="preserve">Supplementary Fig. </w:t>
      </w:r>
      <w:r>
        <w:rPr>
          <w:rFonts w:eastAsiaTheme="minorEastAsia"/>
          <w:b/>
          <w:color w:val="000000"/>
        </w:rPr>
        <w:t>2</w:t>
      </w:r>
    </w:p>
    <w:p w14:paraId="1B531F2F" w14:textId="5FD852A1" w:rsidR="003F4D1C" w:rsidRPr="00595819" w:rsidRDefault="00DA5A24" w:rsidP="00DA5A24">
      <w:pPr>
        <w:pStyle w:val="NormalWeb"/>
        <w:spacing w:before="0" w:beforeAutospacing="0" w:after="0" w:afterAutospacing="0" w:line="480" w:lineRule="auto"/>
        <w:jc w:val="both"/>
        <w:rPr>
          <w:color w:val="000000"/>
        </w:rPr>
      </w:pPr>
      <w:r>
        <w:rPr>
          <w:color w:val="000000"/>
        </w:rPr>
        <w:t>A</w:t>
      </w:r>
      <w:r w:rsidRPr="00111E44">
        <w:rPr>
          <w:color w:val="000000"/>
        </w:rPr>
        <w:t xml:space="preserve">) A schematic diagram of N-glycosylation loci of KIAA1324 at amino acids 153, 404, 672, asparagine (N) replaced with glutamine (Q). </w:t>
      </w:r>
      <w:r>
        <w:rPr>
          <w:color w:val="000000"/>
        </w:rPr>
        <w:t>B</w:t>
      </w:r>
      <w:r w:rsidRPr="00111E44">
        <w:rPr>
          <w:color w:val="000000"/>
        </w:rPr>
        <w:t>) Immunoblot of KIAA1324 with one, two, or all three loci with NQ mutations.</w:t>
      </w:r>
      <w:r w:rsidR="003F4D1C">
        <w:rPr>
          <w:b/>
          <w:bCs/>
          <w:color w:val="000000"/>
        </w:rPr>
        <w:br w:type="page"/>
      </w:r>
    </w:p>
    <w:p w14:paraId="66B30DFC" w14:textId="0DBCA793" w:rsidR="00A25D9F" w:rsidRDefault="00A25D9F" w:rsidP="00EA0852">
      <w:pPr>
        <w:pStyle w:val="NormalWeb"/>
        <w:spacing w:before="0" w:beforeAutospacing="0" w:after="0" w:afterAutospacing="0" w:line="480" w:lineRule="auto"/>
        <w:jc w:val="both"/>
        <w:rPr>
          <w:b/>
          <w:bCs/>
          <w:color w:val="000000"/>
        </w:rPr>
      </w:pPr>
      <w:r w:rsidRPr="00A25D9F">
        <w:rPr>
          <w:b/>
          <w:bCs/>
          <w:noProof/>
          <w:color w:val="000000"/>
          <w:lang w:eastAsia="en-US"/>
        </w:rPr>
        <w:lastRenderedPageBreak/>
        <w:drawing>
          <wp:inline distT="0" distB="0" distL="0" distR="0" wp14:anchorId="197571B8" wp14:editId="38FC8E51">
            <wp:extent cx="5942941" cy="3857538"/>
            <wp:effectExtent l="0" t="0" r="1270" b="381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t="5690" b="45627"/>
                    <a:stretch/>
                  </pic:blipFill>
                  <pic:spPr bwMode="auto">
                    <a:xfrm>
                      <a:off x="0" y="0"/>
                      <a:ext cx="5943600" cy="38579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6342127" w14:textId="77777777" w:rsidR="00DA5A24" w:rsidRDefault="00DA5A24" w:rsidP="00DA5A24">
      <w:pPr>
        <w:pStyle w:val="NormalWeb"/>
        <w:spacing w:before="0" w:beforeAutospacing="0" w:after="0" w:afterAutospacing="0" w:line="480" w:lineRule="auto"/>
        <w:jc w:val="both"/>
        <w:rPr>
          <w:rFonts w:eastAsiaTheme="minorEastAsia"/>
          <w:b/>
          <w:color w:val="000000"/>
        </w:rPr>
      </w:pPr>
      <w:r w:rsidRPr="00B942F0">
        <w:rPr>
          <w:rFonts w:eastAsiaTheme="minorEastAsia" w:hint="eastAsia"/>
          <w:b/>
          <w:color w:val="000000"/>
        </w:rPr>
        <w:t xml:space="preserve">Supplementary Fig. </w:t>
      </w:r>
      <w:r>
        <w:rPr>
          <w:rFonts w:eastAsiaTheme="minorEastAsia"/>
          <w:b/>
          <w:color w:val="000000"/>
        </w:rPr>
        <w:t>3</w:t>
      </w:r>
    </w:p>
    <w:p w14:paraId="21F8BBEA" w14:textId="54B6FB24" w:rsidR="003F4D1C" w:rsidRPr="00595819" w:rsidRDefault="00DA5A24" w:rsidP="00595819">
      <w:pPr>
        <w:pStyle w:val="NormalWeb"/>
        <w:spacing w:before="0" w:beforeAutospacing="0" w:after="0" w:afterAutospacing="0" w:line="480" w:lineRule="auto"/>
        <w:jc w:val="both"/>
      </w:pPr>
      <w:r w:rsidRPr="001B2381">
        <w:rPr>
          <w:color w:val="000000"/>
        </w:rPr>
        <w:t>Subcellular localization of KIAA1324. Immunofluorescence assays were conducted using anti-KIAA132</w:t>
      </w:r>
      <w:r>
        <w:rPr>
          <w:color w:val="000000"/>
        </w:rPr>
        <w:t>4</w:t>
      </w:r>
      <w:r w:rsidRPr="001B2381">
        <w:rPr>
          <w:color w:val="000000"/>
        </w:rPr>
        <w:t xml:space="preserve">, and anti-PDI antibodies in MKN28 cells </w:t>
      </w:r>
      <w:r w:rsidRPr="001B2381">
        <w:rPr>
          <w:color w:val="1A1A1A"/>
          <w:shd w:val="clear" w:color="auto" w:fill="FFFFFF"/>
        </w:rPr>
        <w:t xml:space="preserve">harboring tet-on </w:t>
      </w:r>
      <w:r w:rsidRPr="001B2381">
        <w:rPr>
          <w:color w:val="000000"/>
        </w:rPr>
        <w:t xml:space="preserve">KIAA1324 WT and 3NQ. The nuclei were stained with DAPI. </w:t>
      </w:r>
      <w:r w:rsidR="003F4D1C">
        <w:rPr>
          <w:b/>
          <w:bCs/>
          <w:color w:val="000000"/>
        </w:rPr>
        <w:br w:type="page"/>
      </w:r>
    </w:p>
    <w:p w14:paraId="11CEE49E" w14:textId="07255CDF" w:rsidR="004C535B" w:rsidRDefault="004C535B">
      <w:pPr>
        <w:spacing w:after="160" w:line="259" w:lineRule="auto"/>
        <w:rPr>
          <w:b/>
          <w:bCs/>
          <w:color w:val="000000"/>
        </w:rPr>
      </w:pPr>
      <w:r w:rsidRPr="004C535B">
        <w:rPr>
          <w:b/>
          <w:bCs/>
          <w:noProof/>
          <w:color w:val="000000"/>
          <w:lang w:eastAsia="en-US"/>
        </w:rPr>
        <w:lastRenderedPageBreak/>
        <w:drawing>
          <wp:inline distT="0" distB="0" distL="0" distR="0" wp14:anchorId="0E0D0F35" wp14:editId="6726A6C4">
            <wp:extent cx="5943161" cy="5572664"/>
            <wp:effectExtent l="0" t="0" r="635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t="7799" b="10937"/>
                    <a:stretch/>
                  </pic:blipFill>
                  <pic:spPr bwMode="auto">
                    <a:xfrm>
                      <a:off x="0" y="0"/>
                      <a:ext cx="5943600" cy="55730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3DDDB7A" w14:textId="7E6C393A" w:rsidR="004C535B" w:rsidRPr="001B2381" w:rsidRDefault="004C535B" w:rsidP="000C569E">
      <w:pPr>
        <w:pStyle w:val="NormalWeb"/>
        <w:tabs>
          <w:tab w:val="left" w:pos="3043"/>
        </w:tabs>
        <w:spacing w:before="0" w:beforeAutospacing="0" w:after="0" w:afterAutospacing="0" w:line="480" w:lineRule="auto"/>
        <w:jc w:val="both"/>
      </w:pPr>
      <w:r w:rsidRPr="001B2381">
        <w:rPr>
          <w:b/>
          <w:bCs/>
          <w:color w:val="000000"/>
        </w:rPr>
        <w:t>Supplementary Fig</w:t>
      </w:r>
      <w:r w:rsidR="000C569E">
        <w:rPr>
          <w:b/>
          <w:bCs/>
          <w:color w:val="000000"/>
        </w:rPr>
        <w:t>.</w:t>
      </w:r>
      <w:r w:rsidRPr="001B2381">
        <w:rPr>
          <w:b/>
          <w:bCs/>
          <w:color w:val="000000"/>
        </w:rPr>
        <w:t xml:space="preserve"> </w:t>
      </w:r>
      <w:r>
        <w:rPr>
          <w:b/>
          <w:bCs/>
          <w:color w:val="000000"/>
        </w:rPr>
        <w:t>4</w:t>
      </w:r>
    </w:p>
    <w:p w14:paraId="57E56B28" w14:textId="1CD5F570" w:rsidR="004C535B" w:rsidRPr="00595819" w:rsidRDefault="00477FB3" w:rsidP="00595819">
      <w:pPr>
        <w:pStyle w:val="NormalWeb"/>
        <w:spacing w:before="0" w:beforeAutospacing="0" w:after="0" w:afterAutospacing="0" w:line="480" w:lineRule="auto"/>
        <w:jc w:val="both"/>
      </w:pPr>
      <w:r w:rsidRPr="00477FB3">
        <w:t xml:space="preserve">Blocking N-glycosylation demolished the effect of KIAA1324 on the interaction between GRP78 and caspase-7. A) </w:t>
      </w:r>
      <w:r w:rsidRPr="00477FB3">
        <w:rPr>
          <w:shd w:val="clear" w:color="auto" w:fill="FFFFFF"/>
        </w:rPr>
        <w:t xml:space="preserve">Immunoprecipitation assay was performed in </w:t>
      </w:r>
      <w:r w:rsidRPr="00477FB3">
        <w:t xml:space="preserve">MKN28 cells </w:t>
      </w:r>
      <w:r w:rsidRPr="00477FB3">
        <w:rPr>
          <w:shd w:val="clear" w:color="auto" w:fill="FFFFFF"/>
        </w:rPr>
        <w:t xml:space="preserve">harboring tet-on </w:t>
      </w:r>
      <w:r w:rsidRPr="00477FB3">
        <w:t>KIAA1324 WT, 3NQ, and ΔTM</w:t>
      </w:r>
      <w:r w:rsidRPr="00477FB3">
        <w:rPr>
          <w:shd w:val="clear" w:color="auto" w:fill="FFFFFF"/>
        </w:rPr>
        <w:t>.</w:t>
      </w:r>
      <w:r w:rsidRPr="00477FB3">
        <w:t xml:space="preserve"> B)</w:t>
      </w:r>
      <w:r w:rsidRPr="00477FB3">
        <w:rPr>
          <w:shd w:val="clear" w:color="auto" w:fill="FFFFFF"/>
        </w:rPr>
        <w:t xml:space="preserve"> Immunoprecipitation assay of interaction between GRP78 and caspase-7 was evaluated in MKN28 harboring tet-on KIAA1324 3NQ mutant after 24 h treatment of 1 </w:t>
      </w:r>
      <w:proofErr w:type="spellStart"/>
      <w:r w:rsidRPr="00477FB3">
        <w:rPr>
          <w:shd w:val="clear" w:color="auto" w:fill="FFFFFF"/>
        </w:rPr>
        <w:t>μg</w:t>
      </w:r>
      <w:proofErr w:type="spellEnd"/>
      <w:r w:rsidRPr="00477FB3">
        <w:rPr>
          <w:shd w:val="clear" w:color="auto" w:fill="FFFFFF"/>
        </w:rPr>
        <w:t>/mL doxycycline.</w:t>
      </w:r>
      <w:r w:rsidR="004C535B">
        <w:rPr>
          <w:b/>
          <w:bCs/>
          <w:color w:val="000000"/>
        </w:rPr>
        <w:br w:type="page"/>
      </w:r>
    </w:p>
    <w:p w14:paraId="19A21296" w14:textId="20542A3F" w:rsidR="00A25D9F" w:rsidRDefault="00DA5A24" w:rsidP="00EA0852">
      <w:pPr>
        <w:pStyle w:val="NormalWeb"/>
        <w:spacing w:before="0" w:beforeAutospacing="0" w:after="0" w:afterAutospacing="0" w:line="480" w:lineRule="auto"/>
        <w:jc w:val="both"/>
        <w:rPr>
          <w:b/>
          <w:bCs/>
          <w:color w:val="000000"/>
        </w:rPr>
      </w:pPr>
      <w:r w:rsidRPr="00DA5A24">
        <w:rPr>
          <w:b/>
          <w:bCs/>
          <w:noProof/>
          <w:color w:val="000000"/>
          <w:lang w:eastAsia="en-US"/>
        </w:rPr>
        <w:lastRenderedPageBreak/>
        <w:drawing>
          <wp:inline distT="0" distB="0" distL="0" distR="0" wp14:anchorId="771801FC" wp14:editId="4E4C98DC">
            <wp:extent cx="5943600" cy="4622165"/>
            <wp:effectExtent l="0" t="0" r="0" b="635"/>
            <wp:docPr id="11" name="Picture 11" descr="F:\RNA-seq\TBD170091_RNA-Seq_20170306\Result\04_KEGG\KEGG\MKN28_Luc.vs.MKN28_1324\PNG\Cell_cycle.png">
              <a:extLst xmlns:a="http://schemas.openxmlformats.org/drawingml/2006/main">
                <a:ext uri="{FF2B5EF4-FFF2-40B4-BE49-F238E27FC236}">
                  <a16:creationId xmlns:a16="http://schemas.microsoft.com/office/drawing/2014/main" id="{82CAF5D0-E2BB-5560-E5CA-7DE0A20DF26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F:\RNA-seq\TBD170091_RNA-Seq_20170306\Result\04_KEGG\KEGG\MKN28_Luc.vs.MKN28_1324\PNG\Cell_cycle.png">
                      <a:extLst>
                        <a:ext uri="{FF2B5EF4-FFF2-40B4-BE49-F238E27FC236}">
                          <a16:creationId xmlns:a16="http://schemas.microsoft.com/office/drawing/2014/main" id="{82CAF5D0-E2BB-5560-E5CA-7DE0A20DF262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6221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E4DB1AF" w14:textId="2B98D78F" w:rsidR="00C42BA9" w:rsidRPr="001B2381" w:rsidRDefault="00C42BA9" w:rsidP="00EA0852">
      <w:pPr>
        <w:pStyle w:val="NormalWeb"/>
        <w:spacing w:before="0" w:beforeAutospacing="0" w:after="0" w:afterAutospacing="0" w:line="480" w:lineRule="auto"/>
        <w:jc w:val="both"/>
      </w:pPr>
      <w:r w:rsidRPr="001B2381">
        <w:rPr>
          <w:b/>
          <w:bCs/>
          <w:color w:val="000000"/>
        </w:rPr>
        <w:t>Supplementary Fig</w:t>
      </w:r>
      <w:r w:rsidR="000C569E">
        <w:rPr>
          <w:b/>
          <w:bCs/>
          <w:color w:val="000000"/>
        </w:rPr>
        <w:t>.</w:t>
      </w:r>
      <w:r w:rsidRPr="001B2381">
        <w:rPr>
          <w:b/>
          <w:bCs/>
          <w:color w:val="000000"/>
        </w:rPr>
        <w:t xml:space="preserve"> </w:t>
      </w:r>
      <w:r w:rsidR="004C535B">
        <w:rPr>
          <w:b/>
          <w:bCs/>
          <w:color w:val="000000"/>
        </w:rPr>
        <w:t>5</w:t>
      </w:r>
    </w:p>
    <w:p w14:paraId="51F71828" w14:textId="05D23B4A" w:rsidR="003F4D1C" w:rsidRPr="00595819" w:rsidRDefault="00DA5A24" w:rsidP="00595819">
      <w:pPr>
        <w:pStyle w:val="NormalWeb"/>
        <w:spacing w:before="0" w:beforeAutospacing="0" w:after="0" w:afterAutospacing="0" w:line="480" w:lineRule="auto"/>
        <w:jc w:val="both"/>
      </w:pPr>
      <w:r w:rsidRPr="00111E44">
        <w:t xml:space="preserve">Network of DEGs </w:t>
      </w:r>
      <w:r>
        <w:t xml:space="preserve">in KIAA1324 WT expressing MKN28 cells </w:t>
      </w:r>
      <w:r w:rsidRPr="00111E44">
        <w:t xml:space="preserve">on KEGG graph rendered by </w:t>
      </w:r>
      <w:proofErr w:type="spellStart"/>
      <w:r w:rsidRPr="00111E44">
        <w:t>Pathview</w:t>
      </w:r>
      <w:proofErr w:type="spellEnd"/>
      <w:r w:rsidRPr="00111E44">
        <w:t xml:space="preserve">. </w:t>
      </w:r>
      <w:r w:rsidR="003F4D1C">
        <w:rPr>
          <w:b/>
          <w:bCs/>
          <w:color w:val="000000"/>
        </w:rPr>
        <w:br w:type="page"/>
      </w:r>
    </w:p>
    <w:p w14:paraId="4A8F2176" w14:textId="0260CF51" w:rsidR="00D75660" w:rsidRDefault="00DA5A24" w:rsidP="00EB3C96">
      <w:pPr>
        <w:pStyle w:val="NormalWeb"/>
        <w:spacing w:before="0" w:beforeAutospacing="0" w:after="0" w:afterAutospacing="0" w:line="480" w:lineRule="auto"/>
        <w:jc w:val="center"/>
        <w:rPr>
          <w:b/>
          <w:bCs/>
          <w:color w:val="000000"/>
        </w:rPr>
      </w:pPr>
      <w:r w:rsidRPr="00DA5A24">
        <w:rPr>
          <w:b/>
          <w:bCs/>
          <w:noProof/>
          <w:color w:val="000000"/>
          <w:lang w:eastAsia="en-US"/>
        </w:rPr>
        <w:lastRenderedPageBreak/>
        <w:drawing>
          <wp:inline distT="0" distB="0" distL="0" distR="0" wp14:anchorId="56FE070E" wp14:editId="2D70E278">
            <wp:extent cx="4836321" cy="4934607"/>
            <wp:effectExtent l="0" t="0" r="2540" b="571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t="5965" b="5606"/>
                    <a:stretch/>
                  </pic:blipFill>
                  <pic:spPr bwMode="auto">
                    <a:xfrm>
                      <a:off x="0" y="0"/>
                      <a:ext cx="4857400" cy="49561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668A14" w14:textId="110A7D9F" w:rsidR="00C42BA9" w:rsidRDefault="00C42BA9" w:rsidP="00EA0852">
      <w:pPr>
        <w:pStyle w:val="NormalWeb"/>
        <w:spacing w:before="0" w:beforeAutospacing="0" w:after="0" w:afterAutospacing="0" w:line="480" w:lineRule="auto"/>
        <w:jc w:val="both"/>
        <w:rPr>
          <w:b/>
          <w:bCs/>
          <w:color w:val="000000"/>
        </w:rPr>
      </w:pPr>
      <w:r w:rsidRPr="001B2381">
        <w:rPr>
          <w:b/>
          <w:bCs/>
          <w:color w:val="000000"/>
        </w:rPr>
        <w:t>Supplementary Fig</w:t>
      </w:r>
      <w:r w:rsidR="0099113A">
        <w:rPr>
          <w:b/>
          <w:bCs/>
          <w:color w:val="000000"/>
        </w:rPr>
        <w:t>.</w:t>
      </w:r>
      <w:r w:rsidR="004C535B">
        <w:rPr>
          <w:rFonts w:hint="eastAsia"/>
          <w:b/>
          <w:bCs/>
          <w:color w:val="000000"/>
        </w:rPr>
        <w:t xml:space="preserve"> </w:t>
      </w:r>
      <w:r w:rsidR="004C535B">
        <w:rPr>
          <w:b/>
          <w:bCs/>
          <w:color w:val="000000"/>
        </w:rPr>
        <w:t>6</w:t>
      </w:r>
    </w:p>
    <w:p w14:paraId="16F21188" w14:textId="26533AF4" w:rsidR="00DA5A24" w:rsidRPr="00EB3C96" w:rsidRDefault="00DA5A24" w:rsidP="00EB3C96">
      <w:pPr>
        <w:pStyle w:val="NormalWeb"/>
        <w:spacing w:before="0" w:beforeAutospacing="0" w:after="0" w:afterAutospacing="0" w:line="480" w:lineRule="auto"/>
        <w:jc w:val="both"/>
      </w:pPr>
      <w:r w:rsidRPr="001B2381">
        <w:rPr>
          <w:color w:val="000000"/>
        </w:rPr>
        <w:t>KIAA1324 induced apoptos</w:t>
      </w:r>
      <w:r>
        <w:rPr>
          <w:color w:val="000000"/>
        </w:rPr>
        <w:t>is through the JNK pathway. A</w:t>
      </w:r>
      <w:r w:rsidRPr="001B2381">
        <w:rPr>
          <w:color w:val="000000"/>
        </w:rPr>
        <w:t xml:space="preserve">) </w:t>
      </w:r>
      <w:r>
        <w:rPr>
          <w:color w:val="000000"/>
        </w:rPr>
        <w:t xml:space="preserve">Immunoblot of p38 and JNK of the signaling pathway in MNK28 tet-on KIAA1324 WT cells. B) </w:t>
      </w:r>
      <w:r w:rsidRPr="001B2381">
        <w:rPr>
          <w:color w:val="000000"/>
        </w:rPr>
        <w:t>Cleavage of caspase-3 and PARP was show</w:t>
      </w:r>
      <w:r>
        <w:rPr>
          <w:color w:val="000000"/>
        </w:rPr>
        <w:t>n</w:t>
      </w:r>
      <w:r w:rsidRPr="001B2381">
        <w:rPr>
          <w:color w:val="000000"/>
        </w:rPr>
        <w:t xml:space="preserve"> in </w:t>
      </w:r>
      <w:r w:rsidRPr="001B2381">
        <w:rPr>
          <w:color w:val="1A1A1A"/>
          <w:shd w:val="clear" w:color="auto" w:fill="FFFFFF"/>
        </w:rPr>
        <w:t xml:space="preserve">immunoprecipitation assay performed by treating </w:t>
      </w:r>
      <w:r w:rsidRPr="001B2381">
        <w:rPr>
          <w:color w:val="000000"/>
        </w:rPr>
        <w:t xml:space="preserve">MKN28 cells </w:t>
      </w:r>
      <w:r w:rsidRPr="001B2381">
        <w:rPr>
          <w:color w:val="1A1A1A"/>
          <w:shd w:val="clear" w:color="auto" w:fill="FFFFFF"/>
        </w:rPr>
        <w:t xml:space="preserve">harboring tet-on </w:t>
      </w:r>
      <w:r w:rsidRPr="001B2381">
        <w:rPr>
          <w:color w:val="000000"/>
        </w:rPr>
        <w:t xml:space="preserve">KIAA1324 WT with 0, 10, 25, and 50 </w:t>
      </w:r>
      <w:r>
        <w:rPr>
          <w:color w:val="000000"/>
        </w:rPr>
        <w:t>µM of JNK inhibitor, SP600125. C</w:t>
      </w:r>
      <w:r w:rsidRPr="001B2381">
        <w:rPr>
          <w:color w:val="000000"/>
        </w:rPr>
        <w:t xml:space="preserve">) Flow cytometry analysis of MKN28 cells harboring tet-on KIAA1324 WT treated for 36 h with 1 </w:t>
      </w:r>
      <w:r w:rsidRPr="001B3893">
        <w:rPr>
          <w:rFonts w:ascii="Symbol" w:hAnsi="Symbol"/>
          <w:color w:val="000000"/>
        </w:rPr>
        <w:t></w:t>
      </w:r>
      <w:r w:rsidRPr="001B2381">
        <w:rPr>
          <w:color w:val="000000"/>
        </w:rPr>
        <w:t xml:space="preserve">g/mL doxycycline and an inhibitor: </w:t>
      </w:r>
      <w:r>
        <w:rPr>
          <w:color w:val="000000"/>
        </w:rPr>
        <w:t>tunicamycin, U0126, or SB203580.</w:t>
      </w:r>
      <w:r w:rsidRPr="001B2381">
        <w:rPr>
          <w:color w:val="000000"/>
        </w:rPr>
        <w:t xml:space="preserve"> Annexin V–positive and PI-negative populations signify apoptotic cells. The quantification of the early, late, and total apoptotic cell population from a triplicate of samples is graphed. </w:t>
      </w:r>
      <w:proofErr w:type="spellStart"/>
      <w:r w:rsidRPr="00C61333">
        <w:rPr>
          <w:color w:val="222222"/>
          <w:shd w:val="clear" w:color="auto" w:fill="FFFFFF"/>
        </w:rPr>
        <w:t>Mean±SD</w:t>
      </w:r>
      <w:proofErr w:type="spellEnd"/>
      <w:r w:rsidRPr="00C61333">
        <w:rPr>
          <w:color w:val="222222"/>
          <w:shd w:val="clear" w:color="auto" w:fill="FFFFFF"/>
        </w:rPr>
        <w:t xml:space="preserve"> vs Luc.</w:t>
      </w:r>
      <w:r>
        <w:rPr>
          <w:b/>
          <w:bCs/>
        </w:rPr>
        <w:br w:type="page"/>
      </w:r>
    </w:p>
    <w:p w14:paraId="57FC94D3" w14:textId="1AA3BF64" w:rsidR="00C61333" w:rsidRDefault="00C61333" w:rsidP="00EA0852">
      <w:pPr>
        <w:spacing w:line="480" w:lineRule="auto"/>
        <w:jc w:val="both"/>
        <w:rPr>
          <w:b/>
          <w:bCs/>
        </w:rPr>
      </w:pPr>
      <w:r w:rsidRPr="00C61333">
        <w:rPr>
          <w:b/>
          <w:bCs/>
          <w:noProof/>
          <w:lang w:eastAsia="en-US"/>
        </w:rPr>
        <w:lastRenderedPageBreak/>
        <w:drawing>
          <wp:inline distT="0" distB="0" distL="0" distR="0" wp14:anchorId="7814B975" wp14:editId="4E1BBF21">
            <wp:extent cx="4725059" cy="5001323"/>
            <wp:effectExtent l="0" t="0" r="0" b="8890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725059" cy="50013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E64FE7" w14:textId="77777777" w:rsidR="00C61333" w:rsidRPr="00C61333" w:rsidRDefault="00C61333" w:rsidP="00EA0852">
      <w:pPr>
        <w:spacing w:line="480" w:lineRule="auto"/>
        <w:jc w:val="both"/>
        <w:rPr>
          <w:b/>
          <w:bCs/>
        </w:rPr>
      </w:pPr>
      <w:r w:rsidRPr="00C61333">
        <w:rPr>
          <w:b/>
        </w:rPr>
        <w:t>Figure 1B.</w:t>
      </w:r>
      <w:r>
        <w:t xml:space="preserve"> </w:t>
      </w:r>
      <w:r w:rsidRPr="000C4E03">
        <w:rPr>
          <w:b/>
          <w:bCs/>
        </w:rPr>
        <w:t>Original full length western blots</w:t>
      </w:r>
    </w:p>
    <w:p w14:paraId="7582337B" w14:textId="7316E160" w:rsidR="00C61333" w:rsidRPr="00EB3C96" w:rsidRDefault="00C61333" w:rsidP="00EA0852">
      <w:pPr>
        <w:spacing w:line="480" w:lineRule="auto"/>
        <w:jc w:val="both"/>
        <w:rPr>
          <w:b/>
          <w:bCs/>
        </w:rPr>
      </w:pPr>
      <w:r w:rsidRPr="00C61333">
        <w:rPr>
          <w:b/>
          <w:bCs/>
          <w:noProof/>
          <w:lang w:eastAsia="en-US"/>
        </w:rPr>
        <w:lastRenderedPageBreak/>
        <w:drawing>
          <wp:inline distT="0" distB="0" distL="0" distR="0" wp14:anchorId="19804383" wp14:editId="68AAA8FE">
            <wp:extent cx="3801005" cy="5563376"/>
            <wp:effectExtent l="0" t="0" r="9525" b="0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801005" cy="55633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A64908" w14:textId="1EB8C863" w:rsidR="00FC338A" w:rsidRDefault="0072381F" w:rsidP="00595819">
      <w:pPr>
        <w:spacing w:line="480" w:lineRule="auto"/>
        <w:jc w:val="both"/>
        <w:rPr>
          <w:b/>
          <w:bCs/>
        </w:rPr>
      </w:pPr>
      <w:r>
        <w:rPr>
          <w:b/>
        </w:rPr>
        <w:t xml:space="preserve">Supplementary </w:t>
      </w:r>
      <w:r w:rsidR="00C61333">
        <w:rPr>
          <w:b/>
        </w:rPr>
        <w:t xml:space="preserve">Figure </w:t>
      </w:r>
      <w:r>
        <w:rPr>
          <w:b/>
        </w:rPr>
        <w:t>2B</w:t>
      </w:r>
      <w:r w:rsidR="00C61333" w:rsidRPr="00C61333">
        <w:rPr>
          <w:b/>
        </w:rPr>
        <w:t>.</w:t>
      </w:r>
      <w:r w:rsidR="00C61333">
        <w:t xml:space="preserve"> </w:t>
      </w:r>
      <w:r w:rsidR="00C61333" w:rsidRPr="000C4E03">
        <w:rPr>
          <w:b/>
          <w:bCs/>
        </w:rPr>
        <w:t>Original full length western blots</w:t>
      </w:r>
      <w:r w:rsidR="00FC338A">
        <w:rPr>
          <w:b/>
          <w:bCs/>
        </w:rPr>
        <w:br w:type="page"/>
      </w:r>
    </w:p>
    <w:p w14:paraId="455F4B5D" w14:textId="1E6C1644" w:rsidR="00FC338A" w:rsidRDefault="001057D2">
      <w:pPr>
        <w:spacing w:after="160" w:line="259" w:lineRule="auto"/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339EF4C3" wp14:editId="3ED348DC">
            <wp:extent cx="5943600" cy="5526405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526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A77A44" w14:textId="7A490604" w:rsidR="00FC338A" w:rsidRDefault="00FC338A" w:rsidP="00595819">
      <w:pPr>
        <w:spacing w:line="480" w:lineRule="auto"/>
        <w:jc w:val="both"/>
        <w:rPr>
          <w:b/>
          <w:bCs/>
        </w:rPr>
      </w:pPr>
      <w:r>
        <w:rPr>
          <w:b/>
        </w:rPr>
        <w:t>Supplementary Figure 4B</w:t>
      </w:r>
      <w:r w:rsidRPr="00C61333">
        <w:rPr>
          <w:b/>
        </w:rPr>
        <w:t>.</w:t>
      </w:r>
      <w:r>
        <w:t xml:space="preserve"> </w:t>
      </w:r>
      <w:r w:rsidRPr="000C4E03">
        <w:rPr>
          <w:b/>
          <w:bCs/>
        </w:rPr>
        <w:t>Original full length western blots</w:t>
      </w:r>
      <w:r>
        <w:rPr>
          <w:b/>
          <w:bCs/>
        </w:rPr>
        <w:br w:type="page"/>
      </w:r>
    </w:p>
    <w:p w14:paraId="0F135D76" w14:textId="77777777" w:rsidR="00C61333" w:rsidRDefault="00C61333" w:rsidP="00EA0852">
      <w:pPr>
        <w:spacing w:line="480" w:lineRule="auto"/>
        <w:jc w:val="both"/>
        <w:rPr>
          <w:b/>
          <w:bCs/>
        </w:rPr>
      </w:pPr>
    </w:p>
    <w:p w14:paraId="3B24D03D" w14:textId="19E570A0" w:rsidR="00C61333" w:rsidRPr="00EB3C96" w:rsidRDefault="00C61333" w:rsidP="00EA0852">
      <w:pPr>
        <w:spacing w:line="480" w:lineRule="auto"/>
        <w:jc w:val="both"/>
        <w:rPr>
          <w:b/>
          <w:bCs/>
        </w:rPr>
      </w:pPr>
      <w:r w:rsidRPr="00C61333">
        <w:rPr>
          <w:b/>
          <w:bCs/>
          <w:noProof/>
          <w:lang w:eastAsia="en-US"/>
        </w:rPr>
        <w:drawing>
          <wp:inline distT="0" distB="0" distL="0" distR="0" wp14:anchorId="4EBA079E" wp14:editId="51C32172">
            <wp:extent cx="5943600" cy="4900930"/>
            <wp:effectExtent l="0" t="0" r="0" b="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900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4CBDA9" w14:textId="6DBA264D" w:rsidR="009C2C2D" w:rsidRPr="00595819" w:rsidRDefault="00C61333" w:rsidP="00595819">
      <w:pPr>
        <w:spacing w:line="480" w:lineRule="auto"/>
        <w:jc w:val="both"/>
        <w:rPr>
          <w:b/>
          <w:bCs/>
        </w:rPr>
      </w:pPr>
      <w:r>
        <w:rPr>
          <w:b/>
        </w:rPr>
        <w:t xml:space="preserve">Supplementary Figure </w:t>
      </w:r>
      <w:r w:rsidR="0072381F">
        <w:rPr>
          <w:b/>
        </w:rPr>
        <w:t>5B</w:t>
      </w:r>
      <w:r w:rsidRPr="00C61333">
        <w:rPr>
          <w:b/>
        </w:rPr>
        <w:t>.</w:t>
      </w:r>
      <w:r>
        <w:t xml:space="preserve"> </w:t>
      </w:r>
      <w:r w:rsidRPr="000C4E03">
        <w:rPr>
          <w:b/>
          <w:bCs/>
        </w:rPr>
        <w:t>Original full length western blots</w:t>
      </w:r>
    </w:p>
    <w:sectPr w:rsidR="009C2C2D" w:rsidRPr="00595819" w:rsidSect="003944B0">
      <w:footerReference w:type="even" r:id="rId17"/>
      <w:footerReference w:type="default" r:id="rId18"/>
      <w:pgSz w:w="12240" w:h="15840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970FED" w14:textId="77777777" w:rsidR="009E2545" w:rsidRDefault="009E2545" w:rsidP="00EA0852">
      <w:r>
        <w:separator/>
      </w:r>
    </w:p>
  </w:endnote>
  <w:endnote w:type="continuationSeparator" w:id="0">
    <w:p w14:paraId="71E8483F" w14:textId="77777777" w:rsidR="009E2545" w:rsidRDefault="009E2545" w:rsidP="00EA08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HYSinMyeongJo-Medium">
    <w:altName w:val="Batang"/>
    <w:panose1 w:val="020B0604020202020204"/>
    <w:charset w:val="81"/>
    <w:family w:val="roman"/>
    <w:pitch w:val="variable"/>
    <w:sig w:usb0="900002A7" w:usb1="29D77CF9" w:usb2="00000010" w:usb3="00000000" w:csb0="00080000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779403940"/>
      <w:docPartObj>
        <w:docPartGallery w:val="Page Numbers (Bottom of Page)"/>
        <w:docPartUnique/>
      </w:docPartObj>
    </w:sdtPr>
    <w:sdtContent>
      <w:p w14:paraId="4635B8DC" w14:textId="578A1EA4" w:rsidR="00EA0852" w:rsidRDefault="00EA0852" w:rsidP="009E3484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FBA3952" w14:textId="77777777" w:rsidR="00EA0852" w:rsidRDefault="00EA085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500007542"/>
      <w:docPartObj>
        <w:docPartGallery w:val="Page Numbers (Bottom of Page)"/>
        <w:docPartUnique/>
      </w:docPartObj>
    </w:sdtPr>
    <w:sdtContent>
      <w:p w14:paraId="01BE3A39" w14:textId="4A74FFA6" w:rsidR="00EA0852" w:rsidRDefault="00EA0852" w:rsidP="009E3484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595819">
          <w:rPr>
            <w:rStyle w:val="PageNumber"/>
            <w:noProof/>
          </w:rPr>
          <w:t>11</w:t>
        </w:r>
        <w:r>
          <w:rPr>
            <w:rStyle w:val="PageNumber"/>
          </w:rPr>
          <w:fldChar w:fldCharType="end"/>
        </w:r>
      </w:p>
    </w:sdtContent>
  </w:sdt>
  <w:p w14:paraId="445EBE7A" w14:textId="77777777" w:rsidR="00EA0852" w:rsidRDefault="00EA085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B9C390" w14:textId="77777777" w:rsidR="009E2545" w:rsidRDefault="009E2545" w:rsidP="00EA0852">
      <w:r>
        <w:separator/>
      </w:r>
    </w:p>
  </w:footnote>
  <w:footnote w:type="continuationSeparator" w:id="0">
    <w:p w14:paraId="3B11D1C5" w14:textId="77777777" w:rsidR="009E2545" w:rsidRDefault="009E2545" w:rsidP="00EA08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2BA9"/>
    <w:rsid w:val="0001375B"/>
    <w:rsid w:val="000C569E"/>
    <w:rsid w:val="001057D2"/>
    <w:rsid w:val="001B3064"/>
    <w:rsid w:val="001C75B8"/>
    <w:rsid w:val="00272879"/>
    <w:rsid w:val="00276570"/>
    <w:rsid w:val="00324790"/>
    <w:rsid w:val="003944B0"/>
    <w:rsid w:val="003A2044"/>
    <w:rsid w:val="003A380E"/>
    <w:rsid w:val="003C7DA7"/>
    <w:rsid w:val="003F4D1C"/>
    <w:rsid w:val="00471214"/>
    <w:rsid w:val="00477FB3"/>
    <w:rsid w:val="004C535B"/>
    <w:rsid w:val="004E5119"/>
    <w:rsid w:val="004F3811"/>
    <w:rsid w:val="00522F77"/>
    <w:rsid w:val="00595819"/>
    <w:rsid w:val="005E37E1"/>
    <w:rsid w:val="0072381F"/>
    <w:rsid w:val="00743426"/>
    <w:rsid w:val="007526BD"/>
    <w:rsid w:val="007C29A8"/>
    <w:rsid w:val="007D1452"/>
    <w:rsid w:val="007E0B27"/>
    <w:rsid w:val="007E2E23"/>
    <w:rsid w:val="00867296"/>
    <w:rsid w:val="008E4085"/>
    <w:rsid w:val="008F3976"/>
    <w:rsid w:val="00954417"/>
    <w:rsid w:val="00966F3A"/>
    <w:rsid w:val="0099113A"/>
    <w:rsid w:val="009E2545"/>
    <w:rsid w:val="00A25D9F"/>
    <w:rsid w:val="00AC4F19"/>
    <w:rsid w:val="00B201EC"/>
    <w:rsid w:val="00BE42B8"/>
    <w:rsid w:val="00C41D8B"/>
    <w:rsid w:val="00C42BA9"/>
    <w:rsid w:val="00C61333"/>
    <w:rsid w:val="00CA1637"/>
    <w:rsid w:val="00D17F1D"/>
    <w:rsid w:val="00D6600E"/>
    <w:rsid w:val="00D75660"/>
    <w:rsid w:val="00DA5A24"/>
    <w:rsid w:val="00E05314"/>
    <w:rsid w:val="00E331B3"/>
    <w:rsid w:val="00E50072"/>
    <w:rsid w:val="00EA0852"/>
    <w:rsid w:val="00EB3C96"/>
    <w:rsid w:val="00F77410"/>
    <w:rsid w:val="00FC338A"/>
    <w:rsid w:val="00FD2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CDDF93"/>
  <w15:chartTrackingRefBased/>
  <w15:docId w15:val="{A5EACA5F-6B4B-4028-A1F2-EA5F3B318E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Batang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13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link w:val="NormalWebChar"/>
    <w:uiPriority w:val="99"/>
    <w:unhideWhenUsed/>
    <w:rsid w:val="00C42BA9"/>
    <w:pPr>
      <w:spacing w:before="100" w:beforeAutospacing="1" w:after="100" w:afterAutospacing="1"/>
    </w:pPr>
  </w:style>
  <w:style w:type="paragraph" w:styleId="Footer">
    <w:name w:val="footer"/>
    <w:basedOn w:val="Normal"/>
    <w:link w:val="FooterChar"/>
    <w:uiPriority w:val="99"/>
    <w:unhideWhenUsed/>
    <w:rsid w:val="00EA085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A0852"/>
    <w:rPr>
      <w:rFonts w:ascii="Times New Roman" w:eastAsia="Times New Roman" w:hAnsi="Times New Roman" w:cs="Times New Roman"/>
      <w:sz w:val="24"/>
      <w:szCs w:val="24"/>
      <w:lang w:eastAsia="ko-KR"/>
    </w:rPr>
  </w:style>
  <w:style w:type="character" w:styleId="PageNumber">
    <w:name w:val="page number"/>
    <w:basedOn w:val="DefaultParagraphFont"/>
    <w:uiPriority w:val="99"/>
    <w:semiHidden/>
    <w:unhideWhenUsed/>
    <w:rsid w:val="00EA0852"/>
  </w:style>
  <w:style w:type="character" w:styleId="LineNumber">
    <w:name w:val="line number"/>
    <w:basedOn w:val="DefaultParagraphFont"/>
    <w:uiPriority w:val="99"/>
    <w:semiHidden/>
    <w:unhideWhenUsed/>
    <w:rsid w:val="003944B0"/>
  </w:style>
  <w:style w:type="character" w:customStyle="1" w:styleId="NormalWebChar">
    <w:name w:val="Normal (Web) Char"/>
    <w:basedOn w:val="DefaultParagraphFont"/>
    <w:link w:val="NormalWeb"/>
    <w:uiPriority w:val="99"/>
    <w:rsid w:val="00DA5A24"/>
    <w:rPr>
      <w:rFonts w:ascii="Times New Roman" w:eastAsia="Times New Roman" w:hAnsi="Times New Roman" w:cs="Times New Roman"/>
      <w:sz w:val="24"/>
      <w:szCs w:val="24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7.png"/><Relationship Id="rId1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image" Target="media/image6.emf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emf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52B1CD2-43AB-4172-9948-97E50F6DC1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595</Words>
  <Characters>3394</Characters>
  <Application>Microsoft Office Word</Application>
  <DocSecurity>0</DocSecurity>
  <Lines>28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</dc:creator>
  <cp:keywords/>
  <dc:description/>
  <cp:lastModifiedBy>Rebecca Yun</cp:lastModifiedBy>
  <cp:revision>2</cp:revision>
  <dcterms:created xsi:type="dcterms:W3CDTF">2023-03-07T04:30:00Z</dcterms:created>
  <dcterms:modified xsi:type="dcterms:W3CDTF">2023-03-07T04:30:00Z</dcterms:modified>
</cp:coreProperties>
</file>