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7102E" w14:textId="77777777" w:rsidR="00C075B4" w:rsidRDefault="00C075B4" w:rsidP="00C075B4">
      <w:pPr>
        <w:spacing w:line="480" w:lineRule="auto"/>
        <w:jc w:val="thaiDistribute"/>
        <w:rPr>
          <w:rFonts w:ascii="Times New Roman" w:hAnsi="Times New Roman" w:cs="Angsana New"/>
          <w:color w:val="000000" w:themeColor="text1"/>
          <w:sz w:val="24"/>
          <w:szCs w:val="30"/>
        </w:rPr>
      </w:pPr>
      <w:r>
        <w:rPr>
          <w:rFonts w:ascii="Times New Roman" w:hAnsi="Times New Roman" w:cs="Angsana New"/>
          <w:b/>
          <w:bCs/>
          <w:color w:val="000000" w:themeColor="text1"/>
          <w:sz w:val="24"/>
          <w:szCs w:val="30"/>
        </w:rPr>
        <w:t>Table 3.</w:t>
      </w:r>
      <w:r>
        <w:rPr>
          <w:rFonts w:ascii="Times New Roman" w:hAnsi="Times New Roman" w:cs="Angsana New"/>
          <w:color w:val="000000" w:themeColor="text1"/>
          <w:sz w:val="24"/>
          <w:szCs w:val="30"/>
        </w:rPr>
        <w:t xml:space="preserve">  Products during photocatalytic degradation of salbutamol. </w:t>
      </w:r>
    </w:p>
    <w:p w14:paraId="3BE4A195" w14:textId="77777777" w:rsidR="00C075B4" w:rsidRDefault="00C075B4" w:rsidP="00C075B4">
      <w:pPr>
        <w:spacing w:line="480" w:lineRule="auto"/>
        <w:jc w:val="thaiDistribute"/>
        <w:rPr>
          <w:rFonts w:ascii="Times New Roman" w:hAnsi="Times New Roman" w:cs="Angsana New"/>
          <w:color w:val="000000" w:themeColor="text1"/>
          <w:sz w:val="24"/>
          <w:szCs w:val="30"/>
        </w:rPr>
      </w:pPr>
    </w:p>
    <w:tbl>
      <w:tblPr>
        <w:tblW w:w="874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87"/>
        <w:gridCol w:w="987"/>
        <w:gridCol w:w="1281"/>
        <w:gridCol w:w="4230"/>
        <w:gridCol w:w="1260"/>
      </w:tblGrid>
      <w:tr w:rsidR="00C075B4" w14:paraId="0B356E28" w14:textId="77777777" w:rsidTr="00C075B4">
        <w:trPr>
          <w:trHeight w:val="191"/>
          <w:tblHeader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A81F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m/z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[M+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H]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+</w:t>
            </w:r>
            <w:proofErr w:type="gramEnd"/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82AF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bscript"/>
              </w:rPr>
              <w:t>R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(min)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29BF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Molecular weight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(M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bscript"/>
              </w:rPr>
              <w:t>W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6ABD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Structure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0B325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Ref.</w:t>
            </w:r>
          </w:p>
        </w:tc>
      </w:tr>
      <w:tr w:rsidR="00C075B4" w14:paraId="576D316D" w14:textId="77777777" w:rsidTr="00C075B4">
        <w:trPr>
          <w:trHeight w:val="31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B499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10AD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5.83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6E13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7B5B4" w14:textId="38028B84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9033645" wp14:editId="5AB39FB3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220345</wp:posOffset>
                  </wp:positionV>
                  <wp:extent cx="2606040" cy="923925"/>
                  <wp:effectExtent l="0" t="0" r="3810" b="952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33" b="8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429C52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</w:rPr>
            </w:pPr>
          </w:p>
          <w:p w14:paraId="5273DF23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</w:rPr>
            </w:pPr>
          </w:p>
          <w:p w14:paraId="42442A8A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</w:rPr>
            </w:pPr>
          </w:p>
          <w:p w14:paraId="4C20CE64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</w:rPr>
            </w:pPr>
          </w:p>
          <w:p w14:paraId="219ABF80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2-(tert-Butylamino)-1-(4-hydroxyl-3- hydroxymethylphenyl)ethanol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15DED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ngsana New"/>
                <w:noProof/>
                <w:color w:val="000000" w:themeColor="text1"/>
                <w:sz w:val="24"/>
                <w:szCs w:val="30"/>
              </w:rPr>
              <w:t xml:space="preserve">Sakkas et al., 2007; Zhou, Wang, Zhang, Ji, &amp; Yang, 2017 </w:t>
            </w:r>
          </w:p>
        </w:tc>
      </w:tr>
      <w:tr w:rsidR="00C075B4" w14:paraId="17C16A5F" w14:textId="77777777" w:rsidTr="00C075B4">
        <w:trPr>
          <w:trHeight w:val="370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04C2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93802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11.08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65AAC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704B" w14:textId="72CE26EA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en-AU"/>
              </w:rPr>
              <w:drawing>
                <wp:inline distT="0" distB="0" distL="0" distR="0" wp14:anchorId="0B45F4BF" wp14:editId="788DCBBE">
                  <wp:extent cx="2286000" cy="103695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0DD82A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2-(tert-Butylamino)-1-(4-hydroxyl-3- hydroxymethylphenyl) ethanone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ACB2E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ngsana New"/>
                <w:noProof/>
                <w:color w:val="000000" w:themeColor="text1"/>
                <w:sz w:val="24"/>
                <w:szCs w:val="30"/>
              </w:rPr>
              <w:t>Zhou, Wang, Zhang, Ji, &amp; Yang, 2017</w:t>
            </w:r>
          </w:p>
        </w:tc>
      </w:tr>
      <w:tr w:rsidR="00C075B4" w14:paraId="584E383A" w14:textId="77777777" w:rsidTr="00C075B4">
        <w:trPr>
          <w:trHeight w:val="31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7D00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A5591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4.64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A385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223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0B4B" w14:textId="179E6F01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en-AU"/>
              </w:rPr>
              <w:drawing>
                <wp:inline distT="0" distB="0" distL="0" distR="0" wp14:anchorId="15CB0AA5" wp14:editId="4D322411">
                  <wp:extent cx="2606675" cy="1180465"/>
                  <wp:effectExtent l="0" t="0" r="3175" b="63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675" cy="118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8D1E41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2-(tert-Butylamino)-1- (4-hydroxyl-3-methylphenyl)ethanol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E6D92" w14:textId="77777777" w:rsidR="00C075B4" w:rsidRDefault="00C075B4">
            <w:pPr>
              <w:spacing w:line="480" w:lineRule="auto"/>
              <w:jc w:val="center"/>
              <w:rPr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ngsana New"/>
                <w:noProof/>
                <w:color w:val="000000" w:themeColor="text1"/>
                <w:sz w:val="24"/>
                <w:szCs w:val="30"/>
              </w:rPr>
              <w:t>Sakkas et al., 2007</w:t>
            </w:r>
          </w:p>
        </w:tc>
      </w:tr>
      <w:tr w:rsidR="00C075B4" w14:paraId="0C273D3E" w14:textId="77777777" w:rsidTr="00C075B4">
        <w:trPr>
          <w:trHeight w:val="31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0022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 w:hint="cs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182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E3E2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4.68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0C2D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181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E13B" w14:textId="4025D405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en-AU"/>
              </w:rPr>
              <w:drawing>
                <wp:inline distT="0" distB="0" distL="0" distR="0" wp14:anchorId="29642BD1" wp14:editId="50D61664">
                  <wp:extent cx="2060575" cy="92138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0067D4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2-(Methylamino)-1- (3,4-dihydroxyphenyl)ethanone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C1039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ngsana New"/>
                <w:noProof/>
                <w:color w:val="000000" w:themeColor="text1"/>
                <w:sz w:val="24"/>
                <w:szCs w:val="30"/>
              </w:rPr>
              <w:t>Sakkas et al., 2007</w:t>
            </w:r>
          </w:p>
        </w:tc>
      </w:tr>
      <w:tr w:rsidR="00C075B4" w14:paraId="27790C0C" w14:textId="77777777" w:rsidTr="00C075B4">
        <w:trPr>
          <w:trHeight w:val="299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2187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4261D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6.02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F9DC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C1FCC" w14:textId="5F60F0EE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en-AU"/>
              </w:rPr>
              <w:drawing>
                <wp:inline distT="0" distB="0" distL="0" distR="0" wp14:anchorId="02F1BC88" wp14:editId="1E1D26A9">
                  <wp:extent cx="1733550" cy="10096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CBBC2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1-(4-hydroxyl-3- hydroxymethylphenyl)ethanol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BFBD5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ngsana New"/>
                <w:noProof/>
                <w:color w:val="000000" w:themeColor="text1"/>
                <w:sz w:val="24"/>
                <w:szCs w:val="30"/>
              </w:rPr>
              <w:t>Zhou, Wang, Zhang, Ji, &amp; Yang, 2017</w:t>
            </w:r>
          </w:p>
        </w:tc>
      </w:tr>
      <w:tr w:rsidR="00C075B4" w14:paraId="3BB24B8C" w14:textId="77777777" w:rsidTr="00C075B4">
        <w:trPr>
          <w:trHeight w:val="313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FF0E3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92E12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10.36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612D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BFC2" w14:textId="30727C4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en-AU"/>
              </w:rPr>
              <w:drawing>
                <wp:inline distT="0" distB="0" distL="0" distR="0" wp14:anchorId="0EDA6B73" wp14:editId="21CF801C">
                  <wp:extent cx="2265680" cy="1200785"/>
                  <wp:effectExtent l="0" t="0" r="127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680" cy="120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C64918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1-(4-hydroxylphenyl)ethanol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F12D5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ngsana New"/>
                <w:noProof/>
                <w:color w:val="000000" w:themeColor="text1"/>
                <w:sz w:val="24"/>
                <w:szCs w:val="30"/>
              </w:rPr>
              <w:t>Zhou, Wang, Zhang, Ji, &amp; Yang, 2017</w:t>
            </w:r>
          </w:p>
        </w:tc>
      </w:tr>
      <w:tr w:rsidR="00C075B4" w14:paraId="7F4F2BF7" w14:textId="77777777" w:rsidTr="00C075B4">
        <w:trPr>
          <w:trHeight w:val="251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0F5A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D333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4.73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2DC3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4A6A" w14:textId="0F81772D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en-AU"/>
              </w:rPr>
              <w:drawing>
                <wp:inline distT="0" distB="0" distL="0" distR="0" wp14:anchorId="6C58DD8A" wp14:editId="6551D5BC">
                  <wp:extent cx="2136140" cy="8667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06" r="7338" b="198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14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1C7D4E" w14:textId="77777777" w:rsidR="00C075B4" w:rsidRDefault="00C075B4">
            <w:pPr>
              <w:spacing w:line="48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2-(tert-Butylamino)-acetic acid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FE70A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ngsana New"/>
                <w:noProof/>
                <w:color w:val="000000" w:themeColor="text1"/>
                <w:sz w:val="24"/>
                <w:szCs w:val="30"/>
              </w:rPr>
              <w:t>Sakkas et al., 2007</w:t>
            </w:r>
          </w:p>
        </w:tc>
      </w:tr>
      <w:tr w:rsidR="00C075B4" w14:paraId="46728362" w14:textId="77777777" w:rsidTr="00C075B4">
        <w:trPr>
          <w:trHeight w:val="266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B1EC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118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62B4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6.03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8788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34B7" w14:textId="73D163F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en-AU"/>
              </w:rPr>
              <w:drawing>
                <wp:inline distT="0" distB="0" distL="0" distR="0" wp14:anchorId="2837E1E8" wp14:editId="107BAE10">
                  <wp:extent cx="2238375" cy="695960"/>
                  <wp:effectExtent l="0" t="0" r="9525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03" b="15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F20ED2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2-(tert-Butylamino)-ethanol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F6CEC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ngsana New"/>
                <w:noProof/>
                <w:color w:val="000000" w:themeColor="text1"/>
                <w:sz w:val="24"/>
                <w:szCs w:val="30"/>
              </w:rPr>
              <w:t>Sakkas et al., 2007</w:t>
            </w:r>
          </w:p>
        </w:tc>
      </w:tr>
      <w:tr w:rsidR="00C075B4" w14:paraId="01F66006" w14:textId="77777777" w:rsidTr="00C075B4">
        <w:trPr>
          <w:trHeight w:val="31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24CA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B1939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12.46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7040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5192" w14:textId="4A32D936" w:rsidR="00C075B4" w:rsidRDefault="00C075B4">
            <w:pPr>
              <w:spacing w:line="480" w:lineRule="auto"/>
              <w:rPr>
                <w:rFonts w:ascii="Times New Roman" w:eastAsia="Times New Roman" w:hAnsi="Times New Roman"/>
                <w:noProof/>
                <w:color w:val="000000" w:themeColor="text1"/>
                <w:sz w:val="24"/>
              </w:rPr>
            </w:pPr>
            <w:r>
              <w:rPr>
                <w:rFonts w:ascii="Times New Roman" w:hAnsi="Times New Roman" w:hint="cs"/>
                <w:noProof/>
                <w:color w:val="000000" w:themeColor="text1"/>
                <w:sz w:val="24"/>
                <w:szCs w:val="24"/>
                <w:cs/>
              </w:rPr>
              <w:t xml:space="preserve">                         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en-AU"/>
              </w:rPr>
              <w:drawing>
                <wp:inline distT="0" distB="0" distL="0" distR="0" wp14:anchorId="02E254FB" wp14:editId="3740C0D7">
                  <wp:extent cx="750570" cy="11874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60" t="6772" r="28610" b="8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</w:rPr>
              <w:t xml:space="preserve"> </w:t>
            </w:r>
          </w:p>
          <w:p w14:paraId="2F640D81" w14:textId="77777777" w:rsidR="00C075B4" w:rsidRDefault="00C075B4">
            <w:pPr>
              <w:spacing w:line="48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</w:rPr>
              <w:t>hydroquinone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6E1EF" w14:textId="77777777" w:rsidR="00C075B4" w:rsidRDefault="00C075B4">
            <w:pPr>
              <w:spacing w:line="480" w:lineRule="auto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Angsana New"/>
                <w:noProof/>
                <w:color w:val="000000" w:themeColor="text1"/>
                <w:sz w:val="24"/>
                <w:szCs w:val="30"/>
              </w:rPr>
              <w:t>Sakkas et al., 2007</w:t>
            </w:r>
          </w:p>
        </w:tc>
      </w:tr>
      <w:tr w:rsidR="00C075B4" w14:paraId="26CA6459" w14:textId="77777777" w:rsidTr="00C075B4">
        <w:trPr>
          <w:trHeight w:val="31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839E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Angsana New"/>
                <w:color w:val="000000" w:themeColor="text1"/>
                <w:sz w:val="24"/>
                <w:szCs w:val="24"/>
                <w:cs/>
              </w:rPr>
              <w:t>109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4282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Angsana New"/>
                <w:color w:val="000000" w:themeColor="text1"/>
                <w:sz w:val="24"/>
                <w:szCs w:val="24"/>
                <w:cs/>
              </w:rPr>
              <w:t>11.63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343D" w14:textId="77777777" w:rsidR="00C075B4" w:rsidRDefault="00C075B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Angsana New"/>
                <w:color w:val="000000" w:themeColor="text1"/>
                <w:sz w:val="24"/>
                <w:szCs w:val="24"/>
                <w:cs/>
              </w:rPr>
              <w:t>108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FF25" w14:textId="335A109C" w:rsidR="00C075B4" w:rsidRDefault="00C075B4">
            <w:pPr>
              <w:spacing w:line="480" w:lineRule="auto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 xml:space="preserve">                </w:t>
            </w:r>
            <w:r>
              <w:rPr>
                <w:noProof/>
                <w:color w:val="000000" w:themeColor="text1"/>
                <w:sz w:val="24"/>
                <w:szCs w:val="24"/>
                <w:lang w:eastAsia="en-AU"/>
              </w:rPr>
              <w:drawing>
                <wp:inline distT="0" distB="0" distL="0" distR="0" wp14:anchorId="3FE2D08A" wp14:editId="1956D5F0">
                  <wp:extent cx="1173480" cy="1173480"/>
                  <wp:effectExtent l="0" t="0" r="762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D9195E" w14:textId="77777777" w:rsidR="00C075B4" w:rsidRDefault="00C075B4">
            <w:pPr>
              <w:spacing w:line="48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</w:pPr>
            <w:bookmarkStart w:id="0" w:name="_Toc121214301"/>
            <w:bookmarkStart w:id="1" w:name="_Toc121180897"/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</w:rPr>
              <w:t>para benzoquinone</w:t>
            </w:r>
            <w:bookmarkEnd w:id="0"/>
            <w:bookmarkEnd w:id="1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EE66B" w14:textId="77777777" w:rsidR="00C075B4" w:rsidRDefault="00C075B4">
            <w:pPr>
              <w:spacing w:line="480" w:lineRule="auto"/>
              <w:rPr>
                <w:rFonts w:ascii="Times New Roman" w:hAnsi="Times New Roman" w:hint="cs"/>
                <w:noProof/>
                <w:color w:val="000000" w:themeColor="text1"/>
                <w:sz w:val="24"/>
                <w:szCs w:val="24"/>
                <w:cs/>
                <w:lang w:val="en-US"/>
              </w:rPr>
            </w:pPr>
            <w:r>
              <w:rPr>
                <w:rFonts w:ascii="Times New Roman" w:hAnsi="Times New Roman" w:cs="Angsana New"/>
                <w:noProof/>
                <w:color w:val="000000" w:themeColor="text1"/>
                <w:sz w:val="24"/>
                <w:szCs w:val="30"/>
              </w:rPr>
              <w:t>Sakkas et al., 2007</w:t>
            </w:r>
          </w:p>
        </w:tc>
      </w:tr>
    </w:tbl>
    <w:p w14:paraId="3D787D21" w14:textId="77777777" w:rsidR="00C075B4" w:rsidRDefault="00C075B4" w:rsidP="00C075B4">
      <w:pPr>
        <w:spacing w:line="480" w:lineRule="auto"/>
        <w:jc w:val="thaiDistribute"/>
        <w:rPr>
          <w:rFonts w:ascii="Times New Roman" w:hAnsi="Times New Roman" w:cs="Angsana New"/>
          <w:color w:val="000000" w:themeColor="text1"/>
          <w:sz w:val="24"/>
          <w:szCs w:val="30"/>
        </w:rPr>
      </w:pPr>
    </w:p>
    <w:p w14:paraId="73A89BE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B4"/>
    <w:rsid w:val="00AD1398"/>
    <w:rsid w:val="00C0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E82EA"/>
  <w15:chartTrackingRefBased/>
  <w15:docId w15:val="{E4B31F56-31D1-4853-9A40-086EF6A6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5B4"/>
    <w:pPr>
      <w:spacing w:after="0" w:line="240" w:lineRule="auto"/>
    </w:pPr>
    <w:rPr>
      <w:rFonts w:ascii="TH SarabunPSK" w:hAnsi="TH SarabunPSK" w:cs="TH SarabunPSK"/>
      <w:sz w:val="32"/>
      <w:szCs w:val="32"/>
      <w:lang w:val="en-AU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6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</Words>
  <Characters>878</Characters>
  <Application>Microsoft Office Word</Application>
  <DocSecurity>0</DocSecurity>
  <Lines>7</Lines>
  <Paragraphs>2</Paragraphs>
  <ScaleCrop>false</ScaleCrop>
  <Company>Springer Nature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2023-03-10T05:25:00Z</dcterms:created>
  <dcterms:modified xsi:type="dcterms:W3CDTF">2023-03-10T05:25:00Z</dcterms:modified>
</cp:coreProperties>
</file>