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3E31A" w14:textId="16367E12" w:rsidR="005D5529" w:rsidRPr="005D5529" w:rsidRDefault="005D5529" w:rsidP="005D5529">
      <w:pPr>
        <w:rPr>
          <w:rFonts w:asciiTheme="minorHAnsi" w:hAnsiTheme="minorHAnsi" w:cstheme="minorHAnsi"/>
          <w:b/>
          <w:sz w:val="20"/>
          <w:szCs w:val="20"/>
        </w:rPr>
      </w:pPr>
      <w:r w:rsidRPr="005D5529">
        <w:rPr>
          <w:rFonts w:asciiTheme="minorHAnsi" w:hAnsiTheme="minorHAnsi" w:cstheme="minorHAnsi"/>
          <w:b/>
          <w:sz w:val="20"/>
          <w:szCs w:val="20"/>
        </w:rPr>
        <w:t>An exploration into the causal relationships between education</w:t>
      </w:r>
      <w:r w:rsidR="00FE45B0">
        <w:rPr>
          <w:rFonts w:asciiTheme="minorHAnsi" w:hAnsiTheme="minorHAnsi" w:cstheme="minorHAnsi"/>
          <w:b/>
          <w:sz w:val="20"/>
          <w:szCs w:val="20"/>
        </w:rPr>
        <w:t>al attainment</w:t>
      </w:r>
      <w:r w:rsidRPr="005D5529">
        <w:rPr>
          <w:rFonts w:asciiTheme="minorHAnsi" w:hAnsiTheme="minorHAnsi" w:cstheme="minorHAnsi"/>
          <w:b/>
          <w:sz w:val="20"/>
          <w:szCs w:val="20"/>
        </w:rPr>
        <w:t>, intelligence, and subjective wellbeing: an observational and two-sample Mendelian randomisation study</w:t>
      </w:r>
    </w:p>
    <w:p w14:paraId="113C2DF8" w14:textId="4B6AB345" w:rsidR="005D5529" w:rsidRPr="005D5529" w:rsidRDefault="005D5529" w:rsidP="005D5529">
      <w:pPr>
        <w:rPr>
          <w:rFonts w:asciiTheme="minorHAnsi" w:hAnsiTheme="minorHAnsi" w:cstheme="minorHAnsi"/>
          <w:b/>
          <w:sz w:val="20"/>
          <w:szCs w:val="20"/>
        </w:rPr>
      </w:pPr>
      <w:r w:rsidRPr="005D5529">
        <w:rPr>
          <w:rFonts w:asciiTheme="minorHAnsi" w:hAnsiTheme="minorHAnsi" w:cstheme="minorHAnsi"/>
          <w:bCs/>
          <w:sz w:val="20"/>
          <w:szCs w:val="20"/>
        </w:rPr>
        <w:t>Armitage, J. M., Wootton, R. E., Davis, O. S. P</w:t>
      </w:r>
      <w:r w:rsidR="00052528">
        <w:rPr>
          <w:rFonts w:asciiTheme="minorHAnsi" w:hAnsiTheme="minorHAnsi" w:cstheme="minorHAnsi"/>
          <w:bCs/>
          <w:sz w:val="20"/>
          <w:szCs w:val="20"/>
        </w:rPr>
        <w:t xml:space="preserve">., </w:t>
      </w:r>
      <w:r w:rsidRPr="005D5529">
        <w:rPr>
          <w:rFonts w:asciiTheme="minorHAnsi" w:hAnsiTheme="minorHAnsi" w:cstheme="minorHAnsi"/>
          <w:bCs/>
          <w:sz w:val="20"/>
          <w:szCs w:val="20"/>
        </w:rPr>
        <w:t xml:space="preserve">&amp; Haworth, C. M. A. </w:t>
      </w:r>
    </w:p>
    <w:p w14:paraId="6426DBA4" w14:textId="602D6628" w:rsidR="003166F7" w:rsidRPr="00F31698" w:rsidRDefault="003166F7">
      <w:pPr>
        <w:rPr>
          <w:rFonts w:asciiTheme="minorHAnsi" w:hAnsiTheme="minorHAnsi" w:cstheme="minorHAnsi"/>
          <w:b/>
          <w:bCs/>
          <w:sz w:val="20"/>
          <w:szCs w:val="20"/>
        </w:rPr>
      </w:pPr>
    </w:p>
    <w:p w14:paraId="04CF156F" w14:textId="4A5CE476" w:rsidR="00F12422" w:rsidRPr="00F31698" w:rsidRDefault="00FE45B0">
      <w:pPr>
        <w:rPr>
          <w:rFonts w:asciiTheme="minorHAnsi" w:hAnsiTheme="minorHAnsi" w:cstheme="minorHAnsi"/>
          <w:b/>
          <w:bCs/>
          <w:sz w:val="20"/>
          <w:szCs w:val="20"/>
        </w:rPr>
      </w:pPr>
      <w:r>
        <w:rPr>
          <w:rFonts w:asciiTheme="minorHAnsi" w:hAnsiTheme="minorHAnsi" w:cstheme="minorHAnsi"/>
          <w:b/>
          <w:bCs/>
          <w:sz w:val="20"/>
          <w:szCs w:val="20"/>
        </w:rPr>
        <w:t xml:space="preserve">Supplementary </w:t>
      </w:r>
      <w:r w:rsidR="00F12422" w:rsidRPr="00F31698">
        <w:rPr>
          <w:rFonts w:asciiTheme="minorHAnsi" w:hAnsiTheme="minorHAnsi" w:cstheme="minorHAnsi"/>
          <w:b/>
          <w:bCs/>
          <w:sz w:val="20"/>
          <w:szCs w:val="20"/>
        </w:rPr>
        <w:t xml:space="preserve">Methods </w:t>
      </w:r>
    </w:p>
    <w:p w14:paraId="410DF8C3" w14:textId="469C6C09" w:rsidR="003166F7" w:rsidRPr="00F31698" w:rsidRDefault="003166F7">
      <w:pPr>
        <w:rPr>
          <w:rFonts w:asciiTheme="minorHAnsi" w:hAnsiTheme="minorHAnsi" w:cstheme="minorHAnsi"/>
          <w:b/>
          <w:bCs/>
          <w:sz w:val="20"/>
          <w:szCs w:val="20"/>
        </w:rPr>
      </w:pPr>
      <w:r w:rsidRPr="00F31698">
        <w:rPr>
          <w:rFonts w:asciiTheme="minorHAnsi" w:hAnsiTheme="minorHAnsi" w:cstheme="minorHAnsi"/>
          <w:b/>
          <w:bCs/>
          <w:sz w:val="20"/>
          <w:szCs w:val="20"/>
        </w:rPr>
        <w:t>GWAS information</w:t>
      </w:r>
    </w:p>
    <w:p w14:paraId="69004641" w14:textId="77777777" w:rsidR="00084B4B" w:rsidRPr="00F31698" w:rsidRDefault="00084B4B" w:rsidP="00084B4B">
      <w:pPr>
        <w:rPr>
          <w:rFonts w:asciiTheme="minorHAnsi" w:hAnsiTheme="minorHAnsi" w:cstheme="minorHAnsi"/>
          <w:b/>
          <w:bCs/>
          <w:sz w:val="20"/>
          <w:szCs w:val="20"/>
        </w:rPr>
      </w:pPr>
      <w:r w:rsidRPr="00F31698">
        <w:rPr>
          <w:rFonts w:asciiTheme="minorHAnsi" w:hAnsiTheme="minorHAnsi" w:cstheme="minorHAnsi"/>
          <w:b/>
          <w:bCs/>
          <w:i/>
          <w:iCs/>
          <w:sz w:val="20"/>
          <w:szCs w:val="20"/>
        </w:rPr>
        <w:t>Educational attainment</w:t>
      </w:r>
      <w:r w:rsidRPr="00F31698">
        <w:rPr>
          <w:rFonts w:asciiTheme="minorHAnsi" w:hAnsiTheme="minorHAnsi" w:cstheme="minorHAnsi"/>
          <w:b/>
          <w:bCs/>
          <w:sz w:val="20"/>
          <w:szCs w:val="20"/>
        </w:rPr>
        <w:t xml:space="preserve"> </w:t>
      </w:r>
    </w:p>
    <w:p w14:paraId="19F6E18C" w14:textId="77777777" w:rsidR="005121B2" w:rsidRPr="00F31698" w:rsidRDefault="00084B4B" w:rsidP="00084B4B">
      <w:pPr>
        <w:rPr>
          <w:rFonts w:asciiTheme="minorHAnsi" w:hAnsiTheme="minorHAnsi" w:cstheme="minorHAnsi"/>
          <w:sz w:val="20"/>
          <w:szCs w:val="20"/>
        </w:rPr>
      </w:pPr>
      <w:r w:rsidRPr="00F31698">
        <w:rPr>
          <w:rFonts w:asciiTheme="minorHAnsi" w:hAnsiTheme="minorHAnsi" w:cstheme="minorHAnsi"/>
          <w:sz w:val="20"/>
          <w:szCs w:val="20"/>
        </w:rPr>
        <w:t xml:space="preserve">Data for educational attainment was taken from the GWAS of 293,723 participants (Okbay et al., 2016). This study meta-analysed summary statistics from 64 samples spanning 15 different countries. All subjects were of European descent and reported their educational attainment when they were aged 30 or above. The reported qualifications were categorised into one of seven bands based on the 1997 International Standard Classification of Education (ISCED) scale (UNESCO, 2006). These categories were then used to map the equivalent number of years in schooling. Findings from the initial cohort identified 74 independent genetic variants associated with years of schooling (mean=14.3, SD= 3.6). In subsequent analyses, data were combined with those of 111,349 participants from the UK-Biobank to increase the number of associated independent SNPs from 74 to 162. </w:t>
      </w:r>
    </w:p>
    <w:p w14:paraId="465B0EE5" w14:textId="64D1D3DC" w:rsidR="00542119" w:rsidRPr="00F31698" w:rsidRDefault="00F54911" w:rsidP="00084B4B">
      <w:pPr>
        <w:rPr>
          <w:rFonts w:asciiTheme="minorHAnsi" w:hAnsiTheme="minorHAnsi" w:cstheme="minorHAnsi"/>
          <w:sz w:val="20"/>
          <w:szCs w:val="20"/>
        </w:rPr>
      </w:pPr>
      <w:r w:rsidRPr="00F31698">
        <w:rPr>
          <w:rFonts w:asciiTheme="minorHAnsi" w:hAnsiTheme="minorHAnsi" w:cstheme="minorHAnsi"/>
          <w:sz w:val="20"/>
          <w:szCs w:val="20"/>
        </w:rPr>
        <w:t xml:space="preserve">Sample overlap </w:t>
      </w:r>
      <w:r w:rsidR="005121B2" w:rsidRPr="00F31698">
        <w:rPr>
          <w:rFonts w:asciiTheme="minorHAnsi" w:hAnsiTheme="minorHAnsi" w:cstheme="minorHAnsi"/>
          <w:sz w:val="20"/>
          <w:szCs w:val="20"/>
        </w:rPr>
        <w:t xml:space="preserve">between participants in </w:t>
      </w:r>
      <w:r w:rsidR="0014627C" w:rsidRPr="00F31698">
        <w:rPr>
          <w:rFonts w:asciiTheme="minorHAnsi" w:hAnsiTheme="minorHAnsi" w:cstheme="minorHAnsi"/>
          <w:sz w:val="20"/>
          <w:szCs w:val="20"/>
        </w:rPr>
        <w:t>either the</w:t>
      </w:r>
      <w:r w:rsidR="005121B2" w:rsidRPr="00F31698">
        <w:rPr>
          <w:rFonts w:asciiTheme="minorHAnsi" w:hAnsiTheme="minorHAnsi" w:cstheme="minorHAnsi"/>
          <w:sz w:val="20"/>
          <w:szCs w:val="20"/>
        </w:rPr>
        <w:t xml:space="preserve"> education attainment discovery</w:t>
      </w:r>
      <w:r w:rsidR="0014627C" w:rsidRPr="00F31698">
        <w:rPr>
          <w:rFonts w:asciiTheme="minorHAnsi" w:hAnsiTheme="minorHAnsi" w:cstheme="minorHAnsi"/>
          <w:sz w:val="20"/>
          <w:szCs w:val="20"/>
        </w:rPr>
        <w:t>, or discovery</w:t>
      </w:r>
      <w:r w:rsidR="005121B2" w:rsidRPr="00F31698">
        <w:rPr>
          <w:rFonts w:asciiTheme="minorHAnsi" w:hAnsiTheme="minorHAnsi" w:cstheme="minorHAnsi"/>
          <w:sz w:val="20"/>
          <w:szCs w:val="20"/>
        </w:rPr>
        <w:t xml:space="preserve"> </w:t>
      </w:r>
      <w:r w:rsidR="0014627C" w:rsidRPr="00F31698">
        <w:rPr>
          <w:rFonts w:asciiTheme="minorHAnsi" w:hAnsiTheme="minorHAnsi" w:cstheme="minorHAnsi"/>
          <w:sz w:val="20"/>
          <w:szCs w:val="20"/>
        </w:rPr>
        <w:t xml:space="preserve">and replication cohort </w:t>
      </w:r>
      <w:r w:rsidR="005121B2" w:rsidRPr="00F31698">
        <w:rPr>
          <w:rFonts w:asciiTheme="minorHAnsi" w:hAnsiTheme="minorHAnsi" w:cstheme="minorHAnsi"/>
          <w:sz w:val="20"/>
          <w:szCs w:val="20"/>
        </w:rPr>
        <w:t>was 8.6%</w:t>
      </w:r>
      <w:r w:rsidR="0014627C" w:rsidRPr="00F31698">
        <w:rPr>
          <w:rFonts w:asciiTheme="minorHAnsi" w:hAnsiTheme="minorHAnsi" w:cstheme="minorHAnsi"/>
          <w:sz w:val="20"/>
          <w:szCs w:val="20"/>
        </w:rPr>
        <w:t xml:space="preserve"> with the intelligence GWAS</w:t>
      </w:r>
      <w:r w:rsidR="00542119" w:rsidRPr="00F31698">
        <w:rPr>
          <w:rFonts w:asciiTheme="minorHAnsi" w:hAnsiTheme="minorHAnsi" w:cstheme="minorHAnsi"/>
          <w:sz w:val="20"/>
          <w:szCs w:val="20"/>
        </w:rPr>
        <w:t xml:space="preserve">. </w:t>
      </w:r>
      <w:r w:rsidR="0014627C" w:rsidRPr="00F31698">
        <w:rPr>
          <w:rFonts w:asciiTheme="minorHAnsi" w:hAnsiTheme="minorHAnsi" w:cstheme="minorHAnsi"/>
          <w:sz w:val="20"/>
          <w:szCs w:val="20"/>
        </w:rPr>
        <w:t xml:space="preserve">The intelligence GWAS used the second release of UKB participants and therefore sample overlap with the interim release included in the educational attainment GWAS was minimal. </w:t>
      </w:r>
    </w:p>
    <w:p w14:paraId="0F57431C" w14:textId="77777777" w:rsidR="00B475E4" w:rsidRPr="00F31698" w:rsidRDefault="00B475E4" w:rsidP="00B475E4">
      <w:pPr>
        <w:rPr>
          <w:rFonts w:asciiTheme="minorHAnsi" w:hAnsiTheme="minorHAnsi" w:cstheme="minorHAnsi"/>
          <w:b/>
          <w:bCs/>
          <w:i/>
          <w:iCs/>
          <w:sz w:val="20"/>
          <w:szCs w:val="20"/>
        </w:rPr>
      </w:pPr>
      <w:bookmarkStart w:id="0" w:name="_Hlk66094437"/>
      <w:r w:rsidRPr="00F31698">
        <w:rPr>
          <w:rFonts w:asciiTheme="minorHAnsi" w:hAnsiTheme="minorHAnsi" w:cstheme="minorHAnsi"/>
          <w:b/>
          <w:bCs/>
          <w:i/>
          <w:iCs/>
          <w:sz w:val="20"/>
          <w:szCs w:val="20"/>
        </w:rPr>
        <w:t xml:space="preserve">Intelligence </w:t>
      </w:r>
    </w:p>
    <w:p w14:paraId="79E9654A" w14:textId="4AD0BB4E" w:rsidR="00084B4B" w:rsidRPr="00F31698" w:rsidRDefault="00B475E4">
      <w:pPr>
        <w:rPr>
          <w:rFonts w:asciiTheme="minorHAnsi" w:hAnsiTheme="minorHAnsi" w:cstheme="minorHAnsi"/>
          <w:sz w:val="20"/>
          <w:szCs w:val="20"/>
        </w:rPr>
      </w:pPr>
      <w:r w:rsidRPr="00F31698">
        <w:rPr>
          <w:rFonts w:asciiTheme="minorHAnsi" w:hAnsiTheme="minorHAnsi" w:cstheme="minorHAnsi"/>
          <w:sz w:val="20"/>
          <w:szCs w:val="20"/>
        </w:rPr>
        <w:t>For intelligence, data were derived from the largest GWAS of intelligence to date (n = 269,867) (Savage et al., 2018). This meta-analysis of 14 cohorts identified 242 lead SNPs at genome-wide significance, located across 213 independent genomic risk loci (after merging regions &lt;250 KB apart</w:t>
      </w:r>
      <w:r w:rsidR="0081399C" w:rsidRPr="00F31698">
        <w:rPr>
          <w:rFonts w:asciiTheme="minorHAnsi" w:hAnsiTheme="minorHAnsi" w:cstheme="minorHAnsi"/>
          <w:sz w:val="20"/>
          <w:szCs w:val="20"/>
        </w:rPr>
        <w:t>,</w:t>
      </w:r>
      <w:r w:rsidR="0081399C" w:rsidRPr="00F31698">
        <w:rPr>
          <w:rFonts w:asciiTheme="minorHAnsi" w:hAnsiTheme="minorHAnsi" w:cstheme="minorHAnsi"/>
          <w:i/>
          <w:iCs/>
          <w:sz w:val="20"/>
          <w:szCs w:val="20"/>
        </w:rPr>
        <w:t xml:space="preserve"> r</w:t>
      </w:r>
      <w:r w:rsidR="0081399C" w:rsidRPr="00F31698">
        <w:rPr>
          <w:rFonts w:asciiTheme="minorHAnsi" w:hAnsiTheme="minorHAnsi" w:cstheme="minorHAnsi"/>
          <w:sz w:val="20"/>
          <w:szCs w:val="20"/>
          <w:vertAlign w:val="superscript"/>
        </w:rPr>
        <w:t>2</w:t>
      </w:r>
      <w:r w:rsidR="0081399C" w:rsidRPr="00F31698">
        <w:rPr>
          <w:rFonts w:asciiTheme="minorHAnsi" w:hAnsiTheme="minorHAnsi" w:cstheme="minorHAnsi"/>
          <w:sz w:val="20"/>
          <w:szCs w:val="20"/>
        </w:rPr>
        <w:t>=0.1</w:t>
      </w:r>
      <w:r w:rsidRPr="00F31698">
        <w:rPr>
          <w:rFonts w:asciiTheme="minorHAnsi" w:hAnsiTheme="minorHAnsi" w:cstheme="minorHAnsi"/>
          <w:sz w:val="20"/>
          <w:szCs w:val="20"/>
        </w:rPr>
        <w:t xml:space="preserve">). Various neurocognitive tests of logical, verbal, spatial, and technical ability were included, such as the forward and backward digit span, however, genetic correlations between cohorts were considerable (mean = 0.67). There was also no evidence to suggest heterogeneity across cohorts in the SNP associations. </w:t>
      </w:r>
      <w:bookmarkEnd w:id="0"/>
      <w:r w:rsidR="005703CC" w:rsidRPr="00F31698">
        <w:rPr>
          <w:rFonts w:asciiTheme="minorHAnsi" w:hAnsiTheme="minorHAnsi" w:cstheme="minorHAnsi"/>
          <w:sz w:val="20"/>
          <w:szCs w:val="20"/>
        </w:rPr>
        <w:t>Approximately 3.5% of the participants from the intelligence GWAS were included in the educational attainment cohort</w:t>
      </w:r>
      <w:r w:rsidR="00EC2141" w:rsidRPr="00F31698">
        <w:rPr>
          <w:rFonts w:asciiTheme="minorHAnsi" w:hAnsiTheme="minorHAnsi" w:cstheme="minorHAnsi"/>
          <w:sz w:val="20"/>
          <w:szCs w:val="20"/>
        </w:rPr>
        <w:t>s</w:t>
      </w:r>
      <w:r w:rsidR="00CB4A0F" w:rsidRPr="00F31698">
        <w:rPr>
          <w:rFonts w:asciiTheme="minorHAnsi" w:hAnsiTheme="minorHAnsi" w:cstheme="minorHAnsi"/>
          <w:sz w:val="20"/>
          <w:szCs w:val="20"/>
        </w:rPr>
        <w:t>.</w:t>
      </w:r>
      <w:r w:rsidR="007B22A8" w:rsidRPr="00F31698">
        <w:rPr>
          <w:rFonts w:asciiTheme="minorHAnsi" w:hAnsiTheme="minorHAnsi" w:cstheme="minorHAnsi"/>
          <w:sz w:val="20"/>
          <w:szCs w:val="20"/>
        </w:rPr>
        <w:t xml:space="preserve"> </w:t>
      </w:r>
      <w:r w:rsidR="00E95FDC" w:rsidRPr="00F31698">
        <w:rPr>
          <w:rFonts w:asciiTheme="minorHAnsi" w:hAnsiTheme="minorHAnsi" w:cstheme="minorHAnsi"/>
          <w:sz w:val="20"/>
          <w:szCs w:val="20"/>
        </w:rPr>
        <w:t xml:space="preserve"> </w:t>
      </w:r>
      <w:r w:rsidR="005703CC" w:rsidRPr="00F31698">
        <w:rPr>
          <w:rFonts w:asciiTheme="minorHAnsi" w:hAnsiTheme="minorHAnsi" w:cstheme="minorHAnsi"/>
          <w:sz w:val="20"/>
          <w:szCs w:val="20"/>
        </w:rPr>
        <w:t xml:space="preserve"> </w:t>
      </w:r>
    </w:p>
    <w:p w14:paraId="1D0E626B" w14:textId="77777777" w:rsidR="0056356E" w:rsidRPr="00F31698" w:rsidRDefault="0056356E" w:rsidP="0056356E">
      <w:pPr>
        <w:rPr>
          <w:rFonts w:asciiTheme="minorHAnsi" w:hAnsiTheme="minorHAnsi" w:cstheme="minorHAnsi"/>
          <w:b/>
          <w:bCs/>
          <w:i/>
          <w:iCs/>
          <w:sz w:val="20"/>
          <w:szCs w:val="20"/>
        </w:rPr>
      </w:pPr>
      <w:r w:rsidRPr="00F31698">
        <w:rPr>
          <w:rFonts w:asciiTheme="minorHAnsi" w:hAnsiTheme="minorHAnsi" w:cstheme="minorHAnsi"/>
          <w:b/>
          <w:bCs/>
          <w:i/>
          <w:iCs/>
          <w:sz w:val="20"/>
          <w:szCs w:val="20"/>
        </w:rPr>
        <w:t>Wellbeing</w:t>
      </w:r>
    </w:p>
    <w:p w14:paraId="4BE25513" w14:textId="70CD0E75" w:rsidR="0056356E" w:rsidRPr="00F31698" w:rsidRDefault="0056356E" w:rsidP="0056356E">
      <w:pPr>
        <w:spacing w:line="276" w:lineRule="auto"/>
        <w:rPr>
          <w:rFonts w:asciiTheme="minorHAnsi" w:hAnsiTheme="minorHAnsi" w:cstheme="minorHAnsi"/>
          <w:sz w:val="20"/>
          <w:szCs w:val="20"/>
        </w:rPr>
      </w:pPr>
      <w:r w:rsidRPr="00F31698">
        <w:rPr>
          <w:rFonts w:asciiTheme="minorHAnsi" w:hAnsiTheme="minorHAnsi" w:cstheme="minorHAnsi"/>
          <w:sz w:val="20"/>
          <w:szCs w:val="20"/>
        </w:rPr>
        <w:t>Wellbeing data was taken from the multivariate genome-wide-association meta-analysis (GWAMA) (</w:t>
      </w:r>
      <w:r w:rsidRPr="00F31698">
        <w:rPr>
          <w:rFonts w:asciiTheme="minorHAnsi" w:eastAsia="Times New Roman" w:hAnsiTheme="minorHAnsi" w:cstheme="minorHAnsi"/>
          <w:sz w:val="20"/>
          <w:szCs w:val="20"/>
        </w:rPr>
        <w:t>Baselmans, Jansen, Ip, van Dongen, Abdellaoui, van de Weijer &amp; Bao et al., 2019</w:t>
      </w:r>
      <w:r w:rsidRPr="00F31698">
        <w:rPr>
          <w:rFonts w:asciiTheme="minorHAnsi" w:hAnsiTheme="minorHAnsi" w:cstheme="minorHAnsi"/>
          <w:sz w:val="20"/>
          <w:szCs w:val="20"/>
        </w:rPr>
        <w:t xml:space="preserve">). This study used the widely documented genetic overlap between four traits, positive affect, life satisfaction, depression, and neuroticism, to run two novel methods: An N-weighted multivariate GWAMA (N-GWAMA) and a model-averaging GWAMA (MA-GWAMA). The N-GWAMA was used to identify a unitary effect of the SNPs on all traits, which they collectively refer to as the wellbeing spectrum. For these analyses, the estimated SNP effects on neuroticism and depressive symptoms were reversed. The authors identified 231 independent loci associated with the wellbeing spectrum. For the MA-GWAMA, the unitary effect assumption was relaxed, and instead trait-specific estimates were generated for each SNP. This resulted in 148 independent loci for life satisfaction, 191 for positive affect, 263 for neuroticism, and 239 for depressive symptoms. N-GWAMA and MA-GWAMA are complementary methods that can be used together. We therefore explore associations using data from both, taking the N-GWAMA estimates of the wellbeing spectrum first, and then exploring specific estimates for positive affect and life satisfaction in follow-up analyses.  </w:t>
      </w:r>
    </w:p>
    <w:p w14:paraId="05B08C94" w14:textId="3C2EDF42" w:rsidR="00510654" w:rsidRPr="00F31698" w:rsidRDefault="00510654" w:rsidP="0056356E">
      <w:pPr>
        <w:spacing w:line="276" w:lineRule="auto"/>
        <w:rPr>
          <w:rFonts w:asciiTheme="minorHAnsi" w:hAnsiTheme="minorHAnsi" w:cstheme="minorHAnsi"/>
          <w:sz w:val="20"/>
          <w:szCs w:val="20"/>
        </w:rPr>
      </w:pPr>
      <w:r w:rsidRPr="00F31698">
        <w:rPr>
          <w:rFonts w:asciiTheme="minorHAnsi" w:hAnsiTheme="minorHAnsi" w:cstheme="minorHAnsi"/>
          <w:sz w:val="20"/>
          <w:szCs w:val="20"/>
        </w:rPr>
        <w:t>Sample overlap between participants from the wellbeing GWAS and those included in the educational attainment discovery GWAS is approximately 11.3%.</w:t>
      </w:r>
      <w:r w:rsidR="00042DC6" w:rsidRPr="00F31698">
        <w:rPr>
          <w:rFonts w:asciiTheme="minorHAnsi" w:hAnsiTheme="minorHAnsi" w:cstheme="minorHAnsi"/>
          <w:sz w:val="20"/>
          <w:szCs w:val="20"/>
        </w:rPr>
        <w:t xml:space="preserve"> This increases to approximately 16.1% for the educational </w:t>
      </w:r>
      <w:r w:rsidR="00042DC6" w:rsidRPr="00F31698">
        <w:rPr>
          <w:rFonts w:asciiTheme="minorHAnsi" w:hAnsiTheme="minorHAnsi" w:cstheme="minorHAnsi"/>
          <w:sz w:val="20"/>
          <w:szCs w:val="20"/>
        </w:rPr>
        <w:lastRenderedPageBreak/>
        <w:t xml:space="preserve">attainment discovery and replication GWAS. </w:t>
      </w:r>
      <w:r w:rsidR="00157AFC" w:rsidRPr="00F31698">
        <w:rPr>
          <w:rFonts w:asciiTheme="minorHAnsi" w:hAnsiTheme="minorHAnsi" w:cstheme="minorHAnsi"/>
          <w:sz w:val="20"/>
          <w:szCs w:val="20"/>
        </w:rPr>
        <w:t>Sample overlap between participants included in the wellbeing and intelligence GWAS is estimated to be 8.3%.</w:t>
      </w:r>
    </w:p>
    <w:p w14:paraId="14496B3C" w14:textId="6623EA52" w:rsidR="006B2957" w:rsidRPr="00F31698" w:rsidRDefault="006B2957">
      <w:pPr>
        <w:rPr>
          <w:rFonts w:asciiTheme="minorHAnsi" w:hAnsiTheme="minorHAnsi" w:cstheme="minorHAnsi"/>
          <w:b/>
          <w:bCs/>
          <w:sz w:val="20"/>
          <w:szCs w:val="20"/>
        </w:rPr>
      </w:pPr>
      <w:r w:rsidRPr="00F31698">
        <w:rPr>
          <w:rFonts w:asciiTheme="minorHAnsi" w:hAnsiTheme="minorHAnsi" w:cstheme="minorHAnsi"/>
          <w:b/>
          <w:bCs/>
          <w:sz w:val="20"/>
          <w:szCs w:val="20"/>
        </w:rPr>
        <w:t>Analyses using 405k educational attainment GWAS.</w:t>
      </w:r>
    </w:p>
    <w:p w14:paraId="4C3C0348" w14:textId="33ABF006" w:rsidR="006B2957" w:rsidRPr="00F31698" w:rsidRDefault="006B2957" w:rsidP="006B2957">
      <w:pPr>
        <w:rPr>
          <w:rFonts w:asciiTheme="minorHAnsi" w:hAnsiTheme="minorHAnsi" w:cstheme="minorHAnsi"/>
          <w:sz w:val="20"/>
          <w:szCs w:val="20"/>
        </w:rPr>
      </w:pPr>
      <w:r w:rsidRPr="00F31698">
        <w:rPr>
          <w:rFonts w:asciiTheme="minorHAnsi" w:hAnsiTheme="minorHAnsi" w:cstheme="minorHAnsi"/>
          <w:sz w:val="20"/>
          <w:szCs w:val="20"/>
        </w:rPr>
        <w:t>For these analyses, a total of 162 independent SNPs were available for educational attainment, of which 152 were identified in the intelligence GWAS. Following data harmonisation, 59 SNPs remained. For analyses exploring possible casual effects of intelligence on educational attainment, there were 210 SNPs available in both GWAS, of which 186 SNPs were available after 24 palindromic SNPs were removed during data harmonisation.</w:t>
      </w:r>
    </w:p>
    <w:p w14:paraId="4F91CB82" w14:textId="77777777" w:rsidR="00F12422" w:rsidRPr="00F31698" w:rsidRDefault="00F12422">
      <w:pPr>
        <w:rPr>
          <w:rFonts w:asciiTheme="minorHAnsi" w:hAnsiTheme="minorHAnsi" w:cstheme="minorHAnsi"/>
          <w:b/>
          <w:bCs/>
          <w:sz w:val="20"/>
          <w:szCs w:val="20"/>
        </w:rPr>
      </w:pPr>
    </w:p>
    <w:p w14:paraId="554D7021" w14:textId="77777777" w:rsidR="00F12422" w:rsidRPr="00F31698" w:rsidRDefault="00F12422">
      <w:pPr>
        <w:rPr>
          <w:rFonts w:asciiTheme="minorHAnsi" w:hAnsiTheme="minorHAnsi" w:cstheme="minorHAnsi"/>
          <w:b/>
          <w:bCs/>
          <w:sz w:val="20"/>
          <w:szCs w:val="20"/>
        </w:rPr>
      </w:pPr>
      <w:r w:rsidRPr="00F31698">
        <w:rPr>
          <w:rFonts w:asciiTheme="minorHAnsi" w:hAnsiTheme="minorHAnsi" w:cstheme="minorHAnsi"/>
          <w:b/>
          <w:bCs/>
          <w:sz w:val="20"/>
          <w:szCs w:val="20"/>
        </w:rPr>
        <w:t>Results</w:t>
      </w:r>
    </w:p>
    <w:p w14:paraId="4BD1D3B6" w14:textId="77777777" w:rsidR="00F12422" w:rsidRPr="00F31698" w:rsidRDefault="00F12422" w:rsidP="00F12422">
      <w:pPr>
        <w:rPr>
          <w:rFonts w:asciiTheme="minorHAnsi" w:hAnsiTheme="minorHAnsi" w:cstheme="minorHAnsi"/>
          <w:sz w:val="20"/>
          <w:szCs w:val="20"/>
        </w:rPr>
      </w:pPr>
      <w:r w:rsidRPr="00F31698">
        <w:rPr>
          <w:rFonts w:asciiTheme="minorHAnsi" w:hAnsiTheme="minorHAnsi" w:cstheme="minorHAnsi"/>
          <w:b/>
          <w:bCs/>
          <w:i/>
          <w:iCs/>
          <w:sz w:val="20"/>
          <w:szCs w:val="20"/>
        </w:rPr>
        <w:t>Univariable MR testing causal associations between intelligence and educational attainment</w:t>
      </w:r>
    </w:p>
    <w:p w14:paraId="4BB3C921" w14:textId="77777777" w:rsidR="00F12422" w:rsidRPr="00F31698" w:rsidRDefault="00F12422" w:rsidP="00F12422">
      <w:pPr>
        <w:rPr>
          <w:rFonts w:asciiTheme="minorHAnsi" w:hAnsiTheme="minorHAnsi" w:cstheme="minorHAnsi"/>
          <w:sz w:val="20"/>
          <w:szCs w:val="20"/>
        </w:rPr>
      </w:pPr>
      <w:r w:rsidRPr="00F31698">
        <w:rPr>
          <w:rFonts w:asciiTheme="minorHAnsi" w:hAnsiTheme="minorHAnsi" w:cstheme="minorHAnsi"/>
          <w:sz w:val="20"/>
          <w:szCs w:val="20"/>
        </w:rPr>
        <w:t>Prior to investigating effects on wellbeing, univariable MR was first used to confirm the bidirectional relationship between educational attainment and intelligence (Anderson et al., 2020). Analyses revealed strong causal effects of educational attainment on intelligence, and vice versa (Supplementary Table 1). Effect sizes were twofold greater for educational attainment on intelligence, aligning with previous findings (Anderson et al., 2020). There was also</w:t>
      </w:r>
      <w:r w:rsidRPr="00F31698">
        <w:rPr>
          <w:sz w:val="20"/>
          <w:szCs w:val="20"/>
        </w:rPr>
        <w:t xml:space="preserve"> </w:t>
      </w:r>
      <w:r w:rsidRPr="00F31698">
        <w:rPr>
          <w:rFonts w:asciiTheme="minorHAnsi" w:hAnsiTheme="minorHAnsi" w:cstheme="minorHAnsi"/>
          <w:sz w:val="20"/>
          <w:szCs w:val="20"/>
        </w:rPr>
        <w:t>strong evidence of heterogeneity in the causal estimates for both directions, also replicating previous findings.</w:t>
      </w:r>
    </w:p>
    <w:p w14:paraId="0EC2A185" w14:textId="23D4F28E" w:rsidR="007E1C02" w:rsidRPr="00F31698" w:rsidRDefault="00F12422" w:rsidP="007E1C02">
      <w:pPr>
        <w:rPr>
          <w:rFonts w:asciiTheme="minorHAnsi" w:hAnsiTheme="minorHAnsi" w:cstheme="minorHAnsi"/>
          <w:sz w:val="20"/>
          <w:szCs w:val="20"/>
        </w:rPr>
      </w:pPr>
      <w:r w:rsidRPr="00F31698">
        <w:rPr>
          <w:rFonts w:asciiTheme="minorHAnsi" w:hAnsiTheme="minorHAnsi" w:cstheme="minorHAnsi"/>
          <w:b/>
          <w:bCs/>
          <w:sz w:val="20"/>
          <w:szCs w:val="20"/>
        </w:rPr>
        <w:t xml:space="preserve"> </w:t>
      </w:r>
      <w:r w:rsidR="007E1C02" w:rsidRPr="00F31698">
        <w:rPr>
          <w:rFonts w:asciiTheme="minorHAnsi" w:hAnsiTheme="minorHAnsi" w:cstheme="minorHAnsi"/>
          <w:b/>
          <w:bCs/>
          <w:i/>
          <w:iCs/>
          <w:sz w:val="20"/>
          <w:szCs w:val="20"/>
        </w:rPr>
        <w:t>Univariable MR testing causal associations between educational attainment and wellbeing</w:t>
      </w:r>
    </w:p>
    <w:p w14:paraId="7AE0FA6C" w14:textId="362E241E" w:rsidR="006B2957" w:rsidRPr="00F31698" w:rsidRDefault="007E1C02">
      <w:pPr>
        <w:rPr>
          <w:rFonts w:asciiTheme="minorHAnsi" w:hAnsiTheme="minorHAnsi" w:cstheme="minorHAnsi"/>
          <w:b/>
          <w:bCs/>
          <w:sz w:val="20"/>
          <w:szCs w:val="20"/>
        </w:rPr>
      </w:pPr>
      <w:r w:rsidRPr="00F31698">
        <w:rPr>
          <w:rFonts w:asciiTheme="minorHAnsi" w:hAnsiTheme="minorHAnsi" w:cstheme="minorHAnsi"/>
          <w:sz w:val="20"/>
          <w:szCs w:val="20"/>
        </w:rPr>
        <w:t>While univariable analyses did not replicate using MR-Egger, this is unlikely to be a result of directional pleiotropy. Directional pleiotropy is accounted for in MR-Egger, therefore if directional pleiotropy is present, it can result in the removal of any causal effects. This seems unlikely based on the current findings as the MR-Egger intercept did not differ from zero. The funnel plots also provided evidence of balanced pleiotropy and there was no evidence in the forest plots to suggest that associations were strongly driven by one</w:t>
      </w:r>
      <w:r w:rsidRPr="00F31698">
        <w:rPr>
          <w:sz w:val="20"/>
          <w:szCs w:val="20"/>
        </w:rPr>
        <w:t xml:space="preserve"> </w:t>
      </w:r>
      <w:r w:rsidRPr="00F31698">
        <w:rPr>
          <w:rFonts w:asciiTheme="minorHAnsi" w:hAnsiTheme="minorHAnsi" w:cstheme="minorHAnsi"/>
          <w:sz w:val="20"/>
          <w:szCs w:val="20"/>
        </w:rPr>
        <w:t>single-nucleotide polymorphisms (SNP) (see Supplementary Figures 1 and 2). These combined findings suggest</w:t>
      </w:r>
      <w:r w:rsidRPr="00F31698">
        <w:rPr>
          <w:sz w:val="20"/>
          <w:szCs w:val="20"/>
        </w:rPr>
        <w:t xml:space="preserve"> </w:t>
      </w:r>
      <w:r w:rsidRPr="00F31698">
        <w:rPr>
          <w:rFonts w:asciiTheme="minorHAnsi" w:hAnsiTheme="minorHAnsi" w:cstheme="minorHAnsi"/>
          <w:sz w:val="20"/>
          <w:szCs w:val="20"/>
        </w:rPr>
        <w:t xml:space="preserve">that associations are unlikely to be significantly driven by directional pleiotropy. It is </w:t>
      </w:r>
      <w:r w:rsidR="00893A77" w:rsidRPr="00F31698">
        <w:rPr>
          <w:rFonts w:asciiTheme="minorHAnsi" w:hAnsiTheme="minorHAnsi" w:cstheme="minorHAnsi"/>
          <w:sz w:val="20"/>
          <w:szCs w:val="20"/>
        </w:rPr>
        <w:t xml:space="preserve">also </w:t>
      </w:r>
      <w:r w:rsidRPr="00F31698">
        <w:rPr>
          <w:rFonts w:asciiTheme="minorHAnsi" w:hAnsiTheme="minorHAnsi" w:cstheme="minorHAnsi"/>
          <w:sz w:val="20"/>
          <w:szCs w:val="20"/>
        </w:rPr>
        <w:t>important to note</w:t>
      </w:r>
      <w:r w:rsidR="00893A77" w:rsidRPr="00F31698">
        <w:rPr>
          <w:rFonts w:asciiTheme="minorHAnsi" w:hAnsiTheme="minorHAnsi" w:cstheme="minorHAnsi"/>
          <w:sz w:val="20"/>
          <w:szCs w:val="20"/>
        </w:rPr>
        <w:t xml:space="preserve"> that </w:t>
      </w:r>
      <w:r w:rsidRPr="00F31698">
        <w:rPr>
          <w:rFonts w:asciiTheme="minorHAnsi" w:hAnsiTheme="minorHAnsi" w:cstheme="minorHAnsi"/>
          <w:sz w:val="20"/>
          <w:szCs w:val="20"/>
        </w:rPr>
        <w:t xml:space="preserve">Steiger filtering revealed that all educational attainment SNPs were more associated with educational attainment than wellbeing, and only 4 out of a total 147 wellbeing SNPs (2.7%) explained more of the variance in educational attainment than wellbeing. Analyses repeated after removing these SNPs </w:t>
      </w:r>
      <w:r w:rsidR="00893A77" w:rsidRPr="00F31698">
        <w:rPr>
          <w:rFonts w:asciiTheme="minorHAnsi" w:hAnsiTheme="minorHAnsi" w:cstheme="minorHAnsi"/>
          <w:sz w:val="20"/>
          <w:szCs w:val="20"/>
        </w:rPr>
        <w:t>revealed consistent</w:t>
      </w:r>
      <w:r w:rsidRPr="00F31698">
        <w:rPr>
          <w:rFonts w:asciiTheme="minorHAnsi" w:hAnsiTheme="minorHAnsi" w:cstheme="minorHAnsi"/>
          <w:sz w:val="20"/>
          <w:szCs w:val="20"/>
        </w:rPr>
        <w:t xml:space="preserve"> results (see Supplementary Table 3), suggesting minimal bias from reverse causation. It is therefore likely that findings reflect measurement error, as evaluated by the low regression dilution I2 statistic (see Supplementary Table 2).</w:t>
      </w:r>
      <w:r w:rsidR="003C3022">
        <w:rPr>
          <w:rFonts w:asciiTheme="minorHAnsi" w:hAnsiTheme="minorHAnsi" w:cstheme="minorHAnsi"/>
          <w:sz w:val="20"/>
          <w:szCs w:val="20"/>
        </w:rPr>
        <w:t xml:space="preserve"> O</w:t>
      </w:r>
      <w:r w:rsidRPr="00F31698">
        <w:rPr>
          <w:rFonts w:asciiTheme="minorHAnsi" w:hAnsiTheme="minorHAnsi" w:cstheme="minorHAnsi"/>
          <w:sz w:val="20"/>
          <w:szCs w:val="20"/>
        </w:rPr>
        <w:t>nly 4 out of a total 147 wellbeing SNPs (2.7%) explained more of the variance in educational attainment than wellbeing. Analyses were repeated after removing these SNPs and results were largely consistent (see Supplementary Table</w:t>
      </w:r>
      <w:r w:rsidR="00D03A58">
        <w:rPr>
          <w:rFonts w:asciiTheme="minorHAnsi" w:hAnsiTheme="minorHAnsi" w:cstheme="minorHAnsi"/>
          <w:sz w:val="20"/>
          <w:szCs w:val="20"/>
        </w:rPr>
        <w:t xml:space="preserve">3). </w:t>
      </w:r>
    </w:p>
    <w:sectPr w:rsidR="006B2957" w:rsidRPr="00F31698" w:rsidSect="007F4B7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B9"/>
    <w:rsid w:val="00042DC6"/>
    <w:rsid w:val="00052528"/>
    <w:rsid w:val="00084B4B"/>
    <w:rsid w:val="0014627C"/>
    <w:rsid w:val="00157AFC"/>
    <w:rsid w:val="002A5988"/>
    <w:rsid w:val="003166F7"/>
    <w:rsid w:val="003C3022"/>
    <w:rsid w:val="00510654"/>
    <w:rsid w:val="005107E4"/>
    <w:rsid w:val="005121B2"/>
    <w:rsid w:val="00542119"/>
    <w:rsid w:val="0056356E"/>
    <w:rsid w:val="005703CC"/>
    <w:rsid w:val="005B1AB9"/>
    <w:rsid w:val="005D5529"/>
    <w:rsid w:val="006B2957"/>
    <w:rsid w:val="007759B8"/>
    <w:rsid w:val="007B22A8"/>
    <w:rsid w:val="007C4CDF"/>
    <w:rsid w:val="007C7487"/>
    <w:rsid w:val="007E1C02"/>
    <w:rsid w:val="007F4B77"/>
    <w:rsid w:val="0081399C"/>
    <w:rsid w:val="00893A77"/>
    <w:rsid w:val="008A0467"/>
    <w:rsid w:val="00901D21"/>
    <w:rsid w:val="00904BDD"/>
    <w:rsid w:val="00912B81"/>
    <w:rsid w:val="009A0403"/>
    <w:rsid w:val="00A83CB6"/>
    <w:rsid w:val="00B24D56"/>
    <w:rsid w:val="00B475E4"/>
    <w:rsid w:val="00CB4A0F"/>
    <w:rsid w:val="00D03A58"/>
    <w:rsid w:val="00DB77D9"/>
    <w:rsid w:val="00DB7C9C"/>
    <w:rsid w:val="00E07599"/>
    <w:rsid w:val="00E95FDC"/>
    <w:rsid w:val="00EC2141"/>
    <w:rsid w:val="00EC383B"/>
    <w:rsid w:val="00ED75D4"/>
    <w:rsid w:val="00F12422"/>
    <w:rsid w:val="00F31698"/>
    <w:rsid w:val="00F54911"/>
    <w:rsid w:val="00F87C93"/>
    <w:rsid w:val="00FE45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CD7FD"/>
  <w15:chartTrackingRefBased/>
  <w15:docId w15:val="{97224DC2-7B88-41A2-B06C-6CED80CC3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4B4B"/>
    <w:rPr>
      <w:sz w:val="16"/>
      <w:szCs w:val="16"/>
    </w:rPr>
  </w:style>
  <w:style w:type="paragraph" w:styleId="CommentText">
    <w:name w:val="annotation text"/>
    <w:basedOn w:val="Normal"/>
    <w:link w:val="CommentTextChar"/>
    <w:uiPriority w:val="99"/>
    <w:unhideWhenUsed/>
    <w:rsid w:val="00084B4B"/>
    <w:pPr>
      <w:spacing w:line="240" w:lineRule="auto"/>
    </w:pPr>
    <w:rPr>
      <w:sz w:val="20"/>
      <w:szCs w:val="20"/>
    </w:rPr>
  </w:style>
  <w:style w:type="character" w:customStyle="1" w:styleId="CommentTextChar">
    <w:name w:val="Comment Text Char"/>
    <w:basedOn w:val="DefaultParagraphFont"/>
    <w:link w:val="CommentText"/>
    <w:uiPriority w:val="99"/>
    <w:rsid w:val="00084B4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4193">
      <w:bodyDiv w:val="1"/>
      <w:marLeft w:val="0"/>
      <w:marRight w:val="0"/>
      <w:marTop w:val="0"/>
      <w:marBottom w:val="0"/>
      <w:divBdr>
        <w:top w:val="none" w:sz="0" w:space="0" w:color="auto"/>
        <w:left w:val="none" w:sz="0" w:space="0" w:color="auto"/>
        <w:bottom w:val="none" w:sz="0" w:space="0" w:color="auto"/>
        <w:right w:val="none" w:sz="0" w:space="0" w:color="auto"/>
      </w:divBdr>
    </w:div>
    <w:div w:id="123169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1005</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armitage</dc:creator>
  <cp:keywords/>
  <dc:description/>
  <cp:lastModifiedBy>Jessica Armitage</cp:lastModifiedBy>
  <cp:revision>37</cp:revision>
  <dcterms:created xsi:type="dcterms:W3CDTF">2021-03-08T10:15:00Z</dcterms:created>
  <dcterms:modified xsi:type="dcterms:W3CDTF">2023-03-06T17:51:00Z</dcterms:modified>
</cp:coreProperties>
</file>