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B32A9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  <w:r w:rsidRPr="009C3EDE">
        <w:rPr>
          <w:rStyle w:val="a8"/>
          <w:rFonts w:ascii="Times New Roman" w:hAnsi="Times New Roman" w:cs="Times New Roman"/>
          <w:color w:val="0E101A"/>
        </w:rPr>
        <w:t>SUPPLEMENTARY MATERIAL</w:t>
      </w:r>
    </w:p>
    <w:p w14:paraId="0F43530A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  <w:r w:rsidRPr="009C3EDE">
        <w:rPr>
          <w:rStyle w:val="a8"/>
          <w:rFonts w:ascii="Times New Roman" w:hAnsi="Times New Roman" w:cs="Times New Roman"/>
          <w:color w:val="0E101A"/>
        </w:rPr>
        <w:t>Supplementary Figure 1. </w:t>
      </w:r>
    </w:p>
    <w:p w14:paraId="24D571B7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  <w:r w:rsidRPr="009C3EDE">
        <w:rPr>
          <w:rFonts w:ascii="Times New Roman" w:hAnsi="Times New Roman" w:cs="Times New Roman"/>
          <w:color w:val="0E101A"/>
        </w:rPr>
        <w:t>The distribution of 14 clusters in cell differentiation trajectory.</w:t>
      </w:r>
    </w:p>
    <w:p w14:paraId="2B782D1C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</w:p>
    <w:p w14:paraId="3C67446B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  <w:r w:rsidRPr="009C3EDE">
        <w:rPr>
          <w:rStyle w:val="a8"/>
          <w:rFonts w:ascii="Times New Roman" w:hAnsi="Times New Roman" w:cs="Times New Roman"/>
          <w:color w:val="0E101A"/>
        </w:rPr>
        <w:t>Supplementary Figure 2</w:t>
      </w:r>
      <w:r>
        <w:rPr>
          <w:rStyle w:val="a8"/>
          <w:rFonts w:ascii="Times New Roman" w:hAnsi="Times New Roman" w:cs="Times New Roman"/>
          <w:color w:val="0E101A"/>
        </w:rPr>
        <w:t>A-2C</w:t>
      </w:r>
      <w:r w:rsidRPr="009C3EDE">
        <w:rPr>
          <w:rStyle w:val="a8"/>
          <w:rFonts w:ascii="Times New Roman" w:hAnsi="Times New Roman" w:cs="Times New Roman"/>
          <w:color w:val="0E101A"/>
        </w:rPr>
        <w:t>.</w:t>
      </w:r>
    </w:p>
    <w:p w14:paraId="60B88E04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  <w:r w:rsidRPr="009C3EDE">
        <w:rPr>
          <w:rFonts w:ascii="Times New Roman" w:hAnsi="Times New Roman" w:cs="Times New Roman"/>
          <w:color w:val="0E101A"/>
        </w:rPr>
        <w:t>GSE184941 samples were divided into three subtypes by the K-means algorithm and cumulative distribution function curve (maxK=9).</w:t>
      </w:r>
    </w:p>
    <w:p w14:paraId="232D24CB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</w:p>
    <w:p w14:paraId="15E94475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  <w:r w:rsidRPr="009C3EDE">
        <w:rPr>
          <w:rStyle w:val="a8"/>
          <w:rFonts w:ascii="Times New Roman" w:hAnsi="Times New Roman" w:cs="Times New Roman"/>
          <w:color w:val="0E101A"/>
        </w:rPr>
        <w:t xml:space="preserve">Supplementary Figure </w:t>
      </w:r>
      <w:r>
        <w:rPr>
          <w:rStyle w:val="a8"/>
          <w:rFonts w:ascii="Times New Roman" w:hAnsi="Times New Roman" w:cs="Times New Roman"/>
          <w:color w:val="0E101A"/>
        </w:rPr>
        <w:t>3A</w:t>
      </w:r>
      <w:r w:rsidRPr="009C3EDE">
        <w:rPr>
          <w:rStyle w:val="a8"/>
          <w:rFonts w:ascii="Times New Roman" w:hAnsi="Times New Roman" w:cs="Times New Roman"/>
          <w:color w:val="0E101A"/>
        </w:rPr>
        <w:t>.</w:t>
      </w:r>
    </w:p>
    <w:p w14:paraId="30F405A3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  <w:r w:rsidRPr="009C3EDE">
        <w:rPr>
          <w:rFonts w:ascii="Times New Roman" w:hAnsi="Times New Roman" w:cs="Times New Roman"/>
          <w:color w:val="0E101A"/>
        </w:rPr>
        <w:t>The expression of GDRGs was consistent between branches of differentiation trajectory (branch Ⅰ-Ⅲ) and molecular subtypes (cluster Ⅰ-Ⅲ) in the GSE184941 dataset.</w:t>
      </w:r>
    </w:p>
    <w:p w14:paraId="1C88FC7C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</w:p>
    <w:p w14:paraId="4E4AD259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  <w:r w:rsidRPr="009C3EDE">
        <w:rPr>
          <w:rStyle w:val="a8"/>
          <w:rFonts w:ascii="Times New Roman" w:hAnsi="Times New Roman" w:cs="Times New Roman"/>
          <w:color w:val="0E101A"/>
        </w:rPr>
        <w:t xml:space="preserve">Supplementary Figure </w:t>
      </w:r>
      <w:r>
        <w:rPr>
          <w:rStyle w:val="a8"/>
          <w:rFonts w:ascii="Times New Roman" w:hAnsi="Times New Roman" w:cs="Times New Roman"/>
          <w:color w:val="0E101A"/>
        </w:rPr>
        <w:t>3B</w:t>
      </w:r>
      <w:r w:rsidRPr="009C3EDE">
        <w:rPr>
          <w:rStyle w:val="a8"/>
          <w:rFonts w:ascii="Times New Roman" w:hAnsi="Times New Roman" w:cs="Times New Roman"/>
          <w:color w:val="0E101A"/>
        </w:rPr>
        <w:t>-</w:t>
      </w:r>
      <w:r>
        <w:rPr>
          <w:rStyle w:val="a8"/>
          <w:rFonts w:ascii="Times New Roman" w:hAnsi="Times New Roman" w:cs="Times New Roman"/>
          <w:color w:val="0E101A"/>
        </w:rPr>
        <w:t>C</w:t>
      </w:r>
      <w:r w:rsidRPr="009C3EDE">
        <w:rPr>
          <w:rStyle w:val="a8"/>
          <w:rFonts w:ascii="Times New Roman" w:hAnsi="Times New Roman" w:cs="Times New Roman"/>
          <w:color w:val="0E101A"/>
        </w:rPr>
        <w:t>.</w:t>
      </w:r>
    </w:p>
    <w:p w14:paraId="27748E1B" w14:textId="77777777" w:rsidR="00194423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  <w:r w:rsidRPr="009C3EDE">
        <w:rPr>
          <w:rFonts w:ascii="Times New Roman" w:hAnsi="Times New Roman" w:cs="Times New Roman"/>
          <w:color w:val="0E101A"/>
        </w:rPr>
        <w:t>Clinicopathological correlation analysis of GSE184941-based subtypes.</w:t>
      </w:r>
    </w:p>
    <w:p w14:paraId="3D7C5942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</w:p>
    <w:p w14:paraId="6678FC56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  <w:r w:rsidRPr="009C3EDE">
        <w:rPr>
          <w:rStyle w:val="a8"/>
          <w:rFonts w:ascii="Times New Roman" w:hAnsi="Times New Roman" w:cs="Times New Roman"/>
          <w:color w:val="0E101A"/>
        </w:rPr>
        <w:t xml:space="preserve">Supplementary Figure </w:t>
      </w:r>
      <w:r>
        <w:rPr>
          <w:rStyle w:val="a8"/>
          <w:rFonts w:ascii="Times New Roman" w:hAnsi="Times New Roman" w:cs="Times New Roman"/>
          <w:color w:val="0E101A"/>
        </w:rPr>
        <w:t>3D</w:t>
      </w:r>
      <w:r w:rsidRPr="009C3EDE">
        <w:rPr>
          <w:rStyle w:val="a8"/>
          <w:rFonts w:ascii="Times New Roman" w:hAnsi="Times New Roman" w:cs="Times New Roman"/>
          <w:color w:val="0E101A"/>
        </w:rPr>
        <w:t>.</w:t>
      </w:r>
    </w:p>
    <w:p w14:paraId="4A755465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  <w:r w:rsidRPr="009C3EDE">
        <w:rPr>
          <w:rFonts w:ascii="Times New Roman" w:hAnsi="Times New Roman" w:cs="Times New Roman"/>
          <w:color w:val="0E101A"/>
        </w:rPr>
        <w:t>Kaplan-Meier analysis of GSE184941-based subtypes.</w:t>
      </w:r>
    </w:p>
    <w:p w14:paraId="123388C7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</w:p>
    <w:p w14:paraId="5E12E4DA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  <w:r w:rsidRPr="009C3EDE">
        <w:rPr>
          <w:rStyle w:val="a8"/>
          <w:rFonts w:ascii="Times New Roman" w:hAnsi="Times New Roman" w:cs="Times New Roman"/>
          <w:color w:val="0E101A"/>
        </w:rPr>
        <w:t xml:space="preserve">Supplementary Figure </w:t>
      </w:r>
      <w:r>
        <w:rPr>
          <w:rStyle w:val="a8"/>
          <w:rFonts w:ascii="Times New Roman" w:hAnsi="Times New Roman" w:cs="Times New Roman"/>
          <w:color w:val="0E101A"/>
        </w:rPr>
        <w:t>4A-4C</w:t>
      </w:r>
      <w:r w:rsidRPr="009C3EDE">
        <w:rPr>
          <w:rStyle w:val="a8"/>
          <w:rFonts w:ascii="Times New Roman" w:hAnsi="Times New Roman" w:cs="Times New Roman"/>
          <w:color w:val="0E101A"/>
        </w:rPr>
        <w:t>.</w:t>
      </w:r>
    </w:p>
    <w:p w14:paraId="15E25FA2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  <w:r w:rsidRPr="009C3EDE">
        <w:rPr>
          <w:rFonts w:ascii="Times New Roman" w:hAnsi="Times New Roman" w:cs="Times New Roman"/>
          <w:color w:val="0E101A"/>
        </w:rPr>
        <w:t xml:space="preserve">Kaplan-Meier analysis of </w:t>
      </w:r>
      <w:r>
        <w:rPr>
          <w:rFonts w:ascii="Times New Roman" w:hAnsi="Times New Roman" w:cs="Times New Roman"/>
          <w:color w:val="0E101A"/>
        </w:rPr>
        <w:t>NK</w:t>
      </w:r>
      <w:r w:rsidRPr="009C3EDE">
        <w:rPr>
          <w:rFonts w:ascii="Times New Roman" w:hAnsi="Times New Roman" w:cs="Times New Roman"/>
          <w:color w:val="0E101A"/>
        </w:rPr>
        <w:t xml:space="preserve"> cells activated, Monocells, and Mast cells activated in glioma.</w:t>
      </w:r>
    </w:p>
    <w:p w14:paraId="287B7490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</w:p>
    <w:p w14:paraId="23338052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  <w:r w:rsidRPr="009C3EDE">
        <w:rPr>
          <w:rStyle w:val="a8"/>
          <w:rFonts w:ascii="Times New Roman" w:hAnsi="Times New Roman" w:cs="Times New Roman"/>
          <w:color w:val="0E101A"/>
        </w:rPr>
        <w:t xml:space="preserve">Supplementary Figure </w:t>
      </w:r>
      <w:r>
        <w:rPr>
          <w:rStyle w:val="a8"/>
          <w:rFonts w:ascii="Times New Roman" w:hAnsi="Times New Roman" w:cs="Times New Roman"/>
          <w:color w:val="0E101A"/>
        </w:rPr>
        <w:t>4D</w:t>
      </w:r>
      <w:r w:rsidRPr="009C3EDE">
        <w:rPr>
          <w:rStyle w:val="a8"/>
          <w:rFonts w:ascii="Times New Roman" w:hAnsi="Times New Roman" w:cs="Times New Roman"/>
          <w:color w:val="0E101A"/>
        </w:rPr>
        <w:t>.</w:t>
      </w:r>
    </w:p>
    <w:p w14:paraId="09CE929F" w14:textId="77777777" w:rsidR="00194423" w:rsidRPr="009C3EDE" w:rsidRDefault="00194423" w:rsidP="00194423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color w:val="0E101A"/>
        </w:rPr>
      </w:pPr>
      <w:r w:rsidRPr="009C3EDE">
        <w:rPr>
          <w:rFonts w:ascii="Times New Roman" w:hAnsi="Times New Roman" w:cs="Times New Roman"/>
          <w:color w:val="0E101A"/>
        </w:rPr>
        <w:t xml:space="preserve">Expression of </w:t>
      </w:r>
      <w:r>
        <w:rPr>
          <w:rFonts w:ascii="Times New Roman" w:hAnsi="Times New Roman" w:cs="Times New Roman" w:hint="eastAsia"/>
          <w:color w:val="0E101A"/>
        </w:rPr>
        <w:t>i</w:t>
      </w:r>
      <w:r w:rsidRPr="009C3EDE">
        <w:rPr>
          <w:rFonts w:ascii="Times New Roman" w:hAnsi="Times New Roman" w:cs="Times New Roman"/>
          <w:color w:val="0E101A"/>
        </w:rPr>
        <w:t>mmune checkpoints in GSE184941-based subtypes.</w:t>
      </w:r>
    </w:p>
    <w:p w14:paraId="3F26D9AB" w14:textId="77777777" w:rsidR="000D5F58" w:rsidRPr="00194423" w:rsidRDefault="000D5F58"/>
    <w:sectPr w:rsidR="000D5F58" w:rsidRPr="001944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B3B65C" w14:textId="77777777" w:rsidR="00A876EF" w:rsidRDefault="00A876EF" w:rsidP="00194423">
      <w:r>
        <w:separator/>
      </w:r>
    </w:p>
  </w:endnote>
  <w:endnote w:type="continuationSeparator" w:id="0">
    <w:p w14:paraId="2E01C2FD" w14:textId="77777777" w:rsidR="00A876EF" w:rsidRDefault="00A876EF" w:rsidP="00194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64E7B" w14:textId="77777777" w:rsidR="00A876EF" w:rsidRDefault="00A876EF" w:rsidP="00194423">
      <w:r>
        <w:separator/>
      </w:r>
    </w:p>
  </w:footnote>
  <w:footnote w:type="continuationSeparator" w:id="0">
    <w:p w14:paraId="26277E04" w14:textId="77777777" w:rsidR="00A876EF" w:rsidRDefault="00A876EF" w:rsidP="001944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704"/>
    <w:rsid w:val="000D5F58"/>
    <w:rsid w:val="00194423"/>
    <w:rsid w:val="00785704"/>
    <w:rsid w:val="00A8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8ADAA63-BCC3-4CB6-9C9B-9F1357655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44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44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44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4423"/>
    <w:rPr>
      <w:sz w:val="18"/>
      <w:szCs w:val="18"/>
    </w:rPr>
  </w:style>
  <w:style w:type="paragraph" w:styleId="a7">
    <w:name w:val="Normal (Web)"/>
    <w:basedOn w:val="a"/>
    <w:uiPriority w:val="99"/>
    <w:unhideWhenUsed/>
    <w:rsid w:val="001944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1944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实 华</dc:creator>
  <cp:keywords/>
  <dc:description/>
  <cp:lastModifiedBy>实 华</cp:lastModifiedBy>
  <cp:revision>2</cp:revision>
  <dcterms:created xsi:type="dcterms:W3CDTF">2023-03-15T01:14:00Z</dcterms:created>
  <dcterms:modified xsi:type="dcterms:W3CDTF">2023-03-15T01:15:00Z</dcterms:modified>
</cp:coreProperties>
</file>