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664E28" w14:textId="77777777" w:rsidR="00AC1B87" w:rsidRPr="00610838" w:rsidRDefault="00AC1B87" w:rsidP="00AC1B87">
      <w:pPr>
        <w:pStyle w:val="berschrift1"/>
        <w:jc w:val="both"/>
        <w:rPr>
          <w:rStyle w:val="Hervorhebung"/>
          <w:rFonts w:ascii="Times New Roman" w:hAnsi="Times New Roman" w:cs="Times New Roman"/>
          <w:b/>
          <w:bCs/>
          <w:i w:val="0"/>
          <w:iCs w:val="0"/>
          <w:color w:val="auto"/>
          <w:sz w:val="24"/>
          <w:szCs w:val="24"/>
          <w:lang w:val="en-GB"/>
        </w:rPr>
      </w:pPr>
      <w:bookmarkStart w:id="0" w:name="_GoBack"/>
      <w:bookmarkEnd w:id="0"/>
      <w:r w:rsidRPr="00610838">
        <w:rPr>
          <w:rStyle w:val="Hervorhebung"/>
          <w:rFonts w:ascii="Times New Roman" w:hAnsi="Times New Roman" w:cs="Times New Roman"/>
          <w:b/>
          <w:i w:val="0"/>
          <w:color w:val="auto"/>
          <w:sz w:val="24"/>
          <w:szCs w:val="24"/>
          <w:lang w:val="en-GB"/>
        </w:rPr>
        <w:t>Supplementary Notes</w:t>
      </w:r>
    </w:p>
    <w:p w14:paraId="56D10D40" w14:textId="77777777" w:rsidR="00AC1B87" w:rsidRPr="00610838" w:rsidRDefault="00AC1B87" w:rsidP="00AC1B87">
      <w:pPr>
        <w:pStyle w:val="berschrift1"/>
        <w:jc w:val="both"/>
        <w:rPr>
          <w:rFonts w:ascii="Times New Roman" w:hAnsi="Times New Roman" w:cs="Times New Roman"/>
          <w:b/>
          <w:bCs/>
          <w:color w:val="auto"/>
          <w:sz w:val="24"/>
          <w:szCs w:val="24"/>
          <w:lang w:val="en-GB"/>
        </w:rPr>
      </w:pPr>
      <w:r w:rsidRPr="00610838">
        <w:rPr>
          <w:rFonts w:ascii="Times New Roman" w:hAnsi="Times New Roman" w:cs="Times New Roman"/>
          <w:b/>
          <w:bCs/>
          <w:color w:val="auto"/>
          <w:sz w:val="24"/>
          <w:szCs w:val="24"/>
          <w:lang w:val="en-GB"/>
        </w:rPr>
        <w:t>Read mapping, filtering and variant calling</w:t>
      </w:r>
    </w:p>
    <w:p w14:paraId="2CF63D59" w14:textId="77777777" w:rsidR="00AC1B87" w:rsidRPr="00610838" w:rsidRDefault="00AC1B87" w:rsidP="00E81C21">
      <w:pPr>
        <w:jc w:val="both"/>
        <w:rPr>
          <w:rFonts w:ascii="Times New Roman" w:hAnsi="Times New Roman" w:cs="Times New Roman"/>
          <w:sz w:val="24"/>
          <w:szCs w:val="24"/>
          <w:lang w:val="en-GB"/>
        </w:rPr>
      </w:pPr>
      <w:r w:rsidRPr="00610838">
        <w:rPr>
          <w:rFonts w:ascii="Times New Roman" w:hAnsi="Times New Roman" w:cs="Times New Roman"/>
          <w:sz w:val="24"/>
          <w:szCs w:val="24"/>
          <w:lang w:val="en-GB"/>
        </w:rPr>
        <w:t xml:space="preserve">All reads were mapped to the </w:t>
      </w:r>
      <w:proofErr w:type="spellStart"/>
      <w:r w:rsidRPr="00610838">
        <w:rPr>
          <w:rFonts w:ascii="Times New Roman" w:hAnsi="Times New Roman" w:cs="Times New Roman"/>
          <w:i/>
          <w:iCs/>
          <w:sz w:val="24"/>
          <w:szCs w:val="24"/>
          <w:lang w:val="en-GB"/>
        </w:rPr>
        <w:t>hordeum</w:t>
      </w:r>
      <w:proofErr w:type="spellEnd"/>
      <w:r w:rsidRPr="00610838">
        <w:rPr>
          <w:rFonts w:ascii="Times New Roman" w:hAnsi="Times New Roman" w:cs="Times New Roman"/>
          <w:i/>
          <w:iCs/>
          <w:sz w:val="24"/>
          <w:szCs w:val="24"/>
          <w:lang w:val="en-GB"/>
        </w:rPr>
        <w:t xml:space="preserve"> vulgare</w:t>
      </w:r>
      <w:r w:rsidRPr="00610838">
        <w:rPr>
          <w:rFonts w:ascii="Times New Roman" w:hAnsi="Times New Roman" w:cs="Times New Roman"/>
          <w:sz w:val="24"/>
          <w:szCs w:val="24"/>
          <w:lang w:val="en-GB"/>
        </w:rPr>
        <w:t xml:space="preserve"> reference genome </w:t>
      </w:r>
      <w:proofErr w:type="spellStart"/>
      <w:r w:rsidRPr="00610838">
        <w:rPr>
          <w:rFonts w:ascii="Times New Roman" w:hAnsi="Times New Roman" w:cs="Times New Roman"/>
          <w:i/>
          <w:sz w:val="24"/>
          <w:szCs w:val="24"/>
          <w:lang w:val="en-GB"/>
        </w:rPr>
        <w:t>toplevel</w:t>
      </w:r>
      <w:proofErr w:type="spellEnd"/>
      <w:r w:rsidRPr="00610838">
        <w:rPr>
          <w:rFonts w:ascii="Times New Roman" w:hAnsi="Times New Roman" w:cs="Times New Roman"/>
          <w:i/>
          <w:sz w:val="24"/>
          <w:szCs w:val="24"/>
          <w:lang w:val="en-GB"/>
        </w:rPr>
        <w:t xml:space="preserve"> v2</w:t>
      </w:r>
      <w:r w:rsidRPr="00610838">
        <w:rPr>
          <w:rFonts w:ascii="Times New Roman" w:hAnsi="Times New Roman" w:cs="Times New Roman"/>
          <w:sz w:val="24"/>
          <w:szCs w:val="24"/>
          <w:lang w:val="en-GB"/>
        </w:rPr>
        <w:t xml:space="preserve"> (downloaded 30.05.2019 </w:t>
      </w:r>
      <w:r w:rsidR="00125D4C" w:rsidRPr="00610838">
        <w:rPr>
          <w:rFonts w:ascii="Times New Roman" w:hAnsi="Times New Roman" w:cs="Times New Roman"/>
          <w:sz w:val="24"/>
          <w:szCs w:val="24"/>
          <w:lang w:val="en-GB"/>
        </w:rPr>
        <w:fldChar w:fldCharType="begin" w:fldLock="1"/>
      </w:r>
      <w:r w:rsidR="00DD082A" w:rsidRPr="00610838">
        <w:rPr>
          <w:rFonts w:ascii="Times New Roman" w:hAnsi="Times New Roman" w:cs="Times New Roman"/>
          <w:sz w:val="24"/>
          <w:szCs w:val="24"/>
          <w:lang w:val="en-GB"/>
        </w:rPr>
        <w:instrText>ADDIN CSL_CITATION {"citationItems":[{"id":"ITEM-1","itemData":{"DOI":"10.1038/nature11543","ISSN":"00280836","PMID":"23075845","abstract":"Barley (Hordeum vulgare L.) is among the world's earliest domesticated and most important crop plants. It is diploid with a large haploid genome of 5.1 gigabases (Gb). Here we present an integrated and ordered physical, genetic and functional sequence resource that describes the barley gene-space in a structured whole-genome context. We developed a physical map of 4.98 Gb, with more than 3.90 Gb anchored to a high-resolution genetic map. Projecting a deep whole-genome shotgun assembly, complementary DNA and deep RNA sequence data onto this framework supports 79,379 transcript clusters, including 26,159 'high-confidence' genes with homology support from other plant genomes. Abundant alternative splicing, premature termination codons and novel transcriptionally active regions suggest that post-transcriptional processing forms an important regulatory layer. Survey sequences from diverse accessions reveal a landscape of extensive single-nucleotide variation. Our data provide a platform for both genome-assisted research and enabling contemporary crop improvement. © 2012 Macmillan Publishers Limited. All rights reserved.","author":[{"dropping-particle":"","family":"Mayer","given":"Klaus F.X.","non-dropping-particle":"","parse-names":false,"suffix":""},{"dropping-particle":"","family":"Waugh","given":"Robbie","non-dropping-particle":"","parse-names":false,"suffix":""},{"dropping-particle":"","family":"Langridge","given":"Peter","non-dropping-particle":"","parse-names":false,"suffix":""},{"dropping-particle":"","family":"Close","given":"Timothy J.","non-dropping-particle":"","parse-names":false,"suffix":""},{"dropping-particle":"","family":"Wise","given":"Roger P.","non-dropping-particle":"","parse-names":false,"suffix":""},{"dropping-particle":"","family":"Graner","given":"Andreas","non-dropping-particle":"","parse-names":false,"suffix":""},{"dropping-particle":"","family":"Matsumoto","given":"Takashi","non-dropping-particle":"","parse-names":false,"suffix":""},{"dropping-particle":"","family":"Sato","given":"Kazuhiro","non-dropping-particle":"","parse-names":false,"suffix":""},{"dropping-particle":"","family":"Schulman","given":"Alan","non-dropping-particle":"","parse-names":false,"suffix":""},{"dropping-particle":"","family":"Ariyadasa","given":"Ruvini","non-dropping-particle":"","parse-names":false,"suffix":""},{"dropping-particle":"","family":"Schulte","given":"Daniela","non-dropping-particle":"","parse-names":false,"suffix":""},{"dropping-particle":"","family":"Poursarebani","given":"Naser","non-dropping-particle":"","parse-names":false,"suffix":""},{"dropping-particle":"","family":"Zhou","given":"Ruonan","non-dropping-particle":"","parse-names":false,"suffix":""},{"dropping-particle":"","family":"Steuernagel","given":"Burkhard","non-dropping-particle":"","parse-names":false,"suffix":""},{"dropping-particle":"","family":"Mascher","given":"Martin","non-dropping-particle":"","parse-names":false,"suffix":""},{"dropping-particle":"","family":"Scholz","given":"Uwe","non-dropping-particle":"","parse-names":false,"suffix":""},{"dropping-particle":"","family":"Shi","given":"Bujun","non-dropping-particle":"","parse-names":false,"suffix":""},{"dropping-particle":"","family":"Madishetty","given":"Kavitha","non-dropping-particle":"","parse-names":false,"suffix":""},{"dropping-particle":"","family":"Svensson","given":"Jan T.","non-dropping-particle":"","parse-names":false,"suffix":""},{"dropping-particle":"","family":"Bhat","given":"Prasanna","non-dropping-particle":"","parse-names":false,"suffix":""},{"dropping-particle":"","family":"Moscou","given":"Matthew","non-dropping-particle":"","parse-names":false,"suffix":""},{"dropping-particle":"","family":"Resnik","given":"Josh","non-dropping-particle":"","parse-names":false,"suffix":""},{"dropping-particle":"","family":"Muehlbauer","given":"Gary J.","non-dropping-particle":"","parse-names":false,"suffix":""},{"dropping-particle":"","family":"Hedley","given":"Pete","non-dropping-particle":"","parse-names":false,"suffix":""},{"dropping-particle":"","family":"Liu","given":"Hui","non-dropping-particle":"","parse-names":false,"suffix":""},{"dropping-particle":"","family":"Morris","given":"Jenny","non-dropping-particle":"","parse-names":false,"suffix":""},{"dropping-particle":"","family":"Frenkel","given":"Zeev","non-dropping-particle":"","parse-names":false,"suffix":""},{"dropping-particle":"","family":"Korol","given":"Avraham","non-dropping-particle":"","parse-names":false,"suffix":""},{"dropping-particle":"","family":"Bergès","given":"Hélène","non-dropping-particle":"","parse-names":false,"suffix":""},{"dropping-particle":"","family":"Taudien","given":"Stefan","non-dropping-particle":"","parse-names":false,"suffix":""},{"dropping-particle":"","family":"Felder","given":"Marius","non-dropping-particle":"","parse-names":false,"suffix":""},{"dropping-particle":"","family":"Groth","given":"Marco","non-dropping-particle":"","parse-names":false,"suffix":""},{"dropping-particle":"","family":"Platzer","given":"Matthias","non-dropping-particle":"","parse-names":false,"suffix":""},{"dropping-particle":"","family":"Himmelbach","given":"Axel","non-dropping-particle":"","parse-names":false,"suffix":""},{"dropping-particle":"","family":"Lonardi","given":"Stefano","non-dropping-particle":"","parse-names":false,"suffix":""},{"dropping-particle":"","family":"Duma","given":"Denisa","non-dropping-particle":"","parse-names":false,"suffix":""},{"dropping-particle":"","family":"Alpert","given":"Matthew","non-dropping-particle":"","parse-names":false,"suffix":""},{"dropping-particle":"","family":"Cordero","given":"Francesa","non-dropping-particle":"","parse-names":false,"suffix":""},{"dropping-particle":"","family":"Beccuti","given":"Marco","non-dropping-particle":"","parse-names":false,"suffix":""},{"dropping-particle":"","family":"Ciardo","given":"Gianfranco","non-dropping-particle":"","parse-names":false,"suffix":""},{"dropping-particle":"","family":"Ma","given":"Yaqin","non-dropping-particle":"","parse-names":false,"suffix":""},{"dropping-particle":"","family":"Wanamaker","given":"Steve","non-dropping-particle":"","parse-names":false,"suffix":""},{"dropping-particle":"","family":"Cattonaro","given":"Federica","non-dropping-particle":"","parse-names":false,"suffix":""},{"dropping-particle":"","family":"Vendramin","given":"Vera","non-dropping-particle":"","parse-names":false,"suffix":""},{"dropping-particle":"","family":"Scalabrin","given":"Simone","non-dropping-particle":"","parse-names":false,"suffix":""},{"dropping-particle":"","family":"Radovic","given":"Slobodanka","non-dropping-particle":"","parse-names":false,"suffix":""},{"dropping-particle":"","family":"Wing","given":"Rod","non-dropping-particle":"","parse-names":false,"suffix":""},{"dropping-particle":"","family":"Morgante","given":"Michele","non-dropping-particle":"","parse-names":false,"suffix":""},{"dropping-particle":"","family":"Nussbaumer","given":"Thomas","non-dropping-particle":"","parse-names":false,"suffix":""},{"dropping-particle":"","family":"Gundlach","given":"Heidrun","non-dropping-particle":"","parse-names":false,"suffix":""},{"dropping-particle":"","family":"Martis","given":"Mihaela","non-dropping-particle":"","parse-names":false,"suffix":""},{"dropping-particle":"","family":"Poland","given":"Jesse","non-dropping-particle":"","parse-names":false,"suffix":""},{"dropping-particle":"","family":"Pfeifer","given":"Matthias","non-dropping-particle":"","parse-names":false,"suffix":""},{"dropping-particle":"","family":"Moisy","given":"Cédric","non-dropping-particle":"","parse-names":false,"suffix":""},{"dropping-particle":"","family":"Tanskanen","given":"Jaakko","non-dropping-particle":"","parse-names":false,"suffix":""},{"dropping-particle":"","family":"Zuccolo","given":"Andrea","non-dropping-particle":"","parse-names":false,"suffix":""},{"dropping-particle":"","family":"Spannagl","given":"Manuel","non-dropping-particle":"","parse-names":false,"suffix":""},{"dropping-particle":"","family":"Russell","given":"Joanne","non-dropping-particle":"","parse-names":false,"suffix":""},{"dropping-particle":"","family":"Druka","given":"Arnis","non-dropping-particle":"","parse-names":false,"suffix":""},{"dropping-particle":"","family":"Marshall","given":"David","non-dropping-particle":"","parse-names":false,"suffix":""},{"dropping-particle":"","family":"Bayer","given":"Micha","non-dropping-particle":"","parse-names":false,"suffix":""},{"dropping-particle":"","family":"Swarbreck","given":"David","non-dropping-particle":"","parse-names":false,"suffix":""},{"dropping-particle":"","family":"Sampath","given":"Dharanya","non-dropping-particle":"","parse-names":false,"suffix":""},{"dropping-particle":"","family":"Ayling","given":"Sarah","non-dropping-particle":"","parse-names":false,"suffix":""},{"dropping-particle":"","family":"Febrer","given":"Melanie","non-dropping-particle":"","parse-names":false,"suffix":""},{"dropping-particle":"","family":"Caccamo","given":"Mario","non-dropping-particle":"","parse-names":false,"suffix":""},{"dropping-particle":"","family":"Tanaka","given":"Tsuyoshi","non-dropping-particle":"","parse-names":false,"suffix":""},{"dropping-particle":"","family":"Wannamaker","given":"Steve","non-dropping-particle":"","parse-names":false,"suffix":""},{"dropping-particle":"","family":"Schmutzer","given":"Thomas","non-dropping-particle":"","parse-names":false,"suffix":""},{"dropping-particle":"","family":"Brown","given":"John W.S.","non-dropping-particle":"","parse-names":false,"suffix":""},{"dropping-particle":"","family":"Fincher","given":"Geoffrey B.","non-dropping-particle":"","parse-names":false,"suffix":""},{"dropping-particle":"","family":"Stein","given":"Nils","non-dropping-particle":"","parse-names":false,"suffix":""}],"container-title":"Nature","id":"ITEM-1","issue":"7426","issued":{"date-parts":[["2012"]]},"page":"711-716","publisher":"Nature Publishing Group","title":"A physical, genetic and functional sequence assembly of the barley genome","type":"article-journal","volume":"491"},"uris":["http://www.mendeley.com/documents/?uuid=96f4d115-2d83-406a-89fc-8fa61090d7e6"]}],"mendeley":{"formattedCitation":"&lt;sup&gt;1&lt;/sup&gt;","plainTextFormattedCitation":"1","previouslyFormattedCitation":"&lt;sup&gt;1&lt;/sup&gt;"},"properties":{"noteIndex":0},"schema":"https://github.com/citation-style-language/schema/raw/master/csl-citation.json"}</w:instrText>
      </w:r>
      <w:r w:rsidR="00125D4C" w:rsidRPr="00610838">
        <w:rPr>
          <w:rFonts w:ascii="Times New Roman" w:hAnsi="Times New Roman" w:cs="Times New Roman"/>
          <w:sz w:val="24"/>
          <w:szCs w:val="24"/>
          <w:lang w:val="en-GB"/>
        </w:rPr>
        <w:fldChar w:fldCharType="separate"/>
      </w:r>
      <w:bookmarkStart w:id="1" w:name="__Fieldmark__696_3577713937"/>
      <w:bookmarkStart w:id="2" w:name="__Fieldmark__1362_3744253128"/>
      <w:bookmarkStart w:id="3" w:name="__Fieldmark__737_1296411117"/>
      <w:bookmarkStart w:id="4" w:name="__Fieldmark__1283_1611604897"/>
      <w:r w:rsidRPr="00610838">
        <w:rPr>
          <w:rFonts w:ascii="Times New Roman" w:hAnsi="Times New Roman" w:cs="Times New Roman"/>
          <w:noProof/>
          <w:sz w:val="24"/>
          <w:szCs w:val="24"/>
          <w:vertAlign w:val="superscript"/>
          <w:lang w:val="en-GB"/>
        </w:rPr>
        <w:t>1</w:t>
      </w:r>
      <w:r w:rsidR="00125D4C" w:rsidRPr="00610838">
        <w:rPr>
          <w:rFonts w:ascii="Times New Roman" w:hAnsi="Times New Roman" w:cs="Times New Roman"/>
          <w:sz w:val="24"/>
          <w:szCs w:val="24"/>
          <w:lang w:val="en-GB"/>
        </w:rPr>
        <w:fldChar w:fldCharType="end"/>
      </w:r>
      <w:bookmarkEnd w:id="1"/>
      <w:bookmarkEnd w:id="2"/>
      <w:bookmarkEnd w:id="3"/>
      <w:bookmarkEnd w:id="4"/>
      <w:r w:rsidRPr="00610838">
        <w:rPr>
          <w:rFonts w:ascii="Times New Roman" w:hAnsi="Times New Roman" w:cs="Times New Roman"/>
          <w:sz w:val="24"/>
          <w:szCs w:val="24"/>
          <w:lang w:val="en-GB"/>
        </w:rPr>
        <w:t xml:space="preserve">) using </w:t>
      </w:r>
      <w:r w:rsidRPr="00610838">
        <w:rPr>
          <w:rFonts w:ascii="Times New Roman" w:hAnsi="Times New Roman" w:cs="Times New Roman"/>
          <w:i/>
          <w:iCs/>
          <w:sz w:val="24"/>
          <w:szCs w:val="24"/>
          <w:lang w:val="en-GB"/>
        </w:rPr>
        <w:t xml:space="preserve">bwa mem </w:t>
      </w:r>
      <w:r w:rsidRPr="00610838">
        <w:rPr>
          <w:rFonts w:ascii="Times New Roman" w:hAnsi="Times New Roman" w:cs="Times New Roman"/>
          <w:sz w:val="24"/>
          <w:szCs w:val="24"/>
          <w:lang w:val="en-GB"/>
        </w:rPr>
        <w:t xml:space="preserve">(version 0.7.1 </w:t>
      </w:r>
      <w:r w:rsidR="00125D4C" w:rsidRPr="00610838">
        <w:rPr>
          <w:rFonts w:ascii="Times New Roman" w:hAnsi="Times New Roman" w:cs="Times New Roman"/>
          <w:sz w:val="24"/>
          <w:szCs w:val="24"/>
          <w:lang w:val="en-GB"/>
        </w:rPr>
        <w:fldChar w:fldCharType="begin" w:fldLock="1"/>
      </w:r>
      <w:r w:rsidR="00DD082A" w:rsidRPr="00610838">
        <w:rPr>
          <w:rFonts w:ascii="Times New Roman" w:hAnsi="Times New Roman" w:cs="Times New Roman"/>
          <w:sz w:val="24"/>
          <w:szCs w:val="24"/>
          <w:lang w:val="en-GB"/>
        </w:rPr>
        <w:instrText>ADDIN CSL_CITATION {"citationItems":[{"id":"ITEM-1","itemData":{"abstract":"Summary: BWA-MEM is a new alignment algorithm for aligning sequence reads or long query sequences against a large reference genome such as human. It automatically chooses between local and end-to-end alignments, supports paired-end reads and performs chimeric alignment. The algorithm is robust to sequencing errors and applicable to a wide range of sequence lengths from 70bp to a few megabases. For mapping 100bp sequences, BWA-MEM shows better performance than several state-of-art read aligners to date. Availability and implementation: BWA-MEM is implemented as a component of BWA, which is available at http://github.com/lh3/bwa. Contact: hengli@broadinstitute.org","author":[{"dropping-particle":"","family":"Li","given":"Heng","non-dropping-particle":"","parse-names":false,"suffix":""}],"id":"ITEM-1","issue":"00","issued":{"date-parts":[["2013"]]},"page":"1-3","title":"Aligning sequence reads, clone sequences and assembly contigs with BWA-MEM","type":"article-journal","volume":"00"},"uris":["http://www.mendeley.com/documents/?uuid=54f7231f-95e3-4be7-9f2c-a74dcbe39a48"]}],"mendeley":{"formattedCitation":"&lt;sup&gt;2&lt;/sup&gt;","plainTextFormattedCitation":"2","previouslyFormattedCitation":"&lt;sup&gt;2&lt;/sup&gt;"},"properties":{"noteIndex":0},"schema":"https://github.com/citation-style-language/schema/raw/master/csl-citation.json"}</w:instrText>
      </w:r>
      <w:r w:rsidR="00125D4C" w:rsidRPr="00610838">
        <w:rPr>
          <w:rFonts w:ascii="Times New Roman" w:hAnsi="Times New Roman" w:cs="Times New Roman"/>
          <w:sz w:val="24"/>
          <w:szCs w:val="24"/>
          <w:lang w:val="en-GB"/>
        </w:rPr>
        <w:fldChar w:fldCharType="separate"/>
      </w:r>
      <w:bookmarkStart w:id="5" w:name="__Fieldmark__711_3577713937"/>
      <w:bookmarkStart w:id="6" w:name="__Fieldmark__1373_3744253128"/>
      <w:bookmarkStart w:id="7" w:name="__Fieldmark__746_1296411117"/>
      <w:bookmarkStart w:id="8" w:name="__Fieldmark__1291_1611604897"/>
      <w:r w:rsidRPr="00610838">
        <w:rPr>
          <w:rFonts w:ascii="Times New Roman" w:hAnsi="Times New Roman" w:cs="Times New Roman"/>
          <w:noProof/>
          <w:sz w:val="24"/>
          <w:szCs w:val="24"/>
          <w:vertAlign w:val="superscript"/>
          <w:lang w:val="en-GB"/>
        </w:rPr>
        <w:t>2</w:t>
      </w:r>
      <w:r w:rsidR="00125D4C" w:rsidRPr="00610838">
        <w:rPr>
          <w:rFonts w:ascii="Times New Roman" w:hAnsi="Times New Roman" w:cs="Times New Roman"/>
          <w:sz w:val="24"/>
          <w:szCs w:val="24"/>
          <w:lang w:val="en-GB"/>
        </w:rPr>
        <w:fldChar w:fldCharType="end"/>
      </w:r>
      <w:bookmarkEnd w:id="5"/>
      <w:bookmarkEnd w:id="6"/>
      <w:bookmarkEnd w:id="7"/>
      <w:bookmarkEnd w:id="8"/>
      <w:r w:rsidRPr="00610838">
        <w:rPr>
          <w:rFonts w:ascii="Times New Roman" w:hAnsi="Times New Roman" w:cs="Times New Roman"/>
          <w:sz w:val="24"/>
          <w:szCs w:val="24"/>
          <w:lang w:val="en-GB"/>
        </w:rPr>
        <w:t>)</w:t>
      </w:r>
      <w:r w:rsidRPr="00610838">
        <w:rPr>
          <w:rFonts w:ascii="Times New Roman" w:hAnsi="Times New Roman" w:cs="Times New Roman"/>
          <w:i/>
          <w:iCs/>
          <w:sz w:val="24"/>
          <w:szCs w:val="24"/>
          <w:lang w:val="en-GB"/>
        </w:rPr>
        <w:t>.</w:t>
      </w:r>
      <w:r w:rsidRPr="00610838">
        <w:rPr>
          <w:rFonts w:ascii="Times New Roman" w:hAnsi="Times New Roman" w:cs="Times New Roman"/>
          <w:sz w:val="24"/>
          <w:szCs w:val="24"/>
          <w:lang w:val="en-GB"/>
        </w:rPr>
        <w:t xml:space="preserve"> Sequences were trimmed if required b</w:t>
      </w:r>
      <w:r w:rsidR="00977350" w:rsidRPr="00610838">
        <w:rPr>
          <w:rFonts w:ascii="Times New Roman" w:hAnsi="Times New Roman" w:cs="Times New Roman"/>
          <w:sz w:val="24"/>
          <w:szCs w:val="24"/>
          <w:lang w:val="en-GB"/>
        </w:rPr>
        <w:t>ased on</w:t>
      </w:r>
      <w:r w:rsidRPr="00610838">
        <w:rPr>
          <w:rFonts w:ascii="Times New Roman" w:hAnsi="Times New Roman" w:cs="Times New Roman"/>
          <w:sz w:val="24"/>
          <w:szCs w:val="24"/>
          <w:lang w:val="en-GB"/>
        </w:rPr>
        <w:t xml:space="preserve"> the read quality</w:t>
      </w:r>
      <w:r w:rsidR="00125D4C" w:rsidRPr="00610838">
        <w:rPr>
          <w:rFonts w:ascii="Times New Roman" w:hAnsi="Times New Roman" w:cs="Times New Roman"/>
          <w:sz w:val="24"/>
          <w:szCs w:val="24"/>
          <w:lang w:val="en-GB"/>
        </w:rPr>
        <w:fldChar w:fldCharType="begin" w:fldLock="1"/>
      </w:r>
      <w:r w:rsidR="00DD082A" w:rsidRPr="00610838">
        <w:rPr>
          <w:rFonts w:ascii="Times New Roman" w:hAnsi="Times New Roman" w:cs="Times New Roman"/>
          <w:sz w:val="24"/>
          <w:szCs w:val="24"/>
          <w:lang w:val="en-GB"/>
        </w:rPr>
        <w:instrText>ADDIN CSL_CITATION {"citationItems":[{"id":"ITEM-1","itemData":{"DOI":"10.1093/bioinformatics/btu170","ISSN":"14602059","PMID":"24695404","abstract":"Motivation: Although many next-generation sequencing (NGS) read preprocessing tools already existed, we could not find any tool or combination of tools that met our requirements in terms of flexibility, correct handling of paired-end data and high performance. We have developed Trimmomatic as a more flexible and efficient preprocessing tool, which could correctly handle paired-end data. Results: The value of NGS read preprocessing is demonstrated for both reference-based and reference-free tasks. Trimmomatic is shown to produce output that is at least competitive with, and in many cases superior to, that produced by other tools, in all scenarios tested. Availability and implementation: Trimmomatic is licensed under GPL V3. It is cross-platform (Java 1.5+ required) and available at http://www.usadellab.org/cms/index.php?page= trimmomatic. © The Author 2014.","author":[{"dropping-particle":"","family":"Bolger","given":"Anthony M.","non-dropping-particle":"","parse-names":false,"suffix":""},{"dropping-particle":"","family":"Lohse","given":"Marc","non-dropping-particle":"","parse-names":false,"suffix":""},{"dropping-particle":"","family":"Usadel","given":"Bjoern","non-dropping-particle":"","parse-names":false,"suffix":""}],"container-title":"Bioinformatics","id":"ITEM-1","issue":"15","issued":{"date-parts":[["2014","8","1"]]},"page":"2114-2120","publisher":"Oxford University Press","title":"Trimmomatic: A flexible trimmer for Illumina sequence data","type":"article-journal","volume":"30"},"uris":["http://www.mendeley.com/documents/?uuid=fb6e0a0d-7d33-326d-ad5d-72f9db17bdf9"]}],"mendeley":{"formattedCitation":"&lt;sup&gt;3&lt;/sup&gt;","plainTextFormattedCitation":"3","previouslyFormattedCitation":"&lt;sup&gt;3&lt;/sup&gt;"},"properties":{"noteIndex":0},"schema":"https://github.com/citation-style-language/schema/raw/master/csl-citation.json"}</w:instrText>
      </w:r>
      <w:r w:rsidR="00125D4C" w:rsidRPr="00610838">
        <w:rPr>
          <w:rFonts w:ascii="Times New Roman" w:hAnsi="Times New Roman" w:cs="Times New Roman"/>
          <w:sz w:val="24"/>
          <w:szCs w:val="24"/>
          <w:lang w:val="en-GB"/>
        </w:rPr>
        <w:fldChar w:fldCharType="separate"/>
      </w:r>
      <w:bookmarkStart w:id="9" w:name="__Fieldmark__726_3577713937"/>
      <w:bookmarkStart w:id="10" w:name="__Fieldmark__1384_3744253128"/>
      <w:bookmarkStart w:id="11" w:name="__Fieldmark__755_1296411117"/>
      <w:bookmarkStart w:id="12" w:name="__Fieldmark__421_1577061529"/>
      <w:bookmarkStart w:id="13" w:name="__Fieldmark__1298_1611604897"/>
      <w:r w:rsidRPr="00610838">
        <w:rPr>
          <w:rFonts w:ascii="Times New Roman" w:hAnsi="Times New Roman" w:cs="Times New Roman"/>
          <w:noProof/>
          <w:sz w:val="24"/>
          <w:szCs w:val="24"/>
          <w:vertAlign w:val="superscript"/>
          <w:lang w:val="en-GB"/>
        </w:rPr>
        <w:t>3</w:t>
      </w:r>
      <w:r w:rsidR="00125D4C" w:rsidRPr="00610838">
        <w:rPr>
          <w:rFonts w:ascii="Times New Roman" w:hAnsi="Times New Roman" w:cs="Times New Roman"/>
          <w:sz w:val="24"/>
          <w:szCs w:val="24"/>
          <w:lang w:val="en-GB"/>
        </w:rPr>
        <w:fldChar w:fldCharType="end"/>
      </w:r>
      <w:bookmarkEnd w:id="9"/>
      <w:bookmarkEnd w:id="10"/>
      <w:bookmarkEnd w:id="11"/>
      <w:bookmarkEnd w:id="12"/>
      <w:bookmarkEnd w:id="13"/>
      <w:r w:rsidRPr="00610838">
        <w:rPr>
          <w:rFonts w:ascii="Times New Roman" w:hAnsi="Times New Roman" w:cs="Times New Roman"/>
          <w:sz w:val="24"/>
          <w:szCs w:val="24"/>
          <w:lang w:val="en-GB"/>
        </w:rPr>
        <w:t xml:space="preserve">. The sequence quality pre- and post-trimming was obtained with </w:t>
      </w:r>
      <w:r w:rsidRPr="00610838">
        <w:rPr>
          <w:rFonts w:ascii="Times New Roman" w:hAnsi="Times New Roman" w:cs="Times New Roman"/>
          <w:i/>
          <w:iCs/>
          <w:sz w:val="24"/>
          <w:szCs w:val="24"/>
          <w:lang w:val="en-GB"/>
        </w:rPr>
        <w:t>fastqc</w:t>
      </w:r>
      <w:r w:rsidR="00125D4C" w:rsidRPr="00610838">
        <w:rPr>
          <w:rFonts w:ascii="Times New Roman" w:hAnsi="Times New Roman" w:cs="Times New Roman"/>
          <w:sz w:val="24"/>
          <w:szCs w:val="24"/>
          <w:lang w:val="en-GB"/>
        </w:rPr>
        <w:fldChar w:fldCharType="begin" w:fldLock="1"/>
      </w:r>
      <w:r w:rsidR="003C1FB5" w:rsidRPr="00610838">
        <w:rPr>
          <w:rFonts w:ascii="Times New Roman" w:hAnsi="Times New Roman" w:cs="Times New Roman"/>
          <w:sz w:val="24"/>
          <w:szCs w:val="24"/>
          <w:lang w:val="en-GB"/>
        </w:rPr>
        <w:instrText>ADDIN CSL_CITATION {"citationItems":[{"id":"ITEM-1","itemData":{"abstract":"FastQC aims to provide a simple way to do some quality control checks on raw sequence data coming from high throughput sequencing pipelines. It provides a modular set of analyses which you can use to give a quick impression of whether your data has any problems of which you should be aware before doing any further analysis. The main functions of FastQC are Import of data from BAM, SAM or FastQ files (any variant) Providing a quick overview to tell you in which areas there may be problems Summary graphs and tables to quickly assess your data Export of results to an HTML based permanent report Offline operation to allow automated generation of reports without running the interactive application","author":[{"dropping-particle":"","family":"Andrews","given":"Simon","non-dropping-particle":"","parse-names":false,"suffix":""}],"container-title":"Babraham Bioinformatics","id":"ITEM-1","issued":{"date-parts":[["2010"]]},"page":"http://www.bioinformatics.babraham.ac.uk/projects/","title":"FastQC - A quality control tool for high throughput sequence data.","type":"article-journal"},"uris":["http://www.mendeley.com/documents/?uuid=ae92558d-bce9-33b9-aff2-fb88c6630580"]}],"mendeley":{"formattedCitation":"&lt;sup&gt;4&lt;/sup&gt;","plainTextFormattedCitation":"4","previouslyFormattedCitation":"&lt;sup&gt;4&lt;/sup&gt;"},"properties":{"noteIndex":0},"schema":"https://github.com/citation-style-language/schema/raw/master/csl-citation.json"}</w:instrText>
      </w:r>
      <w:r w:rsidR="00125D4C" w:rsidRPr="00610838">
        <w:rPr>
          <w:rFonts w:ascii="Times New Roman" w:hAnsi="Times New Roman" w:cs="Times New Roman"/>
          <w:sz w:val="24"/>
          <w:szCs w:val="24"/>
          <w:lang w:val="en-GB"/>
        </w:rPr>
        <w:fldChar w:fldCharType="separate"/>
      </w:r>
      <w:bookmarkStart w:id="14" w:name="__Fieldmark__743_3577713937"/>
      <w:bookmarkStart w:id="15" w:name="__Fieldmark__1397_3744253128"/>
      <w:bookmarkStart w:id="16" w:name="__Fieldmark__767_1296411117"/>
      <w:bookmarkStart w:id="17" w:name="__Fieldmark__1357_1611604897"/>
      <w:r w:rsidRPr="00610838">
        <w:rPr>
          <w:rFonts w:ascii="Times New Roman" w:hAnsi="Times New Roman" w:cs="Times New Roman"/>
          <w:noProof/>
          <w:sz w:val="24"/>
          <w:szCs w:val="24"/>
          <w:vertAlign w:val="superscript"/>
          <w:lang w:val="en-GB"/>
        </w:rPr>
        <w:t>4</w:t>
      </w:r>
      <w:r w:rsidR="00125D4C" w:rsidRPr="00610838">
        <w:rPr>
          <w:rFonts w:ascii="Times New Roman" w:hAnsi="Times New Roman" w:cs="Times New Roman"/>
          <w:sz w:val="24"/>
          <w:szCs w:val="24"/>
          <w:lang w:val="en-GB"/>
        </w:rPr>
        <w:fldChar w:fldCharType="end"/>
      </w:r>
      <w:bookmarkEnd w:id="14"/>
      <w:bookmarkEnd w:id="15"/>
      <w:bookmarkEnd w:id="16"/>
      <w:bookmarkEnd w:id="17"/>
      <w:r w:rsidRPr="00610838">
        <w:rPr>
          <w:rFonts w:ascii="Times New Roman" w:hAnsi="Times New Roman" w:cs="Times New Roman"/>
          <w:sz w:val="24"/>
          <w:szCs w:val="24"/>
          <w:lang w:val="en-GB"/>
        </w:rPr>
        <w:t xml:space="preserve">. Aligned reads were strictly filtered by </w:t>
      </w:r>
      <w:proofErr w:type="spellStart"/>
      <w:r w:rsidRPr="00610838">
        <w:rPr>
          <w:rFonts w:ascii="Times New Roman" w:hAnsi="Times New Roman" w:cs="Times New Roman"/>
          <w:i/>
          <w:iCs/>
          <w:sz w:val="24"/>
          <w:szCs w:val="24"/>
          <w:lang w:val="en-GB"/>
        </w:rPr>
        <w:t>sambamba</w:t>
      </w:r>
      <w:proofErr w:type="spellEnd"/>
      <w:r w:rsidRPr="00610838">
        <w:rPr>
          <w:rFonts w:ascii="Times New Roman" w:hAnsi="Times New Roman" w:cs="Times New Roman"/>
          <w:i/>
          <w:iCs/>
          <w:sz w:val="24"/>
          <w:szCs w:val="24"/>
          <w:lang w:val="en-GB"/>
        </w:rPr>
        <w:t xml:space="preserve"> view </w:t>
      </w:r>
      <w:r w:rsidR="00125D4C" w:rsidRPr="00610838">
        <w:rPr>
          <w:rFonts w:ascii="Times New Roman" w:hAnsi="Times New Roman" w:cs="Times New Roman"/>
          <w:i/>
          <w:iCs/>
          <w:sz w:val="24"/>
          <w:szCs w:val="24"/>
          <w:lang w:val="en-GB"/>
        </w:rPr>
        <w:fldChar w:fldCharType="begin" w:fldLock="1"/>
      </w:r>
      <w:r w:rsidR="00DD082A" w:rsidRPr="00610838">
        <w:rPr>
          <w:rFonts w:ascii="Times New Roman" w:hAnsi="Times New Roman" w:cs="Times New Roman"/>
          <w:i/>
          <w:iCs/>
          <w:sz w:val="24"/>
          <w:szCs w:val="24"/>
          <w:lang w:val="en-GB"/>
        </w:rPr>
        <w:instrText>ADDIN CSL_CITATION {"citationItems":[{"id":"ITEM-1","itemData":{"DOI":"10.1093/bioinformatics/btv098","ISSN":"14602059","abstract":"Summary: Sambamba is a high-performance robust tool and library for working with SAM, BAM and CRAM sequence alignment files; the most common file formats for aligned next generation sequencing data. Sambamba is a faster alternative to samtools that exploits multi-core processing and dramatically reduces processing time. Sambamba is being adopted at sequencing centers, not only because of its speed, but also because of additional functionality, including coverage analysis and powerful filtering capability.","author":[{"dropping-particle":"","family":"Tarasov","given":"Artem","non-dropping-particle":"","parse-names":false,"suffix":""},{"dropping-particle":"","family":"Vilella","given":"Albert J.","non-dropping-particle":"","parse-names":false,"suffix":""},{"dropping-particle":"","family":"Cuppen","given":"Edwin","non-dropping-particle":"","parse-names":false,"suffix":""},{"dropping-particle":"","family":"Nijman","given":"Isaac J.","non-dropping-particle":"","parse-names":false,"suffix":""},{"dropping-particle":"","family":"Prins","given":"Pjotr","non-dropping-particle":"","parse-names":false,"suffix":""}],"container-title":"Bioinformatics","id":"ITEM-1","issue":"12","issued":{"date-parts":[["2015"]]},"page":"2032-2034","title":"Sambamba: Fast processing of NGS alignment formats","type":"article-journal","volume":"31"},"uris":["http://www.mendeley.com/documents/?uuid=acd63a98-afac-423b-8b36-2e8799fdd6e6"]}],"mendeley":{"formattedCitation":"&lt;sup&gt;5&lt;/sup&gt;","plainTextFormattedCitation":"5","previouslyFormattedCitation":"&lt;sup&gt;5&lt;/sup&gt;"},"properties":{"noteIndex":0},"schema":"https://github.com/citation-style-language/schema/raw/master/csl-citation.json"}</w:instrText>
      </w:r>
      <w:r w:rsidR="00125D4C" w:rsidRPr="00610838">
        <w:rPr>
          <w:rFonts w:ascii="Times New Roman" w:hAnsi="Times New Roman" w:cs="Times New Roman"/>
          <w:i/>
          <w:iCs/>
          <w:sz w:val="24"/>
          <w:szCs w:val="24"/>
          <w:lang w:val="en-GB"/>
        </w:rPr>
        <w:fldChar w:fldCharType="separate"/>
      </w:r>
      <w:r w:rsidRPr="00610838">
        <w:rPr>
          <w:rFonts w:ascii="Times New Roman" w:hAnsi="Times New Roman" w:cs="Times New Roman"/>
          <w:iCs/>
          <w:noProof/>
          <w:sz w:val="24"/>
          <w:szCs w:val="24"/>
          <w:vertAlign w:val="superscript"/>
          <w:lang w:val="en-GB"/>
        </w:rPr>
        <w:t>5</w:t>
      </w:r>
      <w:r w:rsidR="00125D4C" w:rsidRPr="00610838">
        <w:rPr>
          <w:rFonts w:ascii="Times New Roman" w:hAnsi="Times New Roman" w:cs="Times New Roman"/>
          <w:i/>
          <w:iCs/>
          <w:sz w:val="24"/>
          <w:szCs w:val="24"/>
          <w:lang w:val="en-GB"/>
        </w:rPr>
        <w:fldChar w:fldCharType="end"/>
      </w:r>
      <w:r w:rsidRPr="00610838">
        <w:rPr>
          <w:rFonts w:ascii="Times New Roman" w:hAnsi="Times New Roman" w:cs="Times New Roman"/>
          <w:sz w:val="24"/>
          <w:szCs w:val="24"/>
          <w:lang w:val="en-GB"/>
        </w:rPr>
        <w:t xml:space="preserve"> (version 0.6.6), while only retaining single mapped reads with a mapping quality higher than 30 and removing unpaired reads:</w:t>
      </w:r>
    </w:p>
    <w:p w14:paraId="7D9C44CA" w14:textId="77777777" w:rsidR="00AC1B87" w:rsidRPr="00610838" w:rsidRDefault="00AC1B87" w:rsidP="00E81C21">
      <w:pPr>
        <w:jc w:val="both"/>
        <w:rPr>
          <w:rFonts w:ascii="Times New Roman" w:hAnsi="Times New Roman" w:cs="Times New Roman"/>
          <w:i/>
          <w:iCs/>
          <w:sz w:val="24"/>
          <w:szCs w:val="24"/>
          <w:lang w:val="en-GB"/>
        </w:rPr>
      </w:pPr>
      <w:r w:rsidRPr="00610838">
        <w:rPr>
          <w:rFonts w:ascii="Times New Roman" w:hAnsi="Times New Roman" w:cs="Times New Roman"/>
          <w:i/>
          <w:iCs/>
          <w:sz w:val="24"/>
          <w:szCs w:val="24"/>
          <w:lang w:val="en-GB"/>
        </w:rPr>
        <w:t>sambamba_v0.6.6 view -h -f bam -p -F "</w:t>
      </w:r>
      <w:proofErr w:type="spellStart"/>
      <w:r w:rsidRPr="00610838">
        <w:rPr>
          <w:rFonts w:ascii="Times New Roman" w:hAnsi="Times New Roman" w:cs="Times New Roman"/>
          <w:i/>
          <w:iCs/>
          <w:sz w:val="24"/>
          <w:szCs w:val="24"/>
          <w:lang w:val="en-GB"/>
        </w:rPr>
        <w:t>mapping_quality</w:t>
      </w:r>
      <w:proofErr w:type="spellEnd"/>
      <w:r w:rsidRPr="00610838">
        <w:rPr>
          <w:rFonts w:ascii="Times New Roman" w:hAnsi="Times New Roman" w:cs="Times New Roman"/>
          <w:i/>
          <w:iCs/>
          <w:sz w:val="24"/>
          <w:szCs w:val="24"/>
          <w:lang w:val="en-GB"/>
        </w:rPr>
        <w:t xml:space="preserve"> &gt;= 30 and not (unmapped or </w:t>
      </w:r>
      <w:proofErr w:type="spellStart"/>
      <w:r w:rsidRPr="00610838">
        <w:rPr>
          <w:rFonts w:ascii="Times New Roman" w:hAnsi="Times New Roman" w:cs="Times New Roman"/>
          <w:i/>
          <w:iCs/>
          <w:sz w:val="24"/>
          <w:szCs w:val="24"/>
          <w:lang w:val="en-GB"/>
        </w:rPr>
        <w:t>secondary_alignment</w:t>
      </w:r>
      <w:proofErr w:type="spellEnd"/>
      <w:r w:rsidRPr="00610838">
        <w:rPr>
          <w:rFonts w:ascii="Times New Roman" w:hAnsi="Times New Roman" w:cs="Times New Roman"/>
          <w:i/>
          <w:iCs/>
          <w:sz w:val="24"/>
          <w:szCs w:val="24"/>
          <w:lang w:val="en-GB"/>
        </w:rPr>
        <w:t>) and not ([XA</w:t>
      </w:r>
      <w:proofErr w:type="gramStart"/>
      <w:r w:rsidRPr="00610838">
        <w:rPr>
          <w:rFonts w:ascii="Times New Roman" w:hAnsi="Times New Roman" w:cs="Times New Roman"/>
          <w:i/>
          <w:iCs/>
          <w:sz w:val="24"/>
          <w:szCs w:val="24"/>
          <w:lang w:val="en-GB"/>
        </w:rPr>
        <w:t>]!=</w:t>
      </w:r>
      <w:proofErr w:type="gramEnd"/>
      <w:r w:rsidRPr="00610838">
        <w:rPr>
          <w:rFonts w:ascii="Times New Roman" w:hAnsi="Times New Roman" w:cs="Times New Roman"/>
          <w:i/>
          <w:iCs/>
          <w:sz w:val="24"/>
          <w:szCs w:val="24"/>
          <w:lang w:val="en-GB"/>
        </w:rPr>
        <w:t xml:space="preserve"> null or [SA]!= null)"</w:t>
      </w:r>
    </w:p>
    <w:p w14:paraId="6F07E1D5" w14:textId="77777777" w:rsidR="00E81C21" w:rsidRPr="00610838" w:rsidRDefault="00977350" w:rsidP="00E81C21">
      <w:pPr>
        <w:jc w:val="both"/>
        <w:rPr>
          <w:rFonts w:ascii="Times New Roman" w:hAnsi="Times New Roman" w:cs="Times New Roman"/>
          <w:sz w:val="24"/>
          <w:szCs w:val="24"/>
          <w:lang w:val="en-GB"/>
        </w:rPr>
      </w:pPr>
      <w:r w:rsidRPr="00610838">
        <w:rPr>
          <w:rFonts w:ascii="Times New Roman" w:hAnsi="Times New Roman" w:cs="Times New Roman"/>
          <w:sz w:val="24"/>
          <w:szCs w:val="24"/>
          <w:lang w:val="en-GB"/>
        </w:rPr>
        <w:t>D</w:t>
      </w:r>
      <w:r w:rsidR="00AC1B87" w:rsidRPr="00610838">
        <w:rPr>
          <w:rFonts w:ascii="Times New Roman" w:hAnsi="Times New Roman" w:cs="Times New Roman"/>
          <w:sz w:val="24"/>
          <w:szCs w:val="24"/>
          <w:lang w:val="en-GB"/>
        </w:rPr>
        <w:t xml:space="preserve">uplicates were removed from the MACE and </w:t>
      </w:r>
      <w:proofErr w:type="spellStart"/>
      <w:r w:rsidR="00AC1B87" w:rsidRPr="00610838">
        <w:rPr>
          <w:rFonts w:ascii="Times New Roman" w:hAnsi="Times New Roman" w:cs="Times New Roman"/>
          <w:sz w:val="24"/>
          <w:szCs w:val="24"/>
          <w:lang w:val="en-GB"/>
        </w:rPr>
        <w:t>WGrS</w:t>
      </w:r>
      <w:proofErr w:type="spellEnd"/>
      <w:r w:rsidR="00AC1B87" w:rsidRPr="00610838">
        <w:rPr>
          <w:rFonts w:ascii="Times New Roman" w:hAnsi="Times New Roman" w:cs="Times New Roman"/>
          <w:sz w:val="24"/>
          <w:szCs w:val="24"/>
          <w:lang w:val="en-GB"/>
        </w:rPr>
        <w:t xml:space="preserve"> data sets with </w:t>
      </w:r>
      <w:proofErr w:type="spellStart"/>
      <w:r w:rsidR="00AC1B87" w:rsidRPr="00610838">
        <w:rPr>
          <w:rFonts w:ascii="Times New Roman" w:hAnsi="Times New Roman" w:cs="Times New Roman"/>
          <w:sz w:val="24"/>
          <w:szCs w:val="24"/>
          <w:lang w:val="en-GB"/>
        </w:rPr>
        <w:t>sambamba</w:t>
      </w:r>
      <w:proofErr w:type="spellEnd"/>
      <w:r w:rsidR="00AC1B87" w:rsidRPr="00610838">
        <w:rPr>
          <w:rFonts w:ascii="Times New Roman" w:hAnsi="Times New Roman" w:cs="Times New Roman"/>
          <w:sz w:val="24"/>
          <w:szCs w:val="24"/>
          <w:lang w:val="en-GB"/>
        </w:rPr>
        <w:t xml:space="preserve"> </w:t>
      </w:r>
      <w:proofErr w:type="spellStart"/>
      <w:r w:rsidR="00AC1B87" w:rsidRPr="00610838">
        <w:rPr>
          <w:rFonts w:ascii="Times New Roman" w:hAnsi="Times New Roman" w:cs="Times New Roman"/>
          <w:sz w:val="24"/>
          <w:szCs w:val="24"/>
          <w:lang w:val="en-GB"/>
        </w:rPr>
        <w:t>makrdup</w:t>
      </w:r>
      <w:proofErr w:type="spellEnd"/>
      <w:r w:rsidR="00AC1B87" w:rsidRPr="00610838">
        <w:rPr>
          <w:rFonts w:ascii="Times New Roman" w:hAnsi="Times New Roman" w:cs="Times New Roman"/>
          <w:sz w:val="24"/>
          <w:szCs w:val="24"/>
          <w:lang w:val="en-GB"/>
        </w:rPr>
        <w:t xml:space="preserve"> and then sorted by position (sort). Variant calling was performed with </w:t>
      </w:r>
      <w:proofErr w:type="spellStart"/>
      <w:r w:rsidR="00AC1B87" w:rsidRPr="00610838">
        <w:rPr>
          <w:rFonts w:ascii="Times New Roman" w:hAnsi="Times New Roman" w:cs="Times New Roman"/>
          <w:sz w:val="24"/>
          <w:szCs w:val="24"/>
          <w:lang w:val="en-GB"/>
        </w:rPr>
        <w:t>samtools</w:t>
      </w:r>
      <w:proofErr w:type="spellEnd"/>
      <w:r w:rsidR="00AC1B87" w:rsidRPr="00610838">
        <w:rPr>
          <w:rFonts w:ascii="Times New Roman" w:hAnsi="Times New Roman" w:cs="Times New Roman"/>
          <w:sz w:val="24"/>
          <w:szCs w:val="24"/>
          <w:lang w:val="en-GB"/>
        </w:rPr>
        <w:t xml:space="preserve"> </w:t>
      </w:r>
      <w:proofErr w:type="spellStart"/>
      <w:r w:rsidR="00AC1B87" w:rsidRPr="00610838">
        <w:rPr>
          <w:rFonts w:ascii="Times New Roman" w:hAnsi="Times New Roman" w:cs="Times New Roman"/>
          <w:sz w:val="24"/>
          <w:szCs w:val="24"/>
          <w:lang w:val="en-GB"/>
        </w:rPr>
        <w:t>mplieup</w:t>
      </w:r>
      <w:proofErr w:type="spellEnd"/>
      <w:r w:rsidR="00AC1B87" w:rsidRPr="00610838">
        <w:rPr>
          <w:rFonts w:ascii="Times New Roman" w:hAnsi="Times New Roman" w:cs="Times New Roman"/>
          <w:sz w:val="24"/>
          <w:szCs w:val="24"/>
          <w:lang w:val="en-GB"/>
        </w:rPr>
        <w:t xml:space="preserve"> and </w:t>
      </w:r>
      <w:proofErr w:type="spellStart"/>
      <w:r w:rsidR="00AC1B87" w:rsidRPr="00610838">
        <w:rPr>
          <w:rFonts w:ascii="Times New Roman" w:hAnsi="Times New Roman" w:cs="Times New Roman"/>
          <w:sz w:val="24"/>
          <w:szCs w:val="24"/>
          <w:lang w:val="en-GB"/>
        </w:rPr>
        <w:t>bcftools</w:t>
      </w:r>
      <w:proofErr w:type="spellEnd"/>
      <w:r w:rsidR="00AC1B87" w:rsidRPr="00610838">
        <w:rPr>
          <w:rFonts w:ascii="Times New Roman" w:hAnsi="Times New Roman" w:cs="Times New Roman"/>
          <w:sz w:val="24"/>
          <w:szCs w:val="24"/>
          <w:lang w:val="en-GB"/>
        </w:rPr>
        <w:t xml:space="preserve"> call (version 1.8</w:t>
      </w:r>
      <w:r w:rsidR="00125D4C" w:rsidRPr="00610838">
        <w:rPr>
          <w:rFonts w:ascii="Times New Roman" w:hAnsi="Times New Roman" w:cs="Times New Roman"/>
          <w:sz w:val="24"/>
          <w:szCs w:val="24"/>
          <w:lang w:val="en-GB"/>
        </w:rPr>
        <w:fldChar w:fldCharType="begin" w:fldLock="1"/>
      </w:r>
      <w:r w:rsidR="003C1FB5" w:rsidRPr="00610838">
        <w:rPr>
          <w:rFonts w:ascii="Times New Roman" w:hAnsi="Times New Roman" w:cs="Times New Roman"/>
          <w:sz w:val="24"/>
          <w:szCs w:val="24"/>
          <w:lang w:val="en-GB"/>
        </w:rPr>
        <w:instrText>ADDIN CSL_CITATION {"citationItems":[{"id":"ITEM-1","itemData":{"DOI":"10.1093/bioinformatics/btp352","ISSN":"13674803","PMID":"19505943","abstract":"Summary: The Sequence Alignment/Map (SAM) format is a generic alignment format for storing read alignments against reference sequences, supporting short and long reads (up to 128 Mbp) produced by different sequencing platforms. It is flexible in style, compact in size, efficient in random access and is the format in which alignments from the 1000 Genomes Project are released. SAM tools implements various utilities for post-processing alignments in the SAM format, such as indexing, variant caller and alignment viewer, and thus provides universal tools for processing read alignments. © 2009 The Author(s).","author":[{"dropping-particle":"","family":"Li","given":"Heng","non-dropping-particle":"","parse-names":false,"suffix":""},{"dropping-particle":"","family":"Handsaker","given":"Bob","non-dropping-particle":"","parse-names":false,"suffix":""},{"dropping-particle":"","family":"Wysoker","given":"Alec","non-dropping-particle":"","parse-names":false,"suffix":""},{"dropping-particle":"","family":"Fennell","given":"Tim","non-dropping-particle":"","parse-names":false,"suffix":""},{"dropping-particle":"","family":"Ruan","given":"Jue","non-dropping-particle":"","parse-names":false,"suffix":""},{"dropping-particle":"","family":"Homer","given":"Nils","non-dropping-particle":"","parse-names":false,"suffix":""},{"dropping-particle":"","family":"Marth","given":"Gabor","non-dropping-particle":"","parse-names":false,"suffix":""},{"dropping-particle":"","family":"Abecasis","given":"Goncalo","non-dropping-particle":"","parse-names":false,"suffix":""},{"dropping-particle":"","family":"Durbin","given":"Richard","non-dropping-particle":"","parse-names":false,"suffix":""}],"container-title":"Bioinformatics","id":"ITEM-1","issue":"16","issued":{"date-parts":[["2009","8","15"]]},"page":"2078-2079","publisher":"Narnia","title":"The Sequence Alignment/Map format and SAMtools","type":"article-journal","volume":"25"},"uris":["http://www.mendeley.com/documents/?uuid=f07672d8-641a-3fa7-8425-9a261866527d"]}],"mendeley":{"formattedCitation":"&lt;sup&gt;6&lt;/sup&gt;","plainTextFormattedCitation":"6","previouslyFormattedCitation":"&lt;sup&gt;6&lt;/sup&gt;"},"properties":{"noteIndex":0},"schema":"https://github.com/citation-style-language/schema/raw/master/csl-citation.json"}</w:instrText>
      </w:r>
      <w:r w:rsidR="00125D4C" w:rsidRPr="00610838">
        <w:rPr>
          <w:rFonts w:ascii="Times New Roman" w:hAnsi="Times New Roman" w:cs="Times New Roman"/>
          <w:sz w:val="24"/>
          <w:szCs w:val="24"/>
          <w:lang w:val="en-GB"/>
        </w:rPr>
        <w:fldChar w:fldCharType="separate"/>
      </w:r>
      <w:r w:rsidR="003C1FB5" w:rsidRPr="00610838">
        <w:rPr>
          <w:rFonts w:ascii="Times New Roman" w:hAnsi="Times New Roman" w:cs="Times New Roman"/>
          <w:noProof/>
          <w:sz w:val="24"/>
          <w:szCs w:val="24"/>
          <w:vertAlign w:val="superscript"/>
          <w:lang w:val="en-GB"/>
        </w:rPr>
        <w:t>6</w:t>
      </w:r>
      <w:r w:rsidR="00125D4C" w:rsidRPr="00610838">
        <w:rPr>
          <w:rFonts w:ascii="Times New Roman" w:hAnsi="Times New Roman" w:cs="Times New Roman"/>
          <w:sz w:val="24"/>
          <w:szCs w:val="24"/>
          <w:lang w:val="en-GB"/>
        </w:rPr>
        <w:fldChar w:fldCharType="end"/>
      </w:r>
      <w:r w:rsidR="00AC1B87" w:rsidRPr="00610838">
        <w:rPr>
          <w:rFonts w:ascii="Times New Roman" w:hAnsi="Times New Roman" w:cs="Times New Roman"/>
          <w:sz w:val="24"/>
          <w:szCs w:val="24"/>
          <w:lang w:val="en-GB"/>
        </w:rPr>
        <w:t xml:space="preserve">) with a minimum variant base quality of 30 and overall read quality of 25 for parents and pool progeny samples in one run. The SNPs and indels were called separately. Additionally, the two flags -t AD and --positions were specified. AD, the allelic depth format, generates information about the read calls for each allele and sample. The positions flag was used to restrict the pileup to sites </w:t>
      </w:r>
      <w:r w:rsidRPr="00610838">
        <w:rPr>
          <w:rFonts w:ascii="Times New Roman" w:hAnsi="Times New Roman" w:cs="Times New Roman"/>
          <w:sz w:val="24"/>
          <w:szCs w:val="24"/>
          <w:lang w:val="en-GB"/>
        </w:rPr>
        <w:t>where</w:t>
      </w:r>
      <w:r w:rsidR="00AC1B87" w:rsidRPr="00610838">
        <w:rPr>
          <w:rFonts w:ascii="Times New Roman" w:hAnsi="Times New Roman" w:cs="Times New Roman"/>
          <w:sz w:val="24"/>
          <w:szCs w:val="24"/>
          <w:lang w:val="en-GB"/>
        </w:rPr>
        <w:t xml:space="preserve"> the parents were homozygote, </w:t>
      </w:r>
      <w:r w:rsidRPr="00610838">
        <w:rPr>
          <w:rFonts w:ascii="Times New Roman" w:hAnsi="Times New Roman" w:cs="Times New Roman"/>
          <w:sz w:val="24"/>
          <w:szCs w:val="24"/>
          <w:lang w:val="en-GB"/>
        </w:rPr>
        <w:t>variant</w:t>
      </w:r>
      <w:r w:rsidR="00AC1B87" w:rsidRPr="00610838">
        <w:rPr>
          <w:rFonts w:ascii="Times New Roman" w:hAnsi="Times New Roman" w:cs="Times New Roman"/>
          <w:sz w:val="24"/>
          <w:szCs w:val="24"/>
          <w:lang w:val="en-GB"/>
        </w:rPr>
        <w:t xml:space="preserve"> from one another and the position was reported as variant in the ensemble</w:t>
      </w:r>
      <w:r w:rsidR="00125D4C" w:rsidRPr="00610838">
        <w:rPr>
          <w:rFonts w:ascii="Times New Roman" w:hAnsi="Times New Roman" w:cs="Times New Roman"/>
          <w:sz w:val="24"/>
          <w:szCs w:val="24"/>
          <w:lang w:val="en-GB"/>
        </w:rPr>
        <w:fldChar w:fldCharType="begin" w:fldLock="1"/>
      </w:r>
      <w:r w:rsidR="003C1FB5" w:rsidRPr="00610838">
        <w:rPr>
          <w:rFonts w:ascii="Times New Roman" w:hAnsi="Times New Roman" w:cs="Times New Roman"/>
          <w:sz w:val="24"/>
          <w:szCs w:val="24"/>
          <w:lang w:val="en-GB"/>
        </w:rPr>
        <w:instrText>ADDIN CSL_CITATION {"citationItems":[{"id":"ITEM-1","itemData":{"DOI":"10.1093/nar/gky1113","ISSN":"13624962","PMID":"30407521","abstract":"The Ensembl project (https://www.ensembl.org) makes key genomic data sets available to the entire scientific community without restrictions. Ensembl seeks to be a fundamental resource driving scientific progress by creating, maintaining and updating reference genome annotation and comparative genomics resources. This year we describe our new and expanded gene, variant and comparative annotation capabilities, which led to a 50% increase in the number of vertebrate genomes we support. We have also doubled the number of available human variants and added regulatory regions for many mouse cell types and developmental stages. Our data sets and tools are available via the Ensembl website as well as a through a RESTful webservice, Perl application programming interface and as data files for download.","author":[{"dropping-particle":"","family":"Cunningham","given":"Fiona","non-dropping-particle":"","parse-names":false,"suffix":""},{"dropping-particle":"","family":"Achuthan","given":"Premanand","non-dropping-particle":"","parse-names":false,"suffix":""},{"dropping-particle":"","family":"Akanni","given":"Wasiu","non-dropping-particle":"","parse-names":false,"suffix":""},{"dropping-particle":"","family":"Allen","given":"James","non-dropping-particle":"","parse-names":false,"suffix":""},{"dropping-particle":"","family":"Amode","given":"M. Ridwan","non-dropping-particle":"","parse-names":false,"suffix":""},{"dropping-particle":"","family":"Armean","given":"Irina M.","non-dropping-particle":"","parse-names":false,"suffix":""},{"dropping-particle":"","family":"Bennett","given":"Ruth","non-dropping-particle":"","parse-names":false,"suffix":""},{"dropping-particle":"","family":"Bhai","given":"Jyothish","non-dropping-particle":"","parse-names":false,"suffix":""},{"dropping-particle":"","family":"Billis","given":"Konstantinos","non-dropping-particle":"","parse-names":false,"suffix":""},{"dropping-particle":"","family":"Boddu","given":"Sanjay","non-dropping-particle":"","parse-names":false,"suffix":""},{"dropping-particle":"","family":"Cummins","given":"Carla","non-dropping-particle":"","parse-names":false,"suffix":""},{"dropping-particle":"","family":"Davidson","given":"Claire","non-dropping-particle":"","parse-names":false,"suffix":""},{"dropping-particle":"","family":"Dodiya","given":"Kamalkumar Jayantilal","non-dropping-particle":"","parse-names":false,"suffix":""},{"dropping-particle":"","family":"Gall","given":"Astrid","non-dropping-particle":"","parse-names":false,"suffix":""},{"dropping-particle":"","family":"Girón","given":"Carlos García","non-dropping-particle":"","parse-names":false,"suffix":""},{"dropping-particle":"","family":"Gil","given":"Laurent","non-dropping-particle":"","parse-names":false,"suffix":""},{"dropping-particle":"","family":"Grego","given":"Tiago","non-dropping-particle":"","parse-names":false,"suffix":""},{"dropping-particle":"","family":"Haggerty","given":"Leanne","non-dropping-particle":"","parse-names":false,"suffix":""},{"dropping-particle":"","family":"Haskell","given":"Erin","non-dropping-particle":"","parse-names":false,"suffix":""},{"dropping-particle":"","family":"Hourlier","given":"Thibaut","non-dropping-particle":"","parse-names":false,"suffix":""},{"dropping-particle":"","family":"Izuogu","given":"Osagie G.","non-dropping-particle":"","parse-names":false,"suffix":""},{"dropping-particle":"","family":"Janacek","given":"Sophie H.","non-dropping-particle":"","parse-names":false,"suffix":""},{"dropping-particle":"","family":"Juettemann","given":"Thomas","non-dropping-particle":"","parse-names":false,"suffix":""},{"dropping-particle":"","family":"Kay","given":"Mike","non-dropping-particle":"","parse-names":false,"suffix":""},{"dropping-particle":"","family":"Laird","given":"Matthew R.","non-dropping-particle":"","parse-names":false,"suffix":""},{"dropping-particle":"","family":"Lavidas","given":"Ilias","non-dropping-particle":"","parse-names":false,"suffix":""},{"dropping-particle":"","family":"Liu","given":"Zhicheng","non-dropping-particle":"","parse-names":false,"suffix":""},{"dropping-particle":"","family":"Loveland","given":"Jane E.","non-dropping-particle":"","parse-names":false,"suffix":""},{"dropping-particle":"","family":"Marugán","given":"José C.","non-dropping-particle":"","parse-names":false,"suffix":""},{"dropping-particle":"","family":"Maurel","given":"Thomas","non-dropping-particle":"","parse-names":false,"suffix":""},{"dropping-particle":"","family":"McMahon","given":"Aoife C.","non-dropping-particle":"","parse-names":false,"suffix":""},{"dropping-particle":"","family":"Moore","given":"Benjamin","non-dropping-particle":"","parse-names":false,"suffix":""},{"dropping-particle":"","family":"Morales","given":"Joannella","non-dropping-particle":"","parse-names":false,"suffix":""},{"dropping-particle":"","family":"Mudge","given":"Jonathan M.","non-dropping-particle":"","parse-names":false,"suffix":""},{"dropping-particle":"","family":"Nuhn","given":"Michael","non-dropping-particle":"","parse-names":false,"suffix":""},{"dropping-particle":"","family":"Ogeh","given":"Denye","non-dropping-particle":"","parse-names":false,"suffix":""},{"dropping-particle":"","family":"Parker","given":"Anne","non-dropping-particle":"","parse-names":false,"suffix":""},{"dropping-particle":"","family":"Parton","given":"Andrew","non-dropping-particle":"","parse-names":false,"suffix":""},{"dropping-particle":"","family":"Patricio","given":"Mateus","non-dropping-particle":"","parse-names":false,"suffix":""},{"dropping-particle":"","family":"Abdul Salam","given":"Ahamed Imran","non-dropping-particle":"","parse-names":false,"suffix":""},{"dropping-particle":"","family":"Schmitt","given":"Bianca M.","non-dropping-particle":"","parse-names":false,"suffix":""},{"dropping-particle":"","family":"Schuilenburg","given":"Helen","non-dropping-particle":"","parse-names":false,"suffix":""},{"dropping-particle":"","family":"Sheppard","given":"Dan","non-dropping-particle":"","parse-names":false,"suffix":""},{"dropping-particle":"","family":"Sparrow","given":"Helen","non-dropping-particle":"","parse-names":false,"suffix":""},{"dropping-particle":"","family":"Stapleton","given":"Eloise","non-dropping-particle":"","parse-names":false,"suffix":""},{"dropping-particle":"","family":"Szuba","given":"Marek","non-dropping-particle":"","parse-names":false,"suffix":""},{"dropping-particle":"","family":"Taylor","given":"Kieron","non-dropping-particle":"","parse-names":false,"suffix":""},{"dropping-particle":"","family":"Threadgold","given":"Glen","non-dropping-particle":"","parse-names":false,"suffix":""},{"dropping-particle":"","family":"Thormann","given":"Anja","non-dropping-particle":"","parse-names":false,"suffix":""},{"dropping-particle":"","family":"Vullo","given":"Alessandro","non-dropping-particle":"","parse-names":false,"suffix":""},{"dropping-particle":"","family":"Walts","given":"Brandon","non-dropping-particle":"","parse-names":false,"suffix":""},{"dropping-particle":"","family":"Winterbottom","given":"Andrea","non-dropping-particle":"","parse-names":false,"suffix":""},{"dropping-particle":"","family":"Zadissa","given":"Amonida","non-dropping-particle":"","parse-names":false,"suffix":""},{"dropping-particle":"","family":"Chakiachvili","given":"Marc","non-dropping-particle":"","parse-names":false,"suffix":""},{"dropping-particle":"","family":"Frankish","given":"Adam","non-dropping-particle":"","parse-names":false,"suffix":""},{"dropping-particle":"","family":"Hunt","given":"Sarah E.","non-dropping-particle":"","parse-names":false,"suffix":""},{"dropping-particle":"","family":"Kostadima","given":"Myrto","non-dropping-particle":"","parse-names":false,"suffix":""},{"dropping-particle":"","family":"Langridge","given":"Nick","non-dropping-particle":"","parse-names":false,"suffix":""},{"dropping-particle":"","family":"Martin","given":"Fergal J.","non-dropping-particle":"","parse-names":false,"suffix":""},{"dropping-particle":"","family":"Muffato","given":"Matthieu","non-dropping-particle":"","parse-names":false,"suffix":""},{"dropping-particle":"","family":"Perry","given":"Emily","non-dropping-particle":"","parse-names":false,"suffix":""},{"dropping-particle":"","family":"Ruffier","given":"Magali","non-dropping-particle":"","parse-names":false,"suffix":""},{"dropping-particle":"","family":"Staines","given":"Daniel M.","non-dropping-particle":"","parse-names":false,"suffix":""},{"dropping-particle":"","family":"Trevanion","given":"Stephen J.","non-dropping-particle":"","parse-names":false,"suffix":""},{"dropping-particle":"","family":"Aken","given":"Bronwen L.","non-dropping-particle":"","parse-names":false,"suffix":""},{"dropping-particle":"","family":"Yates","given":"Andrew D.","non-dropping-particle":"","parse-names":false,"suffix":""},{"dropping-particle":"","family":"Zerbino","given":"Daniel R.","non-dropping-particle":"","parse-names":false,"suffix":""},{"dropping-particle":"","family":"Flicek","given":"Paul","non-dropping-particle":"","parse-names":false,"suffix":""}],"container-title":"Nucleic Acids Research","id":"ITEM-1","issue":"D1","issued":{"date-parts":[["2019","1","8"]]},"page":"D745-D751","publisher":"Oxford University Press","title":"Ensembl 2019","type":"article-journal","volume":"47"},"uris":["http://www.mendeley.com/documents/?uuid=2fe556ed-5644-3eb8-b8f3-2961a1886042"]}],"mendeley":{"formattedCitation":"&lt;sup&gt;7&lt;/sup&gt;","plainTextFormattedCitation":"7","previouslyFormattedCitation":"&lt;sup&gt;7&lt;/sup&gt;"},"properties":{"noteIndex":0},"schema":"https://github.com/citation-style-language/schema/raw/master/csl-citation.json"}</w:instrText>
      </w:r>
      <w:r w:rsidR="00125D4C" w:rsidRPr="00610838">
        <w:rPr>
          <w:rFonts w:ascii="Times New Roman" w:hAnsi="Times New Roman" w:cs="Times New Roman"/>
          <w:sz w:val="24"/>
          <w:szCs w:val="24"/>
          <w:lang w:val="en-GB"/>
        </w:rPr>
        <w:fldChar w:fldCharType="separate"/>
      </w:r>
      <w:r w:rsidR="003C1FB5" w:rsidRPr="00610838">
        <w:rPr>
          <w:rFonts w:ascii="Times New Roman" w:hAnsi="Times New Roman" w:cs="Times New Roman"/>
          <w:noProof/>
          <w:sz w:val="24"/>
          <w:szCs w:val="24"/>
          <w:vertAlign w:val="superscript"/>
          <w:lang w:val="en-GB"/>
        </w:rPr>
        <w:t>7</w:t>
      </w:r>
      <w:r w:rsidR="00125D4C" w:rsidRPr="00610838">
        <w:rPr>
          <w:rFonts w:ascii="Times New Roman" w:hAnsi="Times New Roman" w:cs="Times New Roman"/>
          <w:sz w:val="24"/>
          <w:szCs w:val="24"/>
          <w:lang w:val="en-GB"/>
        </w:rPr>
        <w:fldChar w:fldCharType="end"/>
      </w:r>
      <w:r w:rsidR="00AC1B87" w:rsidRPr="00610838">
        <w:rPr>
          <w:rFonts w:ascii="Times New Roman" w:hAnsi="Times New Roman" w:cs="Times New Roman"/>
          <w:sz w:val="24"/>
          <w:szCs w:val="24"/>
          <w:lang w:val="en-GB"/>
        </w:rPr>
        <w:t xml:space="preserve"> variant reference database. The </w:t>
      </w:r>
      <w:proofErr w:type="spellStart"/>
      <w:r w:rsidR="00AC1B87" w:rsidRPr="00610838">
        <w:rPr>
          <w:rFonts w:ascii="Times New Roman" w:hAnsi="Times New Roman" w:cs="Times New Roman"/>
          <w:sz w:val="24"/>
          <w:szCs w:val="24"/>
          <w:lang w:val="en-GB"/>
        </w:rPr>
        <w:t>bcftools</w:t>
      </w:r>
      <w:proofErr w:type="spellEnd"/>
      <w:r w:rsidR="00AC1B87" w:rsidRPr="00610838">
        <w:rPr>
          <w:rFonts w:ascii="Times New Roman" w:hAnsi="Times New Roman" w:cs="Times New Roman"/>
          <w:sz w:val="24"/>
          <w:szCs w:val="24"/>
          <w:lang w:val="en-GB"/>
        </w:rPr>
        <w:t xml:space="preserve"> options -v and -m were used to generate </w:t>
      </w:r>
      <w:proofErr w:type="spellStart"/>
      <w:r w:rsidR="00AC1B87" w:rsidRPr="00610838">
        <w:rPr>
          <w:rFonts w:ascii="Times New Roman" w:hAnsi="Times New Roman" w:cs="Times New Roman"/>
          <w:sz w:val="24"/>
          <w:szCs w:val="24"/>
          <w:lang w:val="en-GB"/>
        </w:rPr>
        <w:t>vcf</w:t>
      </w:r>
      <w:proofErr w:type="spellEnd"/>
      <w:r w:rsidR="00AC1B87" w:rsidRPr="00610838">
        <w:rPr>
          <w:rFonts w:ascii="Times New Roman" w:hAnsi="Times New Roman" w:cs="Times New Roman"/>
          <w:sz w:val="24"/>
          <w:szCs w:val="24"/>
          <w:lang w:val="en-GB"/>
        </w:rPr>
        <w:t xml:space="preserve"> file. As described previously</w:t>
      </w:r>
      <w:r w:rsidR="00125D4C" w:rsidRPr="00610838">
        <w:rPr>
          <w:rFonts w:ascii="Times New Roman" w:hAnsi="Times New Roman" w:cs="Times New Roman"/>
          <w:sz w:val="24"/>
          <w:szCs w:val="24"/>
          <w:lang w:val="en-GB"/>
        </w:rPr>
        <w:fldChar w:fldCharType="begin" w:fldLock="1"/>
      </w:r>
      <w:r w:rsidR="003C1FB5" w:rsidRPr="00610838">
        <w:rPr>
          <w:rFonts w:ascii="Times New Roman" w:hAnsi="Times New Roman" w:cs="Times New Roman"/>
          <w:sz w:val="24"/>
          <w:szCs w:val="24"/>
          <w:lang w:val="en-GB"/>
        </w:rPr>
        <w:instrText>ADDIN CSL_CITATION {"citationItems":[{"id":"ITEM-1","itemData":{"DOI":"10.1186/s12859-020-03704-1","ISSN":"14712105","PMID":"32807073","abstract":"Background: Discovering single nucleotide polymorphisms (SNPs) from agriculture crop genome sequences has been a widely used strategy for developing genetic markers for several applications including marker-assisted breeding, population diversity studies for eco-geographical adaption, genotyping crop germplasm collections, and others. Accurately detecting SNPs from large polyploid crop genomes such as wheat is crucial and challenging. A few variant calling methods have been previously developed but they show a low concordance between their variant calls. A gold standard of variant sets generated from one human individual sample was established for variant calling tool evaluations, however hitherto no gold standard of crop variant set is available for wheat use. The intent of this study was to evaluate seven SNP variant calling tools (FreeBayes, GATK, Platypus, Samtools/mpileup, SNVer, VarScan, VarDict) with the two most popular mapping tools (BWA-mem and Bowtie2) on wheat whole exome capture (WEC) re-sequencing data from allohexaploid wheat. Results: We found the BWA-mem mapping tool had both a higher mapping rate and a higher accuracy rate than Bowtie2. With the same mapping quality (MQ) cutoff, BWA-mem detected more variant bases in mapping reads than Bowtie2. The reads preprocessed with quality trimming or duplicate removal did not significantly affect the final mapping performance in terms of mapped reads. Based on the concordance and receiver operating characteristic (ROC), the Samtools/mpileup variant calling tool with BWA-mem mapping of raw sequence reads outperformed other tests followed by FreeBayes and GATK in terms of specificity and sensitivity. VarDict and VarScan were the poorest performing variant calling tools with the wheat WEC sequence data. Conclusion: The BWA-mem and Samtools/mpileup pipeline, with no need to preprocess the raw read data before mapping onto the reference genome, was ascertained the optimum for SNP calling for the complex wheat genome re-sequencing. These results also provide useful guidelines for reliable variant identification from deep sequencing of other large polyploid crop genomes.","author":[{"dropping-particle":"","family":"Yao","given":"Zhen","non-dropping-particle":"","parse-names":false,"suffix":""},{"dropping-particle":"","family":"You","given":"Frank M.","non-dropping-particle":"","parse-names":false,"suffix":""},{"dropping-particle":"","family":"N'Diaye","given":"Amidou","non-dropping-particle":"","parse-names":false,"suffix":""},{"dropping-particle":"","family":"Knox","given":"Ron E.","non-dropping-particle":"","parse-names":false,"suffix":""},{"dropping-particle":"","family":"McCartney","given":"Curt","non-dropping-particle":"","parse-names":false,"suffix":""},{"dropping-particle":"","family":"Hiebert","given":"Colin W.","non-dropping-particle":"","parse-names":false,"suffix":""},{"dropping-particle":"","family":"Pozniak","given":"Curtis","non-dropping-particle":"","parse-names":false,"suffix":""},{"dropping-particle":"","family":"Xu","given":"Wayne","non-dropping-particle":"","parse-names":false,"suffix":""}],"container-title":"BMC Bioinformatics","id":"ITEM-1","issue":"1","issued":{"date-parts":[["2020","8","17"]]},"page":"360","publisher":"NLM (Medline)","title":"Evaluation of variant calling tools for large plant genome re-sequencing","type":"article-journal","volume":"21"},"uris":["http://www.mendeley.com/documents/?uuid=b3c060e8-8c96-31c7-84c4-7f5ab7c17d9b"]}],"mendeley":{"formattedCitation":"&lt;sup&gt;8&lt;/sup&gt;","plainTextFormattedCitation":"8"},"properties":{"noteIndex":0},"schema":"https://github.com/citation-style-language/schema/raw/master/csl-citation.json"}</w:instrText>
      </w:r>
      <w:r w:rsidR="00125D4C" w:rsidRPr="00610838">
        <w:rPr>
          <w:rFonts w:ascii="Times New Roman" w:hAnsi="Times New Roman" w:cs="Times New Roman"/>
          <w:sz w:val="24"/>
          <w:szCs w:val="24"/>
          <w:lang w:val="en-GB"/>
        </w:rPr>
        <w:fldChar w:fldCharType="separate"/>
      </w:r>
      <w:r w:rsidR="003C1FB5" w:rsidRPr="00610838">
        <w:rPr>
          <w:rFonts w:ascii="Times New Roman" w:hAnsi="Times New Roman" w:cs="Times New Roman"/>
          <w:noProof/>
          <w:sz w:val="24"/>
          <w:szCs w:val="24"/>
          <w:vertAlign w:val="superscript"/>
          <w:lang w:val="en-GB"/>
        </w:rPr>
        <w:t>8</w:t>
      </w:r>
      <w:r w:rsidR="00125D4C" w:rsidRPr="00610838">
        <w:rPr>
          <w:rFonts w:ascii="Times New Roman" w:hAnsi="Times New Roman" w:cs="Times New Roman"/>
          <w:sz w:val="24"/>
          <w:szCs w:val="24"/>
          <w:lang w:val="en-GB"/>
        </w:rPr>
        <w:fldChar w:fldCharType="end"/>
      </w:r>
      <w:r w:rsidR="00AC1B87" w:rsidRPr="00610838">
        <w:rPr>
          <w:rFonts w:ascii="Times New Roman" w:hAnsi="Times New Roman" w:cs="Times New Roman"/>
          <w:sz w:val="24"/>
          <w:szCs w:val="24"/>
          <w:lang w:val="en-GB"/>
        </w:rPr>
        <w:t>, the proposed method is the best routine for large plant genome variant calling with superior specificity and sensitivity.</w:t>
      </w:r>
    </w:p>
    <w:p w14:paraId="1C6F8A50" w14:textId="77777777" w:rsidR="00E81C21" w:rsidRPr="00610838" w:rsidRDefault="00E81C21" w:rsidP="00E81C21">
      <w:pPr>
        <w:pStyle w:val="berschrift2"/>
        <w:jc w:val="both"/>
        <w:rPr>
          <w:rFonts w:ascii="Times New Roman" w:hAnsi="Times New Roman" w:cs="Times New Roman"/>
          <w:b/>
          <w:bCs/>
          <w:color w:val="auto"/>
          <w:sz w:val="24"/>
          <w:szCs w:val="24"/>
          <w:lang w:val="en-GB"/>
        </w:rPr>
      </w:pPr>
    </w:p>
    <w:p w14:paraId="7E19E21F" w14:textId="77777777" w:rsidR="00E81C21" w:rsidRPr="00610838" w:rsidRDefault="00E81C21" w:rsidP="00E81C21">
      <w:pPr>
        <w:pStyle w:val="berschrift2"/>
        <w:jc w:val="both"/>
        <w:rPr>
          <w:rFonts w:ascii="Times New Roman" w:hAnsi="Times New Roman" w:cs="Times New Roman"/>
          <w:b/>
          <w:bCs/>
          <w:color w:val="auto"/>
          <w:sz w:val="24"/>
          <w:szCs w:val="24"/>
          <w:lang w:val="en-GB"/>
        </w:rPr>
      </w:pPr>
      <w:r w:rsidRPr="00610838">
        <w:rPr>
          <w:rFonts w:ascii="Times New Roman" w:hAnsi="Times New Roman" w:cs="Times New Roman"/>
          <w:b/>
          <w:bCs/>
          <w:color w:val="auto"/>
          <w:sz w:val="24"/>
          <w:szCs w:val="24"/>
          <w:lang w:val="en-GB"/>
        </w:rPr>
        <w:t>Statistical comparison of haplotypes between systems and generations</w:t>
      </w:r>
    </w:p>
    <w:p w14:paraId="4204AEE8" w14:textId="5949200E" w:rsidR="00E81C21" w:rsidRPr="00610838" w:rsidRDefault="00E81C21" w:rsidP="00E81C21">
      <w:pPr>
        <w:jc w:val="both"/>
        <w:rPr>
          <w:rFonts w:ascii="Times New Roman" w:hAnsi="Times New Roman" w:cs="Times New Roman"/>
          <w:sz w:val="24"/>
          <w:szCs w:val="24"/>
          <w:lang w:val="en-GB"/>
        </w:rPr>
      </w:pPr>
      <w:r w:rsidRPr="00610838">
        <w:rPr>
          <w:rFonts w:ascii="Times New Roman" w:hAnsi="Times New Roman" w:cs="Times New Roman"/>
          <w:sz w:val="24"/>
          <w:szCs w:val="24"/>
          <w:lang w:val="en-GB"/>
        </w:rPr>
        <w:t xml:space="preserve">Variant calls were further processed with a custom </w:t>
      </w:r>
      <w:r w:rsidRPr="00610838">
        <w:rPr>
          <w:rFonts w:ascii="Times New Roman" w:hAnsi="Times New Roman" w:cs="Times New Roman"/>
          <w:i/>
          <w:iCs/>
          <w:sz w:val="24"/>
          <w:szCs w:val="24"/>
          <w:lang w:val="en-GB"/>
        </w:rPr>
        <w:t xml:space="preserve">Julia </w:t>
      </w:r>
      <w:r w:rsidRPr="00610838">
        <w:rPr>
          <w:rFonts w:ascii="Times New Roman" w:hAnsi="Times New Roman" w:cs="Times New Roman"/>
          <w:sz w:val="24"/>
          <w:szCs w:val="24"/>
          <w:lang w:val="en-GB"/>
        </w:rPr>
        <w:t>function package</w:t>
      </w:r>
      <w:r w:rsidR="00E23F61">
        <w:rPr>
          <w:rFonts w:ascii="Times New Roman" w:hAnsi="Times New Roman" w:cs="Times New Roman"/>
          <w:sz w:val="24"/>
          <w:szCs w:val="24"/>
          <w:lang w:val="en-GB"/>
        </w:rPr>
        <w:t xml:space="preserve"> (</w:t>
      </w:r>
      <w:hyperlink r:id="rId7" w:history="1">
        <w:r w:rsidR="00E23F61" w:rsidRPr="00172AD0">
          <w:rPr>
            <w:rStyle w:val="Hyperlink"/>
            <w:rFonts w:ascii="Times New Roman" w:hAnsi="Times New Roman" w:cs="Times New Roman"/>
            <w:sz w:val="24"/>
            <w:szCs w:val="24"/>
            <w:lang w:val="en-GB"/>
          </w:rPr>
          <w:t>https://github.com/mischn-dev/HAFcall</w:t>
        </w:r>
      </w:hyperlink>
      <w:r w:rsidR="00E23F61">
        <w:rPr>
          <w:rFonts w:ascii="Times New Roman" w:hAnsi="Times New Roman" w:cs="Times New Roman"/>
          <w:sz w:val="24"/>
          <w:szCs w:val="24"/>
          <w:lang w:val="en-GB"/>
        </w:rPr>
        <w:t>)</w:t>
      </w:r>
      <w:r w:rsidRPr="00610838">
        <w:rPr>
          <w:rFonts w:ascii="Times New Roman" w:hAnsi="Times New Roman" w:cs="Times New Roman"/>
          <w:sz w:val="24"/>
          <w:szCs w:val="24"/>
          <w:lang w:val="en-GB"/>
        </w:rPr>
        <w:t xml:space="preserve">. Position, reference, alternative allele information and read count as well as SNP quality were extracted from the </w:t>
      </w:r>
      <w:proofErr w:type="spellStart"/>
      <w:r w:rsidRPr="00610838">
        <w:rPr>
          <w:rFonts w:ascii="Times New Roman" w:hAnsi="Times New Roman" w:cs="Times New Roman"/>
          <w:i/>
          <w:iCs/>
          <w:sz w:val="24"/>
          <w:szCs w:val="24"/>
          <w:lang w:val="en-GB"/>
        </w:rPr>
        <w:t>vcf</w:t>
      </w:r>
      <w:proofErr w:type="spellEnd"/>
      <w:r w:rsidRPr="00610838">
        <w:rPr>
          <w:rFonts w:ascii="Times New Roman" w:hAnsi="Times New Roman" w:cs="Times New Roman"/>
          <w:i/>
          <w:iCs/>
          <w:sz w:val="24"/>
          <w:szCs w:val="24"/>
          <w:lang w:val="en-GB"/>
        </w:rPr>
        <w:t xml:space="preserve"> </w:t>
      </w:r>
      <w:r w:rsidRPr="00610838">
        <w:rPr>
          <w:rFonts w:ascii="Times New Roman" w:hAnsi="Times New Roman" w:cs="Times New Roman"/>
          <w:sz w:val="24"/>
          <w:szCs w:val="24"/>
          <w:lang w:val="en-GB"/>
        </w:rPr>
        <w:t xml:space="preserve">file for each sample. The allele frequency for each SNP related to the parental allele was calculated and stored for later use. The SNPs were linked to high-confidence genes and markers (9K iSelect Chip). </w:t>
      </w:r>
    </w:p>
    <w:p w14:paraId="48B6C6A2" w14:textId="77777777" w:rsidR="00AC1B87" w:rsidRPr="00610838" w:rsidRDefault="00E81C21" w:rsidP="00AC1B87">
      <w:pPr>
        <w:jc w:val="both"/>
        <w:rPr>
          <w:rFonts w:ascii="Times New Roman" w:hAnsi="Times New Roman" w:cs="Times New Roman"/>
          <w:sz w:val="24"/>
          <w:szCs w:val="24"/>
          <w:lang w:val="en-GB"/>
        </w:rPr>
      </w:pPr>
      <w:r w:rsidRPr="00610838">
        <w:rPr>
          <w:rFonts w:ascii="Times New Roman" w:hAnsi="Times New Roman" w:cs="Times New Roman"/>
          <w:sz w:val="24"/>
          <w:szCs w:val="24"/>
          <w:lang w:val="en-GB"/>
        </w:rPr>
        <w:t>The haplotypes were used to perform gene-wise statistical comparisons of generations and systems. The results of these analyses were applied in the candidate gene selection process and gene ontology classification. Prior to the test procedure, the allele frequencies of the two samples per generation and system were merged together at the SNP level. As the SNP allele frequency distribution shape varied widely over different genes, a dynamic algorithm</w:t>
      </w:r>
      <w:r w:rsidRPr="00610838">
        <w:rPr>
          <w:lang w:val="en-GB"/>
        </w:rPr>
        <w:t xml:space="preserve"> </w:t>
      </w:r>
      <w:r w:rsidRPr="00610838">
        <w:rPr>
          <w:rFonts w:ascii="Times New Roman" w:hAnsi="Times New Roman" w:cs="Times New Roman"/>
          <w:sz w:val="24"/>
          <w:szCs w:val="24"/>
          <w:lang w:val="en-GB"/>
        </w:rPr>
        <w:t xml:space="preserve">was applied to select the appropriate test statistic. Some genes were characterised by relatively few SNPs, some by many SNPs with 0% </w:t>
      </w:r>
      <w:proofErr w:type="spellStart"/>
      <w:r w:rsidRPr="00610838">
        <w:rPr>
          <w:rFonts w:ascii="Times New Roman" w:hAnsi="Times New Roman" w:cs="Times New Roman"/>
          <w:sz w:val="24"/>
          <w:szCs w:val="24"/>
          <w:lang w:val="en-GB"/>
        </w:rPr>
        <w:t>wtAF</w:t>
      </w:r>
      <w:proofErr w:type="spellEnd"/>
      <w:r w:rsidRPr="00610838">
        <w:rPr>
          <w:rFonts w:ascii="Times New Roman" w:hAnsi="Times New Roman" w:cs="Times New Roman"/>
          <w:sz w:val="24"/>
          <w:szCs w:val="24"/>
          <w:lang w:val="en-GB"/>
        </w:rPr>
        <w:t xml:space="preserve"> and yet others by mixtures of distributions. Therefore, an algorithm was developed to choose the appropriate test statistic based on the SNP allele frequency distribution pattern of the haplotype. The Mann–Whitney-U test was applied if the sample size was smaller than 30 (15 SNPs per haplotype and sample), as a proper estimate of the distribution could not be completed or if one of both test samples consisted of all zero values. If less than 15% of all values were zero or one test sample did not have any zero AF entries, a generalised linear model, based on a negative binomial distribution, was used to test </w:t>
      </w:r>
      <w:r w:rsidRPr="00610838">
        <w:rPr>
          <w:rFonts w:ascii="Times New Roman" w:hAnsi="Times New Roman" w:cs="Times New Roman"/>
          <w:sz w:val="24"/>
          <w:szCs w:val="24"/>
          <w:lang w:val="en-GB"/>
        </w:rPr>
        <w:lastRenderedPageBreak/>
        <w:t xml:space="preserve">the statistical significance. The largest fraction of genes was characterised by a zero-inflated, negative binomial distribution. These genes were analysed with the </w:t>
      </w:r>
      <w:proofErr w:type="spellStart"/>
      <w:r w:rsidRPr="00610838">
        <w:rPr>
          <w:rFonts w:ascii="Times New Roman" w:hAnsi="Times New Roman" w:cs="Times New Roman"/>
          <w:i/>
          <w:iCs/>
          <w:sz w:val="24"/>
          <w:szCs w:val="24"/>
          <w:lang w:val="en-GB"/>
        </w:rPr>
        <w:t>pscl</w:t>
      </w:r>
      <w:proofErr w:type="spellEnd"/>
      <w:r w:rsidRPr="00610838">
        <w:rPr>
          <w:rFonts w:ascii="Times New Roman" w:hAnsi="Times New Roman" w:cs="Times New Roman"/>
          <w:sz w:val="24"/>
          <w:szCs w:val="24"/>
          <w:lang w:val="en-GB"/>
        </w:rPr>
        <w:t xml:space="preserve"> R package</w:t>
      </w:r>
      <w:r w:rsidR="00125D4C" w:rsidRPr="00610838">
        <w:rPr>
          <w:rFonts w:ascii="Times New Roman" w:hAnsi="Times New Roman" w:cs="Times New Roman"/>
          <w:sz w:val="24"/>
          <w:szCs w:val="24"/>
          <w:lang w:val="en-GB"/>
        </w:rPr>
        <w:fldChar w:fldCharType="begin" w:fldLock="1"/>
      </w:r>
      <w:r w:rsidRPr="00610838">
        <w:rPr>
          <w:rFonts w:ascii="Times New Roman" w:hAnsi="Times New Roman" w:cs="Times New Roman"/>
          <w:sz w:val="24"/>
          <w:szCs w:val="24"/>
          <w:lang w:val="en-GB"/>
        </w:rPr>
        <w:instrText>ADDIN CSL_CITATION {"citationItems":[{"id":"ITEM-1","itemData":{"abstract":"Bayesian analysis of itemresponse theory (IRT) models,roll call analysis; computing highest density regions; maximum likelihood estimation of zero-inflated and hurdle models for count data; goodness-of-fit measures for GLMs; data sets used in writing and teaching at the Political Science Computational Laboratory; seats-votes curves.","author":[{"dropping-particle":"","family":"Jackman","given":"Simon","non-dropping-particle":"","parse-names":false,"suffix":""},{"dropping-particle":"","family":"Tahk","given":"Alex","non-dropping-particle":"","parse-names":false,"suffix":""},{"dropping-particle":"","family":"Zeileis","given":"Achim","non-dropping-particle":"","parse-names":false,"suffix":""},{"dropping-particle":"","family":"Maimone","given":"Christina","non-dropping-particle":"","parse-names":false,"suffix":""},{"dropping-particle":"","family":"Fearon","given":"Jim","non-dropping-particle":"","parse-names":false,"suffix":""}],"id":"ITEM-1","issued":{"date-parts":[["2013"]]},"number-of-pages":"102","title":"Political Science Computational Laboratory, Stanford University: Package ‘ pscl ’","type":"report"},"uris":["http://www.mendeley.com/documents/?uuid=efd0e519-df39-3ada-a73b-6f3ea02e11ab"]}],"mendeley":{"formattedCitation":"&lt;sup&gt;9&lt;/sup&gt;","plainTextFormattedCitation":"9","previouslyFormattedCitation":"&lt;sup&gt;9&lt;/sup&gt;"},"properties":{"noteIndex":0},"schema":"https://github.com/citation-style-language/schema/raw/master/csl-citation.json"}</w:instrText>
      </w:r>
      <w:r w:rsidR="00125D4C" w:rsidRPr="00610838">
        <w:rPr>
          <w:rFonts w:ascii="Times New Roman" w:hAnsi="Times New Roman" w:cs="Times New Roman"/>
          <w:sz w:val="24"/>
          <w:szCs w:val="24"/>
          <w:lang w:val="en-GB"/>
        </w:rPr>
        <w:fldChar w:fldCharType="separate"/>
      </w:r>
      <w:r w:rsidRPr="00610838">
        <w:rPr>
          <w:rFonts w:ascii="Times New Roman" w:hAnsi="Times New Roman" w:cs="Times New Roman"/>
          <w:noProof/>
          <w:sz w:val="24"/>
          <w:szCs w:val="24"/>
          <w:vertAlign w:val="superscript"/>
          <w:lang w:val="en-GB"/>
        </w:rPr>
        <w:t>9</w:t>
      </w:r>
      <w:r w:rsidR="00125D4C" w:rsidRPr="00610838">
        <w:rPr>
          <w:rFonts w:ascii="Times New Roman" w:hAnsi="Times New Roman" w:cs="Times New Roman"/>
          <w:sz w:val="24"/>
          <w:szCs w:val="24"/>
          <w:lang w:val="en-GB"/>
        </w:rPr>
        <w:fldChar w:fldCharType="end"/>
      </w:r>
      <w:r w:rsidRPr="00610838">
        <w:rPr>
          <w:rFonts w:ascii="Times New Roman" w:hAnsi="Times New Roman" w:cs="Times New Roman"/>
          <w:sz w:val="24"/>
          <w:szCs w:val="24"/>
          <w:lang w:val="en-GB"/>
        </w:rPr>
        <w:t xml:space="preserve"> implementation in </w:t>
      </w:r>
      <w:r w:rsidRPr="00610838">
        <w:rPr>
          <w:rFonts w:ascii="Times New Roman" w:hAnsi="Times New Roman" w:cs="Times New Roman"/>
          <w:i/>
          <w:sz w:val="24"/>
          <w:szCs w:val="24"/>
          <w:lang w:val="en-GB"/>
        </w:rPr>
        <w:t>Julia</w:t>
      </w:r>
      <w:r w:rsidRPr="00610838">
        <w:rPr>
          <w:rFonts w:ascii="Times New Roman" w:hAnsi="Times New Roman" w:cs="Times New Roman"/>
          <w:sz w:val="24"/>
          <w:szCs w:val="24"/>
          <w:lang w:val="en-GB"/>
        </w:rPr>
        <w:t xml:space="preserve"> if less than 75% of all genes had a </w:t>
      </w:r>
      <w:proofErr w:type="spellStart"/>
      <w:r w:rsidRPr="00610838">
        <w:rPr>
          <w:rFonts w:ascii="Times New Roman" w:hAnsi="Times New Roman" w:cs="Times New Roman"/>
          <w:sz w:val="24"/>
          <w:szCs w:val="24"/>
          <w:lang w:val="en-GB"/>
        </w:rPr>
        <w:t>wtAF</w:t>
      </w:r>
      <w:proofErr w:type="spellEnd"/>
      <w:r w:rsidRPr="00610838">
        <w:rPr>
          <w:rFonts w:ascii="Times New Roman" w:hAnsi="Times New Roman" w:cs="Times New Roman"/>
          <w:sz w:val="24"/>
          <w:szCs w:val="24"/>
          <w:lang w:val="en-GB"/>
        </w:rPr>
        <w:t xml:space="preserve"> of 0%. Lastly, if the number of genes with no </w:t>
      </w:r>
      <w:proofErr w:type="spellStart"/>
      <w:r w:rsidRPr="00610838">
        <w:rPr>
          <w:rFonts w:ascii="Times New Roman" w:hAnsi="Times New Roman" w:cs="Times New Roman"/>
          <w:sz w:val="24"/>
          <w:szCs w:val="24"/>
          <w:lang w:val="en-GB"/>
        </w:rPr>
        <w:t>wtAF</w:t>
      </w:r>
      <w:proofErr w:type="spellEnd"/>
      <w:r w:rsidRPr="00610838">
        <w:rPr>
          <w:rFonts w:ascii="Times New Roman" w:hAnsi="Times New Roman" w:cs="Times New Roman"/>
          <w:sz w:val="24"/>
          <w:szCs w:val="24"/>
          <w:lang w:val="en-GB"/>
        </w:rPr>
        <w:t xml:space="preserve"> detected exceeded 75%, a zero-inflated </w:t>
      </w:r>
      <w:r w:rsidRPr="00610838">
        <w:rPr>
          <w:rFonts w:ascii="Times New Roman" w:hAnsi="Times New Roman" w:cs="Times New Roman"/>
          <w:i/>
          <w:iCs/>
          <w:sz w:val="24"/>
          <w:szCs w:val="24"/>
          <w:lang w:val="en-GB"/>
        </w:rPr>
        <w:t>Poisson</w:t>
      </w:r>
      <w:r w:rsidRPr="00610838">
        <w:rPr>
          <w:rFonts w:ascii="Times New Roman" w:hAnsi="Times New Roman" w:cs="Times New Roman"/>
          <w:sz w:val="24"/>
          <w:szCs w:val="24"/>
          <w:lang w:val="en-GB"/>
        </w:rPr>
        <w:t xml:space="preserve">-based linear model was applied. </w:t>
      </w:r>
      <w:proofErr w:type="spellStart"/>
      <w:r w:rsidRPr="00610838">
        <w:rPr>
          <w:rFonts w:ascii="Times New Roman" w:hAnsi="Times New Roman" w:cs="Times New Roman"/>
          <w:i/>
          <w:iCs/>
          <w:sz w:val="24"/>
          <w:szCs w:val="24"/>
          <w:lang w:val="en-GB"/>
        </w:rPr>
        <w:t>Pscl</w:t>
      </w:r>
      <w:proofErr w:type="spellEnd"/>
      <w:r w:rsidRPr="00610838">
        <w:rPr>
          <w:rFonts w:ascii="Times New Roman" w:hAnsi="Times New Roman" w:cs="Times New Roman"/>
          <w:sz w:val="24"/>
          <w:szCs w:val="24"/>
          <w:lang w:val="en-GB"/>
        </w:rPr>
        <w:t xml:space="preserve"> package calculates two test statistics for both Poisson/negative binomial and zero-inflated statistics, separately. Therefore, both </w:t>
      </w:r>
      <w:r w:rsidRPr="00610838">
        <w:rPr>
          <w:rFonts w:ascii="Times New Roman" w:hAnsi="Times New Roman" w:cs="Times New Roman"/>
          <w:i/>
          <w:sz w:val="24"/>
          <w:szCs w:val="24"/>
          <w:lang w:val="en-GB"/>
        </w:rPr>
        <w:t>p</w:t>
      </w:r>
      <w:r w:rsidRPr="00610838">
        <w:rPr>
          <w:rFonts w:ascii="Times New Roman" w:hAnsi="Times New Roman" w:cs="Times New Roman"/>
          <w:sz w:val="24"/>
          <w:szCs w:val="24"/>
          <w:lang w:val="en-GB"/>
        </w:rPr>
        <w:t xml:space="preserve"> values were extracted and saved in the statistics summary table together with the information of the used test statistic, the average HAF and variation, read depth, SNP and zero value count. Selection of significant candidate genes and GO was based on </w:t>
      </w:r>
      <w:r w:rsidRPr="00610838">
        <w:rPr>
          <w:rFonts w:ascii="Times New Roman" w:hAnsi="Times New Roman" w:cs="Times New Roman"/>
          <w:i/>
          <w:sz w:val="24"/>
          <w:szCs w:val="24"/>
          <w:lang w:val="en-GB"/>
        </w:rPr>
        <w:t>p</w:t>
      </w:r>
      <w:r w:rsidRPr="00610838">
        <w:rPr>
          <w:rFonts w:ascii="Times New Roman" w:hAnsi="Times New Roman" w:cs="Times New Roman"/>
          <w:sz w:val="24"/>
          <w:szCs w:val="24"/>
          <w:lang w:val="en-GB"/>
        </w:rPr>
        <w:t xml:space="preserve"> values of &lt; 0.05 for the negative binomial distribution and an additional filter based on the zero-inflated distribution, if calculated (</w:t>
      </w:r>
      <w:r w:rsidRPr="00610838">
        <w:rPr>
          <w:rFonts w:ascii="Times New Roman" w:hAnsi="Times New Roman" w:cs="Times New Roman"/>
          <w:i/>
          <w:sz w:val="24"/>
          <w:szCs w:val="24"/>
          <w:lang w:val="en-GB"/>
        </w:rPr>
        <w:t>p</w:t>
      </w:r>
      <w:r w:rsidRPr="00610838">
        <w:rPr>
          <w:rFonts w:ascii="Times New Roman" w:hAnsi="Times New Roman" w:cs="Times New Roman"/>
          <w:sz w:val="24"/>
          <w:szCs w:val="24"/>
          <w:lang w:val="en-GB"/>
        </w:rPr>
        <w:t xml:space="preserve"> &lt; 0.05).</w:t>
      </w:r>
    </w:p>
    <w:p w14:paraId="26EF1237" w14:textId="77777777" w:rsidR="00AC1B87" w:rsidRPr="00610838" w:rsidRDefault="00AC1B87" w:rsidP="00AC1B87">
      <w:pPr>
        <w:pStyle w:val="berschrift2"/>
        <w:jc w:val="both"/>
        <w:rPr>
          <w:rFonts w:ascii="Times New Roman" w:hAnsi="Times New Roman" w:cs="Times New Roman"/>
          <w:b/>
          <w:bCs/>
          <w:color w:val="auto"/>
          <w:sz w:val="24"/>
          <w:szCs w:val="24"/>
          <w:lang w:val="en-GB"/>
        </w:rPr>
      </w:pPr>
      <w:r w:rsidRPr="00610838">
        <w:rPr>
          <w:rFonts w:ascii="Times New Roman" w:hAnsi="Times New Roman" w:cs="Times New Roman"/>
          <w:b/>
          <w:bCs/>
          <w:color w:val="auto"/>
          <w:sz w:val="24"/>
          <w:szCs w:val="24"/>
          <w:lang w:val="en-GB"/>
        </w:rPr>
        <w:t xml:space="preserve">Data yields of the three different </w:t>
      </w:r>
      <w:r w:rsidR="00E81C21" w:rsidRPr="00610838">
        <w:rPr>
          <w:rFonts w:ascii="Times New Roman" w:hAnsi="Times New Roman" w:cs="Times New Roman"/>
          <w:b/>
          <w:bCs/>
          <w:color w:val="auto"/>
          <w:sz w:val="24"/>
          <w:szCs w:val="24"/>
          <w:lang w:val="en-GB"/>
        </w:rPr>
        <w:t xml:space="preserve">sequencing </w:t>
      </w:r>
      <w:r w:rsidRPr="00610838">
        <w:rPr>
          <w:rFonts w:ascii="Times New Roman" w:hAnsi="Times New Roman" w:cs="Times New Roman"/>
          <w:b/>
          <w:bCs/>
          <w:color w:val="auto"/>
          <w:sz w:val="24"/>
          <w:szCs w:val="24"/>
          <w:lang w:val="en-GB"/>
        </w:rPr>
        <w:t>methods</w:t>
      </w:r>
    </w:p>
    <w:p w14:paraId="3C9A87E5" w14:textId="77777777" w:rsidR="00D055EC" w:rsidRPr="00610838" w:rsidRDefault="00AC1B87" w:rsidP="00DE31DB">
      <w:pPr>
        <w:jc w:val="both"/>
        <w:rPr>
          <w:rFonts w:ascii="Times New Roman" w:hAnsi="Times New Roman" w:cs="Times New Roman"/>
          <w:sz w:val="24"/>
          <w:szCs w:val="24"/>
          <w:lang w:val="en-GB"/>
        </w:rPr>
      </w:pPr>
      <w:r w:rsidRPr="00610838">
        <w:rPr>
          <w:rFonts w:ascii="Times New Roman" w:hAnsi="Times New Roman" w:cs="Times New Roman"/>
          <w:sz w:val="24"/>
          <w:szCs w:val="24"/>
          <w:lang w:val="en-GB"/>
        </w:rPr>
        <w:t xml:space="preserve">Genotyping by sequencing was performed by </w:t>
      </w:r>
      <w:r w:rsidRPr="00610838">
        <w:rPr>
          <w:rStyle w:val="highlighted"/>
          <w:rFonts w:ascii="Times New Roman" w:hAnsi="Times New Roman" w:cs="Times New Roman"/>
          <w:sz w:val="24"/>
          <w:szCs w:val="24"/>
          <w:lang w:val="en-GB"/>
        </w:rPr>
        <w:t>LGC Genomics GmbH</w:t>
      </w:r>
      <w:r w:rsidRPr="00610838">
        <w:rPr>
          <w:rFonts w:ascii="Times New Roman" w:hAnsi="Times New Roman" w:cs="Times New Roman"/>
          <w:i/>
          <w:iCs/>
          <w:sz w:val="24"/>
          <w:szCs w:val="24"/>
          <w:lang w:val="en-GB"/>
        </w:rPr>
        <w:t xml:space="preserve">. </w:t>
      </w:r>
      <w:r w:rsidRPr="00610838">
        <w:rPr>
          <w:rFonts w:ascii="Times New Roman" w:hAnsi="Times New Roman" w:cs="Times New Roman"/>
          <w:iCs/>
          <w:sz w:val="24"/>
          <w:szCs w:val="24"/>
          <w:lang w:val="en-GB"/>
        </w:rPr>
        <w:t xml:space="preserve">A total of </w:t>
      </w:r>
      <w:r w:rsidRPr="00610838">
        <w:rPr>
          <w:rFonts w:ascii="Times New Roman" w:hAnsi="Times New Roman" w:cs="Times New Roman"/>
          <w:sz w:val="24"/>
          <w:szCs w:val="24"/>
          <w:lang w:val="en-GB"/>
        </w:rPr>
        <w:t xml:space="preserve">20 million raw paired-end reads with an average length of 145 bp were obtained per sample. These data were trimmed prior to alignment by applying a sliding window approach with the setting 30:15. Additionally, the first 15 bases were removed and the following bases needed to exceed a quality of 30 </w:t>
      </w:r>
      <w:proofErr w:type="spellStart"/>
      <w:r w:rsidRPr="00610838">
        <w:rPr>
          <w:rFonts w:ascii="Times New Roman" w:hAnsi="Times New Roman" w:cs="Times New Roman"/>
          <w:sz w:val="24"/>
          <w:szCs w:val="24"/>
          <w:lang w:val="en-GB"/>
        </w:rPr>
        <w:t>phred</w:t>
      </w:r>
      <w:proofErr w:type="spellEnd"/>
      <w:r w:rsidRPr="00610838">
        <w:rPr>
          <w:rFonts w:ascii="Times New Roman" w:hAnsi="Times New Roman" w:cs="Times New Roman"/>
          <w:sz w:val="24"/>
          <w:szCs w:val="24"/>
          <w:lang w:val="en-GB"/>
        </w:rPr>
        <w:t xml:space="preserve"> score. MACE was performed by </w:t>
      </w:r>
      <w:proofErr w:type="spellStart"/>
      <w:r w:rsidRPr="00610838">
        <w:rPr>
          <w:rFonts w:ascii="Times New Roman" w:hAnsi="Times New Roman" w:cs="Times New Roman"/>
          <w:sz w:val="24"/>
          <w:szCs w:val="24"/>
          <w:lang w:val="en-GB"/>
        </w:rPr>
        <w:t>GenXPro</w:t>
      </w:r>
      <w:proofErr w:type="spellEnd"/>
      <w:r w:rsidRPr="00610838">
        <w:rPr>
          <w:rFonts w:ascii="Times New Roman" w:hAnsi="Times New Roman" w:cs="Times New Roman"/>
          <w:sz w:val="24"/>
          <w:szCs w:val="24"/>
          <w:lang w:val="en-GB"/>
        </w:rPr>
        <w:t xml:space="preserve"> GmbH</w:t>
      </w:r>
      <w:r w:rsidRPr="00610838">
        <w:rPr>
          <w:rFonts w:ascii="Times New Roman" w:hAnsi="Times New Roman" w:cs="Times New Roman"/>
          <w:i/>
          <w:iCs/>
          <w:sz w:val="24"/>
          <w:szCs w:val="24"/>
          <w:lang w:val="en-GB"/>
        </w:rPr>
        <w:t>,</w:t>
      </w:r>
      <w:r w:rsidRPr="00610838">
        <w:rPr>
          <w:rFonts w:ascii="Times New Roman" w:hAnsi="Times New Roman" w:cs="Times New Roman"/>
          <w:sz w:val="24"/>
          <w:szCs w:val="24"/>
          <w:lang w:val="en-GB"/>
        </w:rPr>
        <w:t xml:space="preserve"> which generated an average of 8 million reads per sample with a sequencing read length ranging from 17 to 68 bp. The rather short reads were trimmed before alignment by removing the 10 bp on the head of each read and omitting all reads shorter than 40 bp. </w:t>
      </w:r>
      <w:proofErr w:type="spellStart"/>
      <w:r w:rsidRPr="00610838">
        <w:rPr>
          <w:rFonts w:ascii="Times New Roman" w:hAnsi="Times New Roman" w:cs="Times New Roman"/>
          <w:sz w:val="24"/>
          <w:szCs w:val="24"/>
          <w:lang w:val="en-GB"/>
        </w:rPr>
        <w:t>WGrS</w:t>
      </w:r>
      <w:proofErr w:type="spellEnd"/>
      <w:r w:rsidRPr="00610838">
        <w:rPr>
          <w:rFonts w:ascii="Times New Roman" w:hAnsi="Times New Roman" w:cs="Times New Roman"/>
          <w:sz w:val="24"/>
          <w:szCs w:val="24"/>
          <w:lang w:val="en-GB"/>
        </w:rPr>
        <w:t xml:space="preserve"> steps were performed by </w:t>
      </w:r>
      <w:proofErr w:type="spellStart"/>
      <w:r w:rsidRPr="00610838">
        <w:rPr>
          <w:rFonts w:ascii="Times New Roman" w:hAnsi="Times New Roman" w:cs="Times New Roman"/>
          <w:sz w:val="24"/>
          <w:szCs w:val="24"/>
          <w:lang w:val="en-GB"/>
        </w:rPr>
        <w:t>Novogene</w:t>
      </w:r>
      <w:proofErr w:type="spellEnd"/>
      <w:r w:rsidRPr="00610838">
        <w:rPr>
          <w:rFonts w:ascii="Times New Roman" w:hAnsi="Times New Roman" w:cs="Times New Roman"/>
          <w:sz w:val="24"/>
          <w:szCs w:val="24"/>
          <w:lang w:val="en-GB"/>
        </w:rPr>
        <w:t xml:space="preserve"> (UK) Company Limited (Cambridge, UK), which generated 400 million high-quality paired-end reads with an average length of 150 bp per sample. Quality adjustment was not necessary, as the read quality was sufficiently high for processing.</w:t>
      </w:r>
    </w:p>
    <w:p w14:paraId="0F5C33B6" w14:textId="77777777" w:rsidR="00E81C21" w:rsidRPr="00610838" w:rsidRDefault="00E81C21" w:rsidP="00D055EC">
      <w:pPr>
        <w:pStyle w:val="berschrift2"/>
        <w:rPr>
          <w:rFonts w:ascii="Times New Roman" w:hAnsi="Times New Roman" w:cs="Times New Roman"/>
          <w:b/>
          <w:bCs/>
          <w:color w:val="auto"/>
          <w:sz w:val="24"/>
          <w:szCs w:val="24"/>
          <w:lang w:val="en-GB"/>
        </w:rPr>
      </w:pPr>
      <w:r w:rsidRPr="00610838">
        <w:rPr>
          <w:rFonts w:ascii="Times New Roman" w:hAnsi="Times New Roman" w:cs="Times New Roman"/>
          <w:b/>
          <w:bCs/>
          <w:color w:val="auto"/>
          <w:sz w:val="24"/>
          <w:szCs w:val="24"/>
          <w:lang w:val="en-GB"/>
        </w:rPr>
        <w:t>Grain yield measurements</w:t>
      </w:r>
    </w:p>
    <w:p w14:paraId="5F388696" w14:textId="77777777" w:rsidR="00D055EC" w:rsidRPr="00610838" w:rsidRDefault="00D055EC" w:rsidP="00D055EC">
      <w:pPr>
        <w:spacing w:after="0"/>
        <w:jc w:val="both"/>
        <w:rPr>
          <w:rFonts w:ascii="Times New Roman" w:hAnsi="Times New Roman" w:cs="Times New Roman"/>
          <w:sz w:val="24"/>
          <w:szCs w:val="24"/>
          <w:lang w:val="en-GB"/>
        </w:rPr>
      </w:pPr>
      <w:r w:rsidRPr="00610838">
        <w:rPr>
          <w:rFonts w:ascii="Times New Roman" w:hAnsi="Times New Roman" w:cs="Times New Roman"/>
          <w:sz w:val="24"/>
          <w:szCs w:val="24"/>
          <w:lang w:val="en-GB"/>
        </w:rPr>
        <w:t>The yield of the conventional population ranged from 0.67 to 1.2 times of the average yield of the first 3 years (43 to 77 dt/ha). The organic population yield ranged from 0.6 to 1.4 times until 2015 (27 to 59 dt/ha). The years 2007 and 2016 were characterised by massive yield reductions in the organic system of 41% and 31%, respectively, as compared to the previous years. In both years, mild and wet periods were observed during the crop development and anthesis stages. The yield reduction to 0.89 in 2016 was followed by three extraordinarily dry years, which reduced the yield ratio to an absolute minimum of the entire experimental period in 2019 (0.48 times; 20.53 dt/ha). As compared with the organic system, the yield levels in the conventional system recovered rather quickly after 2016 (yield reduction of 27% in 2016). In 2017, the ratio decreased to 0.64 times (41 dt/ha), followed by an increase to 0.92 times (59 dt/ha) in the dry year of 2018 (</w:t>
      </w:r>
      <w:r w:rsidRPr="00610838">
        <w:rPr>
          <w:rFonts w:ascii="Times New Roman" w:hAnsi="Times New Roman" w:cs="Times New Roman"/>
          <w:b/>
          <w:bCs/>
          <w:sz w:val="24"/>
          <w:szCs w:val="24"/>
          <w:lang w:val="en-GB"/>
        </w:rPr>
        <w:t xml:space="preserve">Supplementary Figure </w:t>
      </w:r>
      <w:r w:rsidR="00C427FD" w:rsidRPr="00610838">
        <w:rPr>
          <w:rFonts w:ascii="Times New Roman" w:hAnsi="Times New Roman" w:cs="Times New Roman"/>
          <w:b/>
          <w:bCs/>
          <w:sz w:val="24"/>
          <w:szCs w:val="24"/>
          <w:lang w:val="en-GB"/>
        </w:rPr>
        <w:t>5</w:t>
      </w:r>
      <w:r w:rsidRPr="00610838">
        <w:rPr>
          <w:rFonts w:ascii="Times New Roman" w:hAnsi="Times New Roman" w:cs="Times New Roman"/>
          <w:sz w:val="24"/>
          <w:szCs w:val="24"/>
          <w:lang w:val="en-GB"/>
        </w:rPr>
        <w:t>).</w:t>
      </w:r>
    </w:p>
    <w:p w14:paraId="16900E8C" w14:textId="77777777" w:rsidR="00E81C21" w:rsidRPr="00610838" w:rsidRDefault="00E81C21" w:rsidP="00AC1B87">
      <w:pPr>
        <w:jc w:val="both"/>
        <w:rPr>
          <w:rFonts w:ascii="Times New Roman" w:eastAsiaTheme="majorEastAsia" w:hAnsi="Times New Roman" w:cs="Times New Roman"/>
          <w:b/>
          <w:bCs/>
          <w:sz w:val="24"/>
          <w:szCs w:val="24"/>
          <w:lang w:val="en-GB"/>
        </w:rPr>
      </w:pPr>
    </w:p>
    <w:p w14:paraId="2F8AD379" w14:textId="77777777" w:rsidR="008A43E1" w:rsidRPr="00610838" w:rsidRDefault="008A43E1" w:rsidP="00AC1B87">
      <w:pPr>
        <w:jc w:val="both"/>
        <w:rPr>
          <w:rFonts w:ascii="Times New Roman" w:eastAsiaTheme="majorEastAsia" w:hAnsi="Times New Roman" w:cs="Times New Roman"/>
          <w:bCs/>
          <w:sz w:val="24"/>
          <w:szCs w:val="24"/>
          <w:lang w:val="en-GB"/>
        </w:rPr>
      </w:pPr>
    </w:p>
    <w:p w14:paraId="7BDF8EC9" w14:textId="77777777" w:rsidR="008A3324" w:rsidRPr="00610838" w:rsidRDefault="008A3324" w:rsidP="00CC07ED">
      <w:pPr>
        <w:jc w:val="both"/>
        <w:rPr>
          <w:rFonts w:ascii="Times New Roman" w:hAnsi="Times New Roman" w:cs="Times New Roman"/>
          <w:lang w:val="en-GB"/>
        </w:rPr>
      </w:pPr>
      <w:r w:rsidRPr="00610838">
        <w:rPr>
          <w:rFonts w:ascii="Times New Roman" w:hAnsi="Times New Roman" w:cs="Times New Roman"/>
          <w:lang w:val="en-GB"/>
        </w:rPr>
        <w:br w:type="page"/>
      </w:r>
    </w:p>
    <w:p w14:paraId="4A75C050" w14:textId="77777777" w:rsidR="004C22A7" w:rsidRPr="00610838" w:rsidRDefault="00030851" w:rsidP="004D29DB">
      <w:pPr>
        <w:pStyle w:val="berschrift1"/>
        <w:rPr>
          <w:rFonts w:ascii="Times New Roman" w:hAnsi="Times New Roman" w:cs="Times New Roman"/>
          <w:color w:val="auto"/>
          <w:lang w:val="en-GB"/>
        </w:rPr>
      </w:pPr>
      <w:r w:rsidRPr="00610838">
        <w:rPr>
          <w:rFonts w:ascii="Times New Roman" w:hAnsi="Times New Roman" w:cs="Times New Roman"/>
          <w:color w:val="auto"/>
          <w:lang w:val="en-GB"/>
        </w:rPr>
        <w:lastRenderedPageBreak/>
        <w:t>2 Supplementary Tables</w:t>
      </w:r>
    </w:p>
    <w:p w14:paraId="225F8A51" w14:textId="77777777" w:rsidR="004958C0" w:rsidRPr="00610838" w:rsidRDefault="004958C0" w:rsidP="004958C0">
      <w:pPr>
        <w:rPr>
          <w:lang w:val="en-GB"/>
        </w:rPr>
      </w:pPr>
    </w:p>
    <w:p w14:paraId="464A0351" w14:textId="6A3FE804" w:rsidR="00AC7CBC" w:rsidRPr="00610838" w:rsidRDefault="004958C0" w:rsidP="004D29DB">
      <w:pPr>
        <w:rPr>
          <w:rFonts w:ascii="Times New Roman" w:hAnsi="Times New Roman" w:cs="Times New Roman"/>
          <w:lang w:val="en-GB"/>
        </w:rPr>
      </w:pPr>
      <w:bookmarkStart w:id="18" w:name="_Hlk54769194"/>
      <w:r w:rsidRPr="00610838">
        <w:rPr>
          <w:rFonts w:ascii="Times New Roman" w:hAnsi="Times New Roman" w:cs="Times New Roman"/>
          <w:b/>
          <w:bCs/>
          <w:sz w:val="20"/>
          <w:szCs w:val="24"/>
          <w:lang w:val="en-GB"/>
        </w:rPr>
        <w:t xml:space="preserve">Supplementary Table 1. Variation between samples of the same population and generation. </w:t>
      </w:r>
      <w:r w:rsidRPr="00610838">
        <w:rPr>
          <w:rFonts w:ascii="Times New Roman" w:hAnsi="Times New Roman" w:cs="Times New Roman"/>
          <w:iCs/>
          <w:sz w:val="20"/>
          <w:szCs w:val="24"/>
          <w:lang w:val="en-GB"/>
        </w:rPr>
        <w:t>Two samples per combination were sequenced and the variation was calculated by a negative binomial distribution in a generalised linear model, based on the gene-based haplotype frequencies. Values of &lt; 0.0</w:t>
      </w:r>
      <w:r w:rsidR="00030FA5">
        <w:rPr>
          <w:rFonts w:ascii="Times New Roman" w:hAnsi="Times New Roman" w:cs="Times New Roman"/>
          <w:iCs/>
          <w:sz w:val="20"/>
          <w:szCs w:val="24"/>
          <w:lang w:val="en-GB"/>
        </w:rPr>
        <w:t>5</w:t>
      </w:r>
      <w:r w:rsidRPr="00610838">
        <w:rPr>
          <w:rFonts w:ascii="Times New Roman" w:hAnsi="Times New Roman" w:cs="Times New Roman"/>
          <w:iCs/>
          <w:sz w:val="20"/>
          <w:szCs w:val="24"/>
          <w:lang w:val="en-GB"/>
        </w:rPr>
        <w:t xml:space="preserve"> are assumed to highlight a distinct variation between the two tested samples</w:t>
      </w:r>
    </w:p>
    <w:tbl>
      <w:tblPr>
        <w:tblStyle w:val="PlainTable21"/>
        <w:tblW w:w="5000" w:type="pct"/>
        <w:tblLook w:val="04A0" w:firstRow="1" w:lastRow="0" w:firstColumn="1" w:lastColumn="0" w:noHBand="0" w:noVBand="1"/>
      </w:tblPr>
      <w:tblGrid>
        <w:gridCol w:w="1916"/>
        <w:gridCol w:w="2767"/>
        <w:gridCol w:w="4389"/>
      </w:tblGrid>
      <w:tr w:rsidR="00607945" w:rsidRPr="00610838" w14:paraId="17926495" w14:textId="77777777" w:rsidTr="001A7858">
        <w:trPr>
          <w:cnfStyle w:val="100000000000" w:firstRow="1" w:lastRow="0" w:firstColumn="0" w:lastColumn="0" w:oddVBand="0" w:evenVBand="0" w:oddHBand="0"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056" w:type="pct"/>
            <w:noWrap/>
          </w:tcPr>
          <w:p w14:paraId="206E159E" w14:textId="77777777" w:rsidR="00AC7CBC" w:rsidRPr="00610838" w:rsidRDefault="00AC7CBC" w:rsidP="004D29DB">
            <w:pPr>
              <w:spacing w:line="276" w:lineRule="auto"/>
              <w:rPr>
                <w:rFonts w:ascii="Times New Roman" w:eastAsia="Times New Roman" w:hAnsi="Times New Roman" w:cs="Times New Roman"/>
                <w:sz w:val="24"/>
                <w:szCs w:val="24"/>
                <w:lang w:val="en-GB"/>
              </w:rPr>
            </w:pPr>
            <w:bookmarkStart w:id="19" w:name="_Hlk53045954"/>
          </w:p>
        </w:tc>
        <w:tc>
          <w:tcPr>
            <w:tcW w:w="1525" w:type="pct"/>
          </w:tcPr>
          <w:p w14:paraId="3A40040C" w14:textId="77777777" w:rsidR="00AC7CBC" w:rsidRPr="00610838" w:rsidRDefault="00AC7CBC" w:rsidP="004D29DB">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610838">
              <w:rPr>
                <w:rFonts w:ascii="Times New Roman" w:eastAsia="Times New Roman" w:hAnsi="Times New Roman" w:cs="Times New Roman"/>
                <w:lang w:val="en-GB"/>
              </w:rPr>
              <w:t xml:space="preserve">Organic </w:t>
            </w:r>
            <w:r w:rsidR="00E23A1C" w:rsidRPr="00610838">
              <w:rPr>
                <w:rFonts w:ascii="Times New Roman" w:eastAsia="Times New Roman" w:hAnsi="Times New Roman" w:cs="Times New Roman"/>
                <w:lang w:val="en-GB"/>
              </w:rPr>
              <w:t>e</w:t>
            </w:r>
            <w:r w:rsidRPr="00610838">
              <w:rPr>
                <w:rFonts w:ascii="Times New Roman" w:eastAsia="Times New Roman" w:hAnsi="Times New Roman" w:cs="Times New Roman"/>
                <w:lang w:val="en-GB"/>
              </w:rPr>
              <w:t>nvironment</w:t>
            </w:r>
          </w:p>
        </w:tc>
        <w:tc>
          <w:tcPr>
            <w:tcW w:w="2419" w:type="pct"/>
          </w:tcPr>
          <w:p w14:paraId="44E81C4C" w14:textId="77777777" w:rsidR="00AC7CBC" w:rsidRPr="00610838" w:rsidRDefault="00AC7CBC" w:rsidP="004D29DB">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610838">
              <w:rPr>
                <w:rFonts w:ascii="Times New Roman" w:eastAsia="Times New Roman" w:hAnsi="Times New Roman" w:cs="Times New Roman"/>
                <w:lang w:val="en-GB"/>
              </w:rPr>
              <w:t xml:space="preserve">Conventional </w:t>
            </w:r>
            <w:r w:rsidR="00E23A1C" w:rsidRPr="00610838">
              <w:rPr>
                <w:rFonts w:ascii="Times New Roman" w:eastAsia="Times New Roman" w:hAnsi="Times New Roman" w:cs="Times New Roman"/>
                <w:lang w:val="en-GB"/>
              </w:rPr>
              <w:t>e</w:t>
            </w:r>
            <w:r w:rsidRPr="00610838">
              <w:rPr>
                <w:rFonts w:ascii="Times New Roman" w:eastAsia="Times New Roman" w:hAnsi="Times New Roman" w:cs="Times New Roman"/>
                <w:lang w:val="en-GB"/>
              </w:rPr>
              <w:t>nvironment</w:t>
            </w:r>
          </w:p>
        </w:tc>
      </w:tr>
      <w:tr w:rsidR="00607945" w:rsidRPr="00610838" w14:paraId="4852FB9A" w14:textId="77777777" w:rsidTr="001A785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56" w:type="pct"/>
            <w:noWrap/>
          </w:tcPr>
          <w:p w14:paraId="66295ADA" w14:textId="77777777" w:rsidR="00AC7CBC" w:rsidRPr="00610838" w:rsidRDefault="00AC7CBC" w:rsidP="004D29DB">
            <w:pPr>
              <w:spacing w:line="276" w:lineRule="auto"/>
              <w:rPr>
                <w:rFonts w:ascii="Times New Roman" w:eastAsia="Times New Roman" w:hAnsi="Times New Roman" w:cs="Times New Roman"/>
                <w:i/>
                <w:iCs/>
                <w:lang w:val="en-GB"/>
              </w:rPr>
            </w:pPr>
            <w:r w:rsidRPr="00610838">
              <w:rPr>
                <w:rFonts w:ascii="Times New Roman" w:eastAsia="Times New Roman" w:hAnsi="Times New Roman" w:cs="Times New Roman"/>
                <w:i/>
                <w:iCs/>
                <w:lang w:val="en-GB"/>
              </w:rPr>
              <w:t>F3</w:t>
            </w:r>
          </w:p>
        </w:tc>
        <w:tc>
          <w:tcPr>
            <w:tcW w:w="1525" w:type="pct"/>
            <w:noWrap/>
          </w:tcPr>
          <w:p w14:paraId="5B8F5C46" w14:textId="77777777" w:rsidR="00AC7CBC" w:rsidRPr="00610838" w:rsidRDefault="00AC7CBC" w:rsidP="004D29D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610838">
              <w:rPr>
                <w:rFonts w:ascii="Times New Roman" w:eastAsia="Times New Roman" w:hAnsi="Times New Roman" w:cs="Times New Roman"/>
                <w:lang w:val="en-GB"/>
              </w:rPr>
              <w:t>0.706012304</w:t>
            </w:r>
          </w:p>
        </w:tc>
        <w:tc>
          <w:tcPr>
            <w:tcW w:w="2419" w:type="pct"/>
            <w:noWrap/>
          </w:tcPr>
          <w:p w14:paraId="25D3C5AB" w14:textId="77777777" w:rsidR="00AC7CBC" w:rsidRPr="00610838" w:rsidRDefault="00AC7CBC" w:rsidP="004D29D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610838">
              <w:rPr>
                <w:rFonts w:ascii="Times New Roman" w:eastAsia="Times New Roman" w:hAnsi="Times New Roman" w:cs="Times New Roman"/>
                <w:lang w:val="en-GB"/>
              </w:rPr>
              <w:t>0.706012304</w:t>
            </w:r>
          </w:p>
        </w:tc>
      </w:tr>
      <w:tr w:rsidR="00607945" w:rsidRPr="00610838" w14:paraId="307CC4E4" w14:textId="77777777" w:rsidTr="001A7858">
        <w:trPr>
          <w:trHeight w:val="300"/>
        </w:trPr>
        <w:tc>
          <w:tcPr>
            <w:cnfStyle w:val="001000000000" w:firstRow="0" w:lastRow="0" w:firstColumn="1" w:lastColumn="0" w:oddVBand="0" w:evenVBand="0" w:oddHBand="0" w:evenHBand="0" w:firstRowFirstColumn="0" w:firstRowLastColumn="0" w:lastRowFirstColumn="0" w:lastRowLastColumn="0"/>
            <w:tcW w:w="1056" w:type="pct"/>
            <w:noWrap/>
          </w:tcPr>
          <w:p w14:paraId="328B0B8D" w14:textId="77777777" w:rsidR="00AC7CBC" w:rsidRPr="00610838" w:rsidRDefault="00AC7CBC" w:rsidP="004D29DB">
            <w:pPr>
              <w:spacing w:line="276" w:lineRule="auto"/>
              <w:rPr>
                <w:rFonts w:ascii="Times New Roman" w:eastAsia="Times New Roman" w:hAnsi="Times New Roman" w:cs="Times New Roman"/>
                <w:i/>
                <w:iCs/>
                <w:lang w:val="en-GB"/>
              </w:rPr>
            </w:pPr>
            <w:r w:rsidRPr="00610838">
              <w:rPr>
                <w:rFonts w:ascii="Times New Roman" w:eastAsia="Times New Roman" w:hAnsi="Times New Roman" w:cs="Times New Roman"/>
                <w:i/>
                <w:iCs/>
                <w:lang w:val="en-GB"/>
              </w:rPr>
              <w:t>F12</w:t>
            </w:r>
          </w:p>
        </w:tc>
        <w:tc>
          <w:tcPr>
            <w:tcW w:w="1525" w:type="pct"/>
            <w:noWrap/>
          </w:tcPr>
          <w:p w14:paraId="1B46FA70" w14:textId="77777777" w:rsidR="00AC7CBC" w:rsidRPr="00610838" w:rsidRDefault="00AC7CBC" w:rsidP="004D29D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610838">
              <w:rPr>
                <w:rFonts w:ascii="Times New Roman" w:eastAsia="Times New Roman" w:hAnsi="Times New Roman" w:cs="Times New Roman"/>
                <w:lang w:val="en-GB"/>
              </w:rPr>
              <w:t>1.79E-29</w:t>
            </w:r>
            <w:r w:rsidR="00BA7255" w:rsidRPr="00610838">
              <w:rPr>
                <w:rFonts w:ascii="Times New Roman" w:eastAsia="Times New Roman" w:hAnsi="Times New Roman" w:cs="Times New Roman"/>
                <w:lang w:val="en-GB"/>
              </w:rPr>
              <w:t>***</w:t>
            </w:r>
          </w:p>
        </w:tc>
        <w:tc>
          <w:tcPr>
            <w:tcW w:w="2419" w:type="pct"/>
            <w:noWrap/>
          </w:tcPr>
          <w:p w14:paraId="0D0268D7" w14:textId="77777777" w:rsidR="00AC7CBC" w:rsidRPr="00610838" w:rsidRDefault="00AC7CBC" w:rsidP="004D29D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610838">
              <w:rPr>
                <w:rFonts w:ascii="Times New Roman" w:eastAsia="Times New Roman" w:hAnsi="Times New Roman" w:cs="Times New Roman"/>
                <w:lang w:val="en-GB"/>
              </w:rPr>
              <w:t>5.56E-11</w:t>
            </w:r>
            <w:r w:rsidR="00BA7255" w:rsidRPr="00610838">
              <w:rPr>
                <w:rFonts w:ascii="Times New Roman" w:eastAsia="Times New Roman" w:hAnsi="Times New Roman" w:cs="Times New Roman"/>
                <w:lang w:val="en-GB"/>
              </w:rPr>
              <w:t>***</w:t>
            </w:r>
          </w:p>
        </w:tc>
      </w:tr>
      <w:tr w:rsidR="00607945" w:rsidRPr="00610838" w14:paraId="12A63495" w14:textId="77777777" w:rsidTr="001A785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56" w:type="pct"/>
            <w:noWrap/>
          </w:tcPr>
          <w:p w14:paraId="3D9A2EED" w14:textId="77777777" w:rsidR="00AC7CBC" w:rsidRPr="00610838" w:rsidRDefault="00AC7CBC" w:rsidP="004D29DB">
            <w:pPr>
              <w:spacing w:line="276" w:lineRule="auto"/>
              <w:rPr>
                <w:rFonts w:ascii="Times New Roman" w:eastAsia="Times New Roman" w:hAnsi="Times New Roman" w:cs="Times New Roman"/>
                <w:i/>
                <w:iCs/>
                <w:lang w:val="en-GB"/>
              </w:rPr>
            </w:pPr>
            <w:r w:rsidRPr="00610838">
              <w:rPr>
                <w:rFonts w:ascii="Times New Roman" w:eastAsia="Times New Roman" w:hAnsi="Times New Roman" w:cs="Times New Roman"/>
                <w:i/>
                <w:iCs/>
                <w:lang w:val="en-GB"/>
              </w:rPr>
              <w:t>F16</w:t>
            </w:r>
          </w:p>
        </w:tc>
        <w:tc>
          <w:tcPr>
            <w:tcW w:w="1525" w:type="pct"/>
            <w:noWrap/>
          </w:tcPr>
          <w:p w14:paraId="5F071A9B" w14:textId="77777777" w:rsidR="00AC7CBC" w:rsidRPr="00610838" w:rsidRDefault="00AC7CBC" w:rsidP="004D29D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610838">
              <w:rPr>
                <w:rFonts w:ascii="Times New Roman" w:eastAsia="Times New Roman" w:hAnsi="Times New Roman" w:cs="Times New Roman"/>
                <w:lang w:val="en-GB"/>
              </w:rPr>
              <w:t>0.003433514</w:t>
            </w:r>
            <w:r w:rsidR="00BA7255" w:rsidRPr="00610838">
              <w:rPr>
                <w:rFonts w:ascii="Times New Roman" w:eastAsia="Times New Roman" w:hAnsi="Times New Roman" w:cs="Times New Roman"/>
                <w:lang w:val="en-GB"/>
              </w:rPr>
              <w:t>**</w:t>
            </w:r>
          </w:p>
        </w:tc>
        <w:tc>
          <w:tcPr>
            <w:tcW w:w="2419" w:type="pct"/>
            <w:noWrap/>
          </w:tcPr>
          <w:p w14:paraId="2E94845A" w14:textId="77777777" w:rsidR="00AC7CBC" w:rsidRPr="00610838" w:rsidRDefault="00AC7CBC" w:rsidP="004D29D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610838">
              <w:rPr>
                <w:rFonts w:ascii="Times New Roman" w:eastAsia="Times New Roman" w:hAnsi="Times New Roman" w:cs="Times New Roman"/>
                <w:lang w:val="en-GB"/>
              </w:rPr>
              <w:t>0.159250979</w:t>
            </w:r>
          </w:p>
        </w:tc>
      </w:tr>
      <w:tr w:rsidR="00607945" w:rsidRPr="00610838" w14:paraId="199DC86F" w14:textId="77777777" w:rsidTr="001A7858">
        <w:trPr>
          <w:trHeight w:val="300"/>
        </w:trPr>
        <w:tc>
          <w:tcPr>
            <w:cnfStyle w:val="001000000000" w:firstRow="0" w:lastRow="0" w:firstColumn="1" w:lastColumn="0" w:oddVBand="0" w:evenVBand="0" w:oddHBand="0" w:evenHBand="0" w:firstRowFirstColumn="0" w:firstRowLastColumn="0" w:lastRowFirstColumn="0" w:lastRowLastColumn="0"/>
            <w:tcW w:w="1056" w:type="pct"/>
            <w:noWrap/>
          </w:tcPr>
          <w:p w14:paraId="0D3C0156" w14:textId="77777777" w:rsidR="00AC7CBC" w:rsidRPr="00610838" w:rsidRDefault="00AC7CBC" w:rsidP="004D29DB">
            <w:pPr>
              <w:spacing w:line="276" w:lineRule="auto"/>
              <w:rPr>
                <w:rFonts w:ascii="Times New Roman" w:eastAsia="Times New Roman" w:hAnsi="Times New Roman" w:cs="Times New Roman"/>
                <w:i/>
                <w:iCs/>
                <w:lang w:val="en-GB"/>
              </w:rPr>
            </w:pPr>
            <w:r w:rsidRPr="00610838">
              <w:rPr>
                <w:rFonts w:ascii="Times New Roman" w:eastAsia="Times New Roman" w:hAnsi="Times New Roman" w:cs="Times New Roman"/>
                <w:i/>
                <w:iCs/>
                <w:lang w:val="en-GB"/>
              </w:rPr>
              <w:t>F22</w:t>
            </w:r>
          </w:p>
        </w:tc>
        <w:tc>
          <w:tcPr>
            <w:tcW w:w="1525" w:type="pct"/>
            <w:noWrap/>
          </w:tcPr>
          <w:p w14:paraId="520C057A" w14:textId="77777777" w:rsidR="00AC7CBC" w:rsidRPr="00610838" w:rsidRDefault="00AC7CBC" w:rsidP="004D29D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610838">
              <w:rPr>
                <w:rFonts w:ascii="Times New Roman" w:eastAsia="Times New Roman" w:hAnsi="Times New Roman" w:cs="Times New Roman"/>
                <w:lang w:val="en-GB"/>
              </w:rPr>
              <w:t>0.078228736</w:t>
            </w:r>
          </w:p>
        </w:tc>
        <w:tc>
          <w:tcPr>
            <w:tcW w:w="2419" w:type="pct"/>
            <w:noWrap/>
          </w:tcPr>
          <w:p w14:paraId="323AECDE" w14:textId="77777777" w:rsidR="00AC7CBC" w:rsidRPr="00610838" w:rsidRDefault="00AC7CBC" w:rsidP="004D29D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GB"/>
              </w:rPr>
            </w:pPr>
            <w:r w:rsidRPr="00610838">
              <w:rPr>
                <w:rFonts w:ascii="Times New Roman" w:eastAsia="Times New Roman" w:hAnsi="Times New Roman" w:cs="Times New Roman"/>
                <w:lang w:val="en-GB"/>
              </w:rPr>
              <w:t>0.675195917</w:t>
            </w:r>
          </w:p>
        </w:tc>
      </w:tr>
      <w:tr w:rsidR="00607945" w:rsidRPr="00610838" w14:paraId="15D139D3" w14:textId="77777777" w:rsidTr="001A785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56" w:type="pct"/>
            <w:noWrap/>
          </w:tcPr>
          <w:p w14:paraId="551EFE40" w14:textId="77777777" w:rsidR="00AC7CBC" w:rsidRPr="00610838" w:rsidRDefault="00AC7CBC" w:rsidP="004D29DB">
            <w:pPr>
              <w:spacing w:line="276" w:lineRule="auto"/>
              <w:rPr>
                <w:rFonts w:ascii="Times New Roman" w:eastAsia="Times New Roman" w:hAnsi="Times New Roman" w:cs="Times New Roman"/>
                <w:i/>
                <w:iCs/>
                <w:lang w:val="en-GB"/>
              </w:rPr>
            </w:pPr>
            <w:r w:rsidRPr="00610838">
              <w:rPr>
                <w:rFonts w:ascii="Times New Roman" w:eastAsia="Times New Roman" w:hAnsi="Times New Roman" w:cs="Times New Roman"/>
                <w:i/>
                <w:iCs/>
                <w:lang w:val="en-GB"/>
              </w:rPr>
              <w:t>F23</w:t>
            </w:r>
          </w:p>
        </w:tc>
        <w:tc>
          <w:tcPr>
            <w:tcW w:w="1525" w:type="pct"/>
            <w:noWrap/>
          </w:tcPr>
          <w:p w14:paraId="210CB25F" w14:textId="77777777" w:rsidR="00AC7CBC" w:rsidRPr="00610838" w:rsidRDefault="00AC7CBC" w:rsidP="004D29D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610838">
              <w:rPr>
                <w:rFonts w:ascii="Times New Roman" w:eastAsia="Times New Roman" w:hAnsi="Times New Roman" w:cs="Times New Roman"/>
                <w:lang w:val="en-GB"/>
              </w:rPr>
              <w:t>4.09E-35</w:t>
            </w:r>
            <w:r w:rsidR="00BA7255" w:rsidRPr="00610838">
              <w:rPr>
                <w:rFonts w:ascii="Times New Roman" w:eastAsia="Times New Roman" w:hAnsi="Times New Roman" w:cs="Times New Roman"/>
                <w:lang w:val="en-GB"/>
              </w:rPr>
              <w:t>***</w:t>
            </w:r>
          </w:p>
        </w:tc>
        <w:tc>
          <w:tcPr>
            <w:tcW w:w="2419" w:type="pct"/>
            <w:noWrap/>
          </w:tcPr>
          <w:p w14:paraId="7F23A72C" w14:textId="77777777" w:rsidR="00AC7CBC" w:rsidRPr="00610838" w:rsidRDefault="00AC7CBC" w:rsidP="004D29D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GB"/>
              </w:rPr>
            </w:pPr>
            <w:r w:rsidRPr="00610838">
              <w:rPr>
                <w:rFonts w:ascii="Times New Roman" w:eastAsia="Times New Roman" w:hAnsi="Times New Roman" w:cs="Times New Roman"/>
                <w:lang w:val="en-GB"/>
              </w:rPr>
              <w:t>0.844952478</w:t>
            </w:r>
          </w:p>
        </w:tc>
      </w:tr>
    </w:tbl>
    <w:p w14:paraId="3AC4F9C4" w14:textId="77777777" w:rsidR="0022643E" w:rsidRDefault="0022643E" w:rsidP="004958C0">
      <w:pPr>
        <w:rPr>
          <w:rFonts w:ascii="Times New Roman" w:hAnsi="Times New Roman" w:cs="Times New Roman"/>
          <w:iCs/>
          <w:sz w:val="20"/>
          <w:szCs w:val="24"/>
          <w:lang w:val="en-GB"/>
        </w:rPr>
      </w:pPr>
      <w:bookmarkStart w:id="20" w:name="_Hlk53045942"/>
      <w:bookmarkEnd w:id="19"/>
    </w:p>
    <w:bookmarkEnd w:id="20"/>
    <w:p w14:paraId="718705B9" w14:textId="77777777" w:rsidR="00714C26" w:rsidRDefault="00714C26" w:rsidP="004958C0">
      <w:pPr>
        <w:rPr>
          <w:rFonts w:ascii="Times New Roman" w:hAnsi="Times New Roman" w:cs="Times New Roman"/>
          <w:iCs/>
          <w:sz w:val="20"/>
          <w:szCs w:val="24"/>
          <w:lang w:val="en-GB"/>
        </w:rPr>
      </w:pPr>
    </w:p>
    <w:p w14:paraId="4A07E4CA" w14:textId="655FADE6" w:rsidR="0022643E" w:rsidRPr="00610838" w:rsidRDefault="0022643E" w:rsidP="0022643E">
      <w:pPr>
        <w:jc w:val="both"/>
        <w:rPr>
          <w:rFonts w:ascii="Times New Roman" w:hAnsi="Times New Roman" w:cs="Times New Roman"/>
          <w:iCs/>
          <w:sz w:val="20"/>
          <w:szCs w:val="24"/>
          <w:lang w:val="en-GB"/>
        </w:rPr>
      </w:pPr>
      <w:r w:rsidRPr="00610838">
        <w:rPr>
          <w:rFonts w:ascii="Times New Roman" w:hAnsi="Times New Roman" w:cs="Times New Roman"/>
          <w:b/>
          <w:bCs/>
          <w:sz w:val="20"/>
          <w:szCs w:val="24"/>
          <w:lang w:val="en-GB"/>
        </w:rPr>
        <w:t xml:space="preserve">Supplementary Table </w:t>
      </w:r>
      <w:r>
        <w:rPr>
          <w:rFonts w:ascii="Times New Roman" w:hAnsi="Times New Roman" w:cs="Times New Roman"/>
          <w:b/>
          <w:bCs/>
          <w:sz w:val="20"/>
          <w:szCs w:val="24"/>
          <w:lang w:val="en-GB"/>
        </w:rPr>
        <w:t>2</w:t>
      </w:r>
      <w:r w:rsidRPr="00610838">
        <w:rPr>
          <w:rFonts w:ascii="Times New Roman" w:hAnsi="Times New Roman" w:cs="Times New Roman"/>
          <w:b/>
          <w:bCs/>
          <w:sz w:val="20"/>
          <w:szCs w:val="24"/>
          <w:lang w:val="en-GB"/>
        </w:rPr>
        <w:t xml:space="preserve">. Validation of genetic random drift of the observed allele frequencies of 34,237 haplotypes. </w:t>
      </w:r>
      <w:r w:rsidRPr="00610838">
        <w:rPr>
          <w:rFonts w:ascii="Times New Roman" w:hAnsi="Times New Roman" w:cs="Times New Roman"/>
          <w:bCs/>
          <w:sz w:val="20"/>
          <w:szCs w:val="24"/>
          <w:lang w:val="en-GB"/>
        </w:rPr>
        <w:t xml:space="preserve">The </w:t>
      </w:r>
      <w:r w:rsidR="00C41756">
        <w:rPr>
          <w:rFonts w:ascii="Times New Roman" w:hAnsi="Times New Roman" w:cs="Times New Roman"/>
          <w:bCs/>
          <w:sz w:val="20"/>
          <w:szCs w:val="24"/>
          <w:lang w:val="en-GB"/>
        </w:rPr>
        <w:t>median</w:t>
      </w:r>
      <w:r w:rsidRPr="00610838">
        <w:rPr>
          <w:rFonts w:ascii="Times New Roman" w:hAnsi="Times New Roman" w:cs="Times New Roman"/>
          <w:bCs/>
          <w:sz w:val="20"/>
          <w:szCs w:val="24"/>
          <w:lang w:val="en-GB"/>
        </w:rPr>
        <w:t xml:space="preserve"> allele frequency of 1,000 replicates of drift simulation was tested with a negative binomial linear model against the actual observed allele frequencies of genes for each generation. This test was used to check if the simulated and actual data were equal and, if so, the observations were based on random drift only. Values of &lt; 0.001 are assumed to </w:t>
      </w:r>
      <w:r w:rsidRPr="00610838">
        <w:rPr>
          <w:rFonts w:ascii="Times New Roman" w:hAnsi="Times New Roman" w:cs="Times New Roman"/>
          <w:iCs/>
          <w:sz w:val="20"/>
          <w:szCs w:val="24"/>
          <w:lang w:val="en-GB"/>
        </w:rPr>
        <w:t>highlight a distinct variation between the simulated and actual allele frequencies, indicating that the genetic drift did not have the power to explain the majority of observed allele frequency changes over the generations. A – The p-value reports the difference between the organic and conventional against the drift simulated population for each generation separately. The drift allele frequency value of each corresponding haplotype is calculated as median value over the 1,000 iterations. Low p-values indicate high divergence between the drift and the real population sample. Next to the p-values, the average genome-wide wild type allele frequency values are reported in percent for organic, conventional and drift population.</w:t>
      </w:r>
      <w:r>
        <w:rPr>
          <w:rFonts w:ascii="Times New Roman" w:hAnsi="Times New Roman" w:cs="Times New Roman"/>
          <w:iCs/>
          <w:sz w:val="20"/>
          <w:szCs w:val="24"/>
          <w:lang w:val="en-GB"/>
        </w:rPr>
        <w:t xml:space="preserve"> Drift simulation </w:t>
      </w:r>
      <w:r w:rsidR="002136E3">
        <w:rPr>
          <w:rFonts w:ascii="Times New Roman" w:hAnsi="Times New Roman" w:cs="Times New Roman"/>
          <w:iCs/>
          <w:sz w:val="20"/>
          <w:szCs w:val="24"/>
          <w:lang w:val="en-GB"/>
        </w:rPr>
        <w:t xml:space="preserve">was calculated for the following generations based on </w:t>
      </w:r>
      <w:r>
        <w:rPr>
          <w:rFonts w:ascii="Times New Roman" w:hAnsi="Times New Roman" w:cs="Times New Roman"/>
          <w:iCs/>
          <w:sz w:val="20"/>
          <w:szCs w:val="24"/>
          <w:lang w:val="en-GB"/>
        </w:rPr>
        <w:t>the BC</w:t>
      </w:r>
      <w:r w:rsidRPr="00030FA5">
        <w:rPr>
          <w:rFonts w:ascii="Times New Roman" w:hAnsi="Times New Roman" w:cs="Times New Roman"/>
          <w:iCs/>
          <w:sz w:val="20"/>
          <w:szCs w:val="24"/>
          <w:vertAlign w:val="subscript"/>
          <w:lang w:val="en-GB"/>
        </w:rPr>
        <w:t>2</w:t>
      </w:r>
      <w:r>
        <w:rPr>
          <w:rFonts w:ascii="Times New Roman" w:hAnsi="Times New Roman" w:cs="Times New Roman"/>
          <w:iCs/>
          <w:sz w:val="20"/>
          <w:szCs w:val="24"/>
          <w:lang w:val="en-GB"/>
        </w:rPr>
        <w:t>F</w:t>
      </w:r>
      <w:r w:rsidRPr="00030FA5">
        <w:rPr>
          <w:rFonts w:ascii="Times New Roman" w:hAnsi="Times New Roman" w:cs="Times New Roman"/>
          <w:iCs/>
          <w:sz w:val="20"/>
          <w:szCs w:val="24"/>
          <w:vertAlign w:val="subscript"/>
          <w:lang w:val="en-GB"/>
        </w:rPr>
        <w:t>3</w:t>
      </w:r>
      <w:r>
        <w:rPr>
          <w:rFonts w:ascii="Times New Roman" w:hAnsi="Times New Roman" w:cs="Times New Roman"/>
          <w:iCs/>
          <w:sz w:val="20"/>
          <w:szCs w:val="24"/>
          <w:lang w:val="en-GB"/>
        </w:rPr>
        <w:t xml:space="preserve"> gene-haplotypes allele frequency</w:t>
      </w:r>
    </w:p>
    <w:tbl>
      <w:tblPr>
        <w:tblStyle w:val="PlainTable31"/>
        <w:tblW w:w="9781" w:type="dxa"/>
        <w:tblLook w:val="04A0" w:firstRow="1" w:lastRow="0" w:firstColumn="1" w:lastColumn="0" w:noHBand="0" w:noVBand="1"/>
      </w:tblPr>
      <w:tblGrid>
        <w:gridCol w:w="960"/>
        <w:gridCol w:w="2200"/>
        <w:gridCol w:w="2740"/>
        <w:gridCol w:w="941"/>
        <w:gridCol w:w="1377"/>
        <w:gridCol w:w="1563"/>
      </w:tblGrid>
      <w:tr w:rsidR="0022643E" w:rsidRPr="00610838" w14:paraId="31657E40" w14:textId="77777777" w:rsidTr="0022643E">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960" w:type="dxa"/>
            <w:noWrap/>
            <w:hideMark/>
          </w:tcPr>
          <w:p w14:paraId="2BE0F16D" w14:textId="77777777" w:rsidR="0022643E" w:rsidRPr="00610838" w:rsidRDefault="0022643E" w:rsidP="0022643E">
            <w:pPr>
              <w:rPr>
                <w:rFonts w:ascii="Times New Roman" w:eastAsia="Times New Roman" w:hAnsi="Times New Roman" w:cs="Times New Roman"/>
                <w:sz w:val="24"/>
                <w:szCs w:val="24"/>
                <w:lang w:val="en-GB"/>
              </w:rPr>
            </w:pPr>
            <w:r w:rsidRPr="00610838">
              <w:rPr>
                <w:rFonts w:ascii="Times New Roman" w:eastAsia="Times New Roman" w:hAnsi="Times New Roman" w:cs="Times New Roman"/>
                <w:sz w:val="24"/>
                <w:szCs w:val="24"/>
                <w:lang w:val="en-GB"/>
              </w:rPr>
              <w:t>A</w:t>
            </w:r>
          </w:p>
        </w:tc>
        <w:tc>
          <w:tcPr>
            <w:tcW w:w="2200" w:type="dxa"/>
            <w:noWrap/>
            <w:hideMark/>
          </w:tcPr>
          <w:p w14:paraId="6F9AA67B" w14:textId="77777777" w:rsidR="0022643E" w:rsidRPr="00610838" w:rsidRDefault="0022643E" w:rsidP="0022643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c>
          <w:tcPr>
            <w:tcW w:w="2740" w:type="dxa"/>
            <w:noWrap/>
            <w:hideMark/>
          </w:tcPr>
          <w:p w14:paraId="1AF1AC41" w14:textId="77777777" w:rsidR="0022643E" w:rsidRPr="00610838" w:rsidRDefault="0022643E" w:rsidP="0022643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c>
          <w:tcPr>
            <w:tcW w:w="3881" w:type="dxa"/>
            <w:gridSpan w:val="3"/>
            <w:noWrap/>
            <w:hideMark/>
          </w:tcPr>
          <w:p w14:paraId="4469FEEC" w14:textId="77777777" w:rsidR="0022643E" w:rsidRPr="00610838" w:rsidRDefault="0022643E" w:rsidP="0022643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Average gwAF [%]</w:t>
            </w:r>
          </w:p>
        </w:tc>
      </w:tr>
      <w:tr w:rsidR="0022643E" w:rsidRPr="00610838" w14:paraId="345D3BFA" w14:textId="77777777" w:rsidTr="0022643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1DA920EA" w14:textId="77777777" w:rsidR="0022643E" w:rsidRPr="00610838" w:rsidRDefault="0022643E" w:rsidP="0022643E">
            <w:pPr>
              <w:jc w:val="center"/>
              <w:rPr>
                <w:rFonts w:ascii="Calibri" w:eastAsia="Times New Roman" w:hAnsi="Calibri" w:cs="Calibri"/>
                <w:color w:val="000000"/>
                <w:lang w:val="en-GB"/>
              </w:rPr>
            </w:pPr>
          </w:p>
        </w:tc>
        <w:tc>
          <w:tcPr>
            <w:tcW w:w="2200" w:type="dxa"/>
            <w:noWrap/>
            <w:hideMark/>
          </w:tcPr>
          <w:p w14:paraId="7C60654E" w14:textId="77777777" w:rsidR="0022643E" w:rsidRPr="00610838" w:rsidRDefault="0022643E" w:rsidP="0022643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Organic environment</w:t>
            </w:r>
          </w:p>
        </w:tc>
        <w:tc>
          <w:tcPr>
            <w:tcW w:w="2740" w:type="dxa"/>
            <w:noWrap/>
            <w:hideMark/>
          </w:tcPr>
          <w:p w14:paraId="191B594D" w14:textId="77777777" w:rsidR="0022643E" w:rsidRPr="00610838" w:rsidRDefault="0022643E" w:rsidP="0022643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Conventional environment</w:t>
            </w:r>
          </w:p>
        </w:tc>
        <w:tc>
          <w:tcPr>
            <w:tcW w:w="941" w:type="dxa"/>
            <w:noWrap/>
            <w:hideMark/>
          </w:tcPr>
          <w:p w14:paraId="493D8B1B" w14:textId="77777777" w:rsidR="0022643E" w:rsidRPr="00610838" w:rsidRDefault="0022643E" w:rsidP="0022643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organic</w:t>
            </w:r>
          </w:p>
        </w:tc>
        <w:tc>
          <w:tcPr>
            <w:tcW w:w="1377" w:type="dxa"/>
            <w:noWrap/>
            <w:hideMark/>
          </w:tcPr>
          <w:p w14:paraId="590E641F" w14:textId="77777777" w:rsidR="0022643E" w:rsidRPr="00610838" w:rsidRDefault="0022643E" w:rsidP="0022643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 xml:space="preserve">conventional </w:t>
            </w:r>
          </w:p>
        </w:tc>
        <w:tc>
          <w:tcPr>
            <w:tcW w:w="1563" w:type="dxa"/>
            <w:noWrap/>
            <w:hideMark/>
          </w:tcPr>
          <w:p w14:paraId="1823E6E2" w14:textId="77777777" w:rsidR="0022643E" w:rsidRPr="00610838" w:rsidRDefault="0022643E" w:rsidP="0022643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simulated drift</w:t>
            </w:r>
          </w:p>
        </w:tc>
      </w:tr>
      <w:tr w:rsidR="0022643E" w:rsidRPr="00610838" w14:paraId="5D144655" w14:textId="77777777" w:rsidTr="0022643E">
        <w:trPr>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77D2B16B" w14:textId="77777777" w:rsidR="0022643E" w:rsidRPr="00610838" w:rsidRDefault="0022643E" w:rsidP="0022643E">
            <w:pPr>
              <w:rPr>
                <w:rFonts w:ascii="Calibri" w:eastAsia="Times New Roman" w:hAnsi="Calibri" w:cs="Calibri"/>
                <w:color w:val="000000"/>
                <w:lang w:val="en-GB"/>
              </w:rPr>
            </w:pPr>
            <w:r w:rsidRPr="00610838">
              <w:rPr>
                <w:rFonts w:ascii="Calibri" w:eastAsia="Times New Roman" w:hAnsi="Calibri" w:cs="Calibri"/>
                <w:color w:val="000000"/>
                <w:lang w:val="en-GB"/>
              </w:rPr>
              <w:t>F3</w:t>
            </w:r>
          </w:p>
        </w:tc>
        <w:tc>
          <w:tcPr>
            <w:tcW w:w="2200" w:type="dxa"/>
            <w:noWrap/>
            <w:hideMark/>
          </w:tcPr>
          <w:p w14:paraId="68ED60A3" w14:textId="77777777" w:rsidR="0022643E" w:rsidRPr="00610838" w:rsidRDefault="0022643E" w:rsidP="0022643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1</w:t>
            </w:r>
          </w:p>
        </w:tc>
        <w:tc>
          <w:tcPr>
            <w:tcW w:w="2740" w:type="dxa"/>
            <w:noWrap/>
            <w:hideMark/>
          </w:tcPr>
          <w:p w14:paraId="75A13656" w14:textId="77777777" w:rsidR="0022643E" w:rsidRPr="00610838" w:rsidRDefault="0022643E" w:rsidP="0022643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1</w:t>
            </w:r>
          </w:p>
        </w:tc>
        <w:tc>
          <w:tcPr>
            <w:tcW w:w="941" w:type="dxa"/>
            <w:noWrap/>
            <w:hideMark/>
          </w:tcPr>
          <w:p w14:paraId="44AE7B60" w14:textId="77777777" w:rsidR="0022643E" w:rsidRPr="00610838" w:rsidRDefault="0022643E" w:rsidP="0022643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10.0511</w:t>
            </w:r>
          </w:p>
        </w:tc>
        <w:tc>
          <w:tcPr>
            <w:tcW w:w="1377" w:type="dxa"/>
            <w:noWrap/>
            <w:hideMark/>
          </w:tcPr>
          <w:p w14:paraId="74BFEEB5" w14:textId="77777777" w:rsidR="0022643E" w:rsidRPr="00610838" w:rsidRDefault="0022643E" w:rsidP="0022643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10.0511</w:t>
            </w:r>
          </w:p>
        </w:tc>
        <w:tc>
          <w:tcPr>
            <w:tcW w:w="1563" w:type="dxa"/>
            <w:noWrap/>
            <w:hideMark/>
          </w:tcPr>
          <w:p w14:paraId="023597FC" w14:textId="77777777" w:rsidR="0022643E" w:rsidRPr="00610838" w:rsidRDefault="0022643E" w:rsidP="0022643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10.0511</w:t>
            </w:r>
          </w:p>
        </w:tc>
      </w:tr>
      <w:tr w:rsidR="0022643E" w:rsidRPr="00610838" w14:paraId="2C8C71F4" w14:textId="77777777" w:rsidTr="0022643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6DDB1607" w14:textId="77777777" w:rsidR="0022643E" w:rsidRPr="00610838" w:rsidRDefault="0022643E" w:rsidP="0022643E">
            <w:pPr>
              <w:rPr>
                <w:rFonts w:ascii="Calibri" w:eastAsia="Times New Roman" w:hAnsi="Calibri" w:cs="Calibri"/>
                <w:color w:val="000000"/>
                <w:lang w:val="en-GB"/>
              </w:rPr>
            </w:pPr>
            <w:r w:rsidRPr="00610838">
              <w:rPr>
                <w:rFonts w:ascii="Calibri" w:eastAsia="Times New Roman" w:hAnsi="Calibri" w:cs="Calibri"/>
                <w:color w:val="000000"/>
                <w:lang w:val="en-GB"/>
              </w:rPr>
              <w:t>F12</w:t>
            </w:r>
          </w:p>
        </w:tc>
        <w:tc>
          <w:tcPr>
            <w:tcW w:w="2200" w:type="dxa"/>
            <w:noWrap/>
            <w:hideMark/>
          </w:tcPr>
          <w:p w14:paraId="08E8F1A6" w14:textId="77777777" w:rsidR="0022643E" w:rsidRPr="00610838" w:rsidRDefault="0022643E" w:rsidP="0022643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9.61E-92</w:t>
            </w:r>
          </w:p>
        </w:tc>
        <w:tc>
          <w:tcPr>
            <w:tcW w:w="2740" w:type="dxa"/>
            <w:noWrap/>
            <w:hideMark/>
          </w:tcPr>
          <w:p w14:paraId="6B8B1E61" w14:textId="77777777" w:rsidR="0022643E" w:rsidRPr="00610838" w:rsidRDefault="0022643E" w:rsidP="0022643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3.13E-34</w:t>
            </w:r>
          </w:p>
        </w:tc>
        <w:tc>
          <w:tcPr>
            <w:tcW w:w="941" w:type="dxa"/>
            <w:noWrap/>
            <w:hideMark/>
          </w:tcPr>
          <w:p w14:paraId="53196E77" w14:textId="77777777" w:rsidR="0022643E" w:rsidRPr="00610838" w:rsidRDefault="0022643E" w:rsidP="0022643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8.9374</w:t>
            </w:r>
          </w:p>
        </w:tc>
        <w:tc>
          <w:tcPr>
            <w:tcW w:w="1377" w:type="dxa"/>
            <w:noWrap/>
            <w:hideMark/>
          </w:tcPr>
          <w:p w14:paraId="11AFB58F" w14:textId="77777777" w:rsidR="0022643E" w:rsidRPr="00610838" w:rsidRDefault="0022643E" w:rsidP="0022643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8.3219</w:t>
            </w:r>
          </w:p>
        </w:tc>
        <w:tc>
          <w:tcPr>
            <w:tcW w:w="1563" w:type="dxa"/>
            <w:noWrap/>
            <w:hideMark/>
          </w:tcPr>
          <w:p w14:paraId="1CD4D8C3" w14:textId="77777777" w:rsidR="0022643E" w:rsidRPr="00610838" w:rsidRDefault="0022643E" w:rsidP="0022643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10.0538</w:t>
            </w:r>
          </w:p>
        </w:tc>
      </w:tr>
      <w:tr w:rsidR="0022643E" w:rsidRPr="00610838" w14:paraId="530E5721" w14:textId="77777777" w:rsidTr="0022643E">
        <w:trPr>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22FC7190" w14:textId="77777777" w:rsidR="0022643E" w:rsidRPr="00610838" w:rsidRDefault="0022643E" w:rsidP="0022643E">
            <w:pPr>
              <w:rPr>
                <w:rFonts w:ascii="Calibri" w:eastAsia="Times New Roman" w:hAnsi="Calibri" w:cs="Calibri"/>
                <w:color w:val="000000"/>
                <w:lang w:val="en-GB"/>
              </w:rPr>
            </w:pPr>
            <w:r w:rsidRPr="00610838">
              <w:rPr>
                <w:rFonts w:ascii="Calibri" w:eastAsia="Times New Roman" w:hAnsi="Calibri" w:cs="Calibri"/>
                <w:color w:val="000000"/>
                <w:lang w:val="en-GB"/>
              </w:rPr>
              <w:t>F16</w:t>
            </w:r>
          </w:p>
        </w:tc>
        <w:tc>
          <w:tcPr>
            <w:tcW w:w="2200" w:type="dxa"/>
            <w:noWrap/>
            <w:hideMark/>
          </w:tcPr>
          <w:p w14:paraId="499D6592" w14:textId="77777777" w:rsidR="0022643E" w:rsidRPr="00610838" w:rsidRDefault="0022643E" w:rsidP="0022643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3.09E-27</w:t>
            </w:r>
          </w:p>
        </w:tc>
        <w:tc>
          <w:tcPr>
            <w:tcW w:w="2740" w:type="dxa"/>
            <w:noWrap/>
            <w:hideMark/>
          </w:tcPr>
          <w:p w14:paraId="364E7E16" w14:textId="77777777" w:rsidR="0022643E" w:rsidRPr="00610838" w:rsidRDefault="0022643E" w:rsidP="0022643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4.62E-71</w:t>
            </w:r>
          </w:p>
        </w:tc>
        <w:tc>
          <w:tcPr>
            <w:tcW w:w="941" w:type="dxa"/>
            <w:noWrap/>
            <w:hideMark/>
          </w:tcPr>
          <w:p w14:paraId="7C47E8FB" w14:textId="77777777" w:rsidR="0022643E" w:rsidRPr="00610838" w:rsidRDefault="0022643E" w:rsidP="0022643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9.0923</w:t>
            </w:r>
          </w:p>
        </w:tc>
        <w:tc>
          <w:tcPr>
            <w:tcW w:w="1377" w:type="dxa"/>
            <w:noWrap/>
            <w:hideMark/>
          </w:tcPr>
          <w:p w14:paraId="6DC1E0F6" w14:textId="77777777" w:rsidR="0022643E" w:rsidRPr="00610838" w:rsidRDefault="0022643E" w:rsidP="0022643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7.0674</w:t>
            </w:r>
          </w:p>
        </w:tc>
        <w:tc>
          <w:tcPr>
            <w:tcW w:w="1563" w:type="dxa"/>
            <w:noWrap/>
            <w:hideMark/>
          </w:tcPr>
          <w:p w14:paraId="41E04044" w14:textId="77777777" w:rsidR="0022643E" w:rsidRPr="00610838" w:rsidRDefault="0022643E" w:rsidP="0022643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10.0539</w:t>
            </w:r>
          </w:p>
        </w:tc>
      </w:tr>
      <w:tr w:rsidR="0022643E" w:rsidRPr="00610838" w14:paraId="5DE6AAE3" w14:textId="77777777" w:rsidTr="0022643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68317270" w14:textId="77777777" w:rsidR="0022643E" w:rsidRPr="00610838" w:rsidRDefault="0022643E" w:rsidP="0022643E">
            <w:pPr>
              <w:rPr>
                <w:rFonts w:ascii="Calibri" w:eastAsia="Times New Roman" w:hAnsi="Calibri" w:cs="Calibri"/>
                <w:color w:val="000000"/>
                <w:lang w:val="en-GB"/>
              </w:rPr>
            </w:pPr>
            <w:r w:rsidRPr="00610838">
              <w:rPr>
                <w:rFonts w:ascii="Calibri" w:eastAsia="Times New Roman" w:hAnsi="Calibri" w:cs="Calibri"/>
                <w:color w:val="000000"/>
                <w:lang w:val="en-GB"/>
              </w:rPr>
              <w:t>F22</w:t>
            </w:r>
          </w:p>
        </w:tc>
        <w:tc>
          <w:tcPr>
            <w:tcW w:w="2200" w:type="dxa"/>
            <w:noWrap/>
            <w:hideMark/>
          </w:tcPr>
          <w:p w14:paraId="4C0030A4" w14:textId="77777777" w:rsidR="0022643E" w:rsidRPr="00610838" w:rsidRDefault="0022643E" w:rsidP="0022643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0.000114009</w:t>
            </w:r>
          </w:p>
        </w:tc>
        <w:tc>
          <w:tcPr>
            <w:tcW w:w="2740" w:type="dxa"/>
            <w:noWrap/>
            <w:hideMark/>
          </w:tcPr>
          <w:p w14:paraId="3E56EA61" w14:textId="77777777" w:rsidR="0022643E" w:rsidRPr="00610838" w:rsidRDefault="0022643E" w:rsidP="0022643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2.13E-51</w:t>
            </w:r>
          </w:p>
        </w:tc>
        <w:tc>
          <w:tcPr>
            <w:tcW w:w="941" w:type="dxa"/>
            <w:noWrap/>
            <w:hideMark/>
          </w:tcPr>
          <w:p w14:paraId="276A6D2C" w14:textId="77777777" w:rsidR="0022643E" w:rsidRPr="00610838" w:rsidRDefault="0022643E" w:rsidP="0022643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9.4368</w:t>
            </w:r>
          </w:p>
        </w:tc>
        <w:tc>
          <w:tcPr>
            <w:tcW w:w="1377" w:type="dxa"/>
            <w:noWrap/>
            <w:hideMark/>
          </w:tcPr>
          <w:p w14:paraId="38EAF3F9" w14:textId="77777777" w:rsidR="0022643E" w:rsidRPr="00610838" w:rsidRDefault="0022643E" w:rsidP="0022643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7.1864</w:t>
            </w:r>
          </w:p>
        </w:tc>
        <w:tc>
          <w:tcPr>
            <w:tcW w:w="1563" w:type="dxa"/>
            <w:noWrap/>
            <w:hideMark/>
          </w:tcPr>
          <w:p w14:paraId="289E59C5" w14:textId="77777777" w:rsidR="0022643E" w:rsidRPr="00610838" w:rsidRDefault="0022643E" w:rsidP="0022643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10.0550</w:t>
            </w:r>
          </w:p>
        </w:tc>
      </w:tr>
      <w:tr w:rsidR="0022643E" w:rsidRPr="00610838" w14:paraId="6C03F770" w14:textId="77777777" w:rsidTr="0022643E">
        <w:trPr>
          <w:trHeight w:val="300"/>
        </w:trPr>
        <w:tc>
          <w:tcPr>
            <w:cnfStyle w:val="001000000000" w:firstRow="0" w:lastRow="0" w:firstColumn="1" w:lastColumn="0" w:oddVBand="0" w:evenVBand="0" w:oddHBand="0" w:evenHBand="0" w:firstRowFirstColumn="0" w:firstRowLastColumn="0" w:lastRowFirstColumn="0" w:lastRowLastColumn="0"/>
            <w:tcW w:w="960" w:type="dxa"/>
            <w:noWrap/>
            <w:hideMark/>
          </w:tcPr>
          <w:p w14:paraId="7536BBE0" w14:textId="77777777" w:rsidR="0022643E" w:rsidRPr="00610838" w:rsidRDefault="0022643E" w:rsidP="0022643E">
            <w:pPr>
              <w:rPr>
                <w:rFonts w:ascii="Calibri" w:eastAsia="Times New Roman" w:hAnsi="Calibri" w:cs="Calibri"/>
                <w:color w:val="000000"/>
                <w:lang w:val="en-GB"/>
              </w:rPr>
            </w:pPr>
            <w:r w:rsidRPr="00610838">
              <w:rPr>
                <w:rFonts w:ascii="Calibri" w:eastAsia="Times New Roman" w:hAnsi="Calibri" w:cs="Calibri"/>
                <w:color w:val="000000"/>
                <w:lang w:val="en-GB"/>
              </w:rPr>
              <w:t>F23</w:t>
            </w:r>
          </w:p>
        </w:tc>
        <w:tc>
          <w:tcPr>
            <w:tcW w:w="2200" w:type="dxa"/>
            <w:noWrap/>
            <w:hideMark/>
          </w:tcPr>
          <w:p w14:paraId="4FD2726A" w14:textId="77777777" w:rsidR="0022643E" w:rsidRPr="00610838" w:rsidRDefault="0022643E" w:rsidP="0022643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1.99E-38</w:t>
            </w:r>
          </w:p>
        </w:tc>
        <w:tc>
          <w:tcPr>
            <w:tcW w:w="2740" w:type="dxa"/>
            <w:noWrap/>
            <w:hideMark/>
          </w:tcPr>
          <w:p w14:paraId="577C3807" w14:textId="77777777" w:rsidR="0022643E" w:rsidRPr="00610838" w:rsidRDefault="0022643E" w:rsidP="0022643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1.29E-54</w:t>
            </w:r>
          </w:p>
        </w:tc>
        <w:tc>
          <w:tcPr>
            <w:tcW w:w="941" w:type="dxa"/>
            <w:noWrap/>
            <w:hideMark/>
          </w:tcPr>
          <w:p w14:paraId="537E577B" w14:textId="77777777" w:rsidR="0022643E" w:rsidRPr="00610838" w:rsidRDefault="0022643E" w:rsidP="0022643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10.5314</w:t>
            </w:r>
          </w:p>
        </w:tc>
        <w:tc>
          <w:tcPr>
            <w:tcW w:w="1377" w:type="dxa"/>
            <w:noWrap/>
            <w:hideMark/>
          </w:tcPr>
          <w:p w14:paraId="30EEFBF3" w14:textId="77777777" w:rsidR="0022643E" w:rsidRPr="00610838" w:rsidRDefault="0022643E" w:rsidP="0022643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6.9319</w:t>
            </w:r>
          </w:p>
        </w:tc>
        <w:tc>
          <w:tcPr>
            <w:tcW w:w="1563" w:type="dxa"/>
            <w:noWrap/>
            <w:hideMark/>
          </w:tcPr>
          <w:p w14:paraId="5B447331" w14:textId="77777777" w:rsidR="0022643E" w:rsidRPr="00610838" w:rsidRDefault="0022643E" w:rsidP="0022643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GB"/>
              </w:rPr>
            </w:pPr>
            <w:r w:rsidRPr="00610838">
              <w:rPr>
                <w:rFonts w:ascii="Calibri" w:eastAsia="Times New Roman" w:hAnsi="Calibri" w:cs="Calibri"/>
                <w:color w:val="000000"/>
                <w:lang w:val="en-GB"/>
              </w:rPr>
              <w:t>10.0554</w:t>
            </w:r>
          </w:p>
        </w:tc>
      </w:tr>
    </w:tbl>
    <w:p w14:paraId="1356C172" w14:textId="7122C951" w:rsidR="0022643E" w:rsidRDefault="0022643E" w:rsidP="004958C0">
      <w:pPr>
        <w:rPr>
          <w:rFonts w:ascii="Times New Roman" w:hAnsi="Times New Roman" w:cs="Times New Roman"/>
          <w:b/>
          <w:bCs/>
          <w:iCs/>
          <w:sz w:val="20"/>
          <w:szCs w:val="24"/>
          <w:lang w:val="en-GB"/>
        </w:rPr>
      </w:pPr>
    </w:p>
    <w:p w14:paraId="5E922A5A" w14:textId="345C308F" w:rsidR="00E23F61" w:rsidRDefault="00E23F61" w:rsidP="004958C0">
      <w:pPr>
        <w:rPr>
          <w:rFonts w:ascii="Times New Roman" w:hAnsi="Times New Roman" w:cs="Times New Roman"/>
          <w:iCs/>
          <w:sz w:val="20"/>
          <w:szCs w:val="24"/>
          <w:lang w:val="en-GB"/>
        </w:rPr>
      </w:pPr>
    </w:p>
    <w:p w14:paraId="4FBFB637" w14:textId="08BE34C6" w:rsidR="00127896" w:rsidRDefault="00127896" w:rsidP="004958C0">
      <w:pPr>
        <w:rPr>
          <w:rFonts w:ascii="Times New Roman" w:hAnsi="Times New Roman" w:cs="Times New Roman"/>
          <w:iCs/>
          <w:sz w:val="20"/>
          <w:szCs w:val="24"/>
          <w:lang w:val="en-GB"/>
        </w:rPr>
      </w:pPr>
    </w:p>
    <w:p w14:paraId="03FB4CC7" w14:textId="5ABD0E49" w:rsidR="00127896" w:rsidRDefault="00127896" w:rsidP="004958C0">
      <w:pPr>
        <w:rPr>
          <w:rFonts w:ascii="Times New Roman" w:hAnsi="Times New Roman" w:cs="Times New Roman"/>
          <w:iCs/>
          <w:sz w:val="20"/>
          <w:szCs w:val="24"/>
          <w:lang w:val="en-GB"/>
        </w:rPr>
      </w:pPr>
    </w:p>
    <w:p w14:paraId="21D9F5DD" w14:textId="41B9F5FA" w:rsidR="00127896" w:rsidRDefault="00127896" w:rsidP="004958C0">
      <w:pPr>
        <w:rPr>
          <w:rFonts w:ascii="Times New Roman" w:hAnsi="Times New Roman" w:cs="Times New Roman"/>
          <w:iCs/>
          <w:sz w:val="20"/>
          <w:szCs w:val="24"/>
          <w:lang w:val="en-GB"/>
        </w:rPr>
      </w:pPr>
    </w:p>
    <w:p w14:paraId="161E57BB" w14:textId="25186798" w:rsidR="00127896" w:rsidRDefault="00127896" w:rsidP="004958C0">
      <w:pPr>
        <w:rPr>
          <w:rFonts w:ascii="Times New Roman" w:hAnsi="Times New Roman" w:cs="Times New Roman"/>
          <w:iCs/>
          <w:sz w:val="20"/>
          <w:szCs w:val="24"/>
          <w:lang w:val="en-GB"/>
        </w:rPr>
      </w:pPr>
    </w:p>
    <w:p w14:paraId="344AF0B6" w14:textId="77777777" w:rsidR="00127896" w:rsidRDefault="00127896" w:rsidP="004958C0">
      <w:pPr>
        <w:rPr>
          <w:rFonts w:ascii="Times New Roman" w:hAnsi="Times New Roman" w:cs="Times New Roman"/>
          <w:iCs/>
          <w:sz w:val="20"/>
          <w:szCs w:val="24"/>
          <w:lang w:val="en-GB"/>
        </w:rPr>
      </w:pPr>
    </w:p>
    <w:p w14:paraId="70CC7B69" w14:textId="2BC8E7E2" w:rsidR="002B3B13" w:rsidRPr="00610838" w:rsidRDefault="002B3B13" w:rsidP="002B3B13">
      <w:pPr>
        <w:jc w:val="both"/>
        <w:rPr>
          <w:rFonts w:ascii="Times New Roman" w:hAnsi="Times New Roman" w:cs="Times New Roman"/>
          <w:iCs/>
          <w:sz w:val="20"/>
          <w:szCs w:val="24"/>
          <w:lang w:val="en-GB"/>
        </w:rPr>
      </w:pPr>
      <w:r w:rsidRPr="00610838">
        <w:rPr>
          <w:rFonts w:ascii="Times New Roman" w:hAnsi="Times New Roman" w:cs="Times New Roman"/>
          <w:b/>
          <w:bCs/>
          <w:sz w:val="20"/>
          <w:szCs w:val="24"/>
          <w:lang w:val="en-GB"/>
        </w:rPr>
        <w:lastRenderedPageBreak/>
        <w:t xml:space="preserve">Supplementary Table </w:t>
      </w:r>
      <w:r>
        <w:rPr>
          <w:rFonts w:ascii="Times New Roman" w:hAnsi="Times New Roman" w:cs="Times New Roman"/>
          <w:b/>
          <w:bCs/>
          <w:sz w:val="20"/>
          <w:szCs w:val="24"/>
          <w:lang w:val="en-GB"/>
        </w:rPr>
        <w:t>3:</w:t>
      </w:r>
      <w:r w:rsidRPr="00610838">
        <w:rPr>
          <w:rFonts w:ascii="Times New Roman" w:hAnsi="Times New Roman" w:cs="Times New Roman"/>
          <w:b/>
          <w:bCs/>
          <w:sz w:val="20"/>
          <w:szCs w:val="24"/>
          <w:lang w:val="en-GB"/>
        </w:rPr>
        <w:t xml:space="preserve"> </w:t>
      </w:r>
      <w:bookmarkStart w:id="21" w:name="_Hlk53055631"/>
      <w:r w:rsidRPr="00610838">
        <w:rPr>
          <w:rFonts w:ascii="Times New Roman" w:hAnsi="Times New Roman" w:cs="Times New Roman"/>
          <w:b/>
          <w:bCs/>
          <w:sz w:val="20"/>
          <w:szCs w:val="24"/>
          <w:lang w:val="en-GB"/>
        </w:rPr>
        <w:t>Overview of genes with significant changes in allele frequency as compared to the F</w:t>
      </w:r>
      <w:r w:rsidRPr="00610838">
        <w:rPr>
          <w:rFonts w:ascii="Times New Roman" w:hAnsi="Times New Roman" w:cs="Times New Roman"/>
          <w:b/>
          <w:bCs/>
          <w:sz w:val="20"/>
          <w:szCs w:val="24"/>
          <w:vertAlign w:val="subscript"/>
          <w:lang w:val="en-GB"/>
        </w:rPr>
        <w:t xml:space="preserve">3 </w:t>
      </w:r>
      <w:r w:rsidRPr="00610838">
        <w:rPr>
          <w:rFonts w:ascii="Times New Roman" w:hAnsi="Times New Roman" w:cs="Times New Roman"/>
          <w:b/>
          <w:bCs/>
          <w:sz w:val="20"/>
          <w:szCs w:val="24"/>
          <w:lang w:val="en-GB"/>
        </w:rPr>
        <w:t>generation (</w:t>
      </w:r>
      <w:r w:rsidRPr="00610838">
        <w:rPr>
          <w:rFonts w:ascii="Times New Roman" w:hAnsi="Times New Roman" w:cs="Times New Roman"/>
          <w:b/>
          <w:bCs/>
          <w:i/>
          <w:sz w:val="20"/>
          <w:szCs w:val="24"/>
          <w:lang w:val="en-GB"/>
        </w:rPr>
        <w:t>p</w:t>
      </w:r>
      <w:r w:rsidRPr="00610838">
        <w:rPr>
          <w:rFonts w:ascii="Times New Roman" w:hAnsi="Times New Roman" w:cs="Times New Roman"/>
          <w:b/>
          <w:bCs/>
          <w:sz w:val="20"/>
          <w:szCs w:val="24"/>
          <w:lang w:val="en-GB"/>
        </w:rPr>
        <w:t xml:space="preserve"> &lt; 0.001).</w:t>
      </w:r>
      <w:r w:rsidRPr="00610838">
        <w:rPr>
          <w:rFonts w:ascii="Times New Roman" w:hAnsi="Times New Roman" w:cs="Times New Roman"/>
          <w:iCs/>
          <w:sz w:val="20"/>
          <w:szCs w:val="24"/>
          <w:lang w:val="en-GB"/>
        </w:rPr>
        <w:t xml:space="preserve"> The first column differentiates major blocks, the second column the generations and the third column the count of gene data of the conventional and organic environments. Number of genes with variations as compared to F3 - all genes with significant variation (</w:t>
      </w:r>
      <w:r w:rsidRPr="00610838">
        <w:rPr>
          <w:rFonts w:ascii="Times New Roman" w:hAnsi="Times New Roman" w:cs="Times New Roman"/>
          <w:i/>
          <w:iCs/>
          <w:sz w:val="20"/>
          <w:szCs w:val="24"/>
          <w:lang w:val="en-GB"/>
        </w:rPr>
        <w:t>p</w:t>
      </w:r>
      <w:r w:rsidRPr="00610838">
        <w:rPr>
          <w:rFonts w:ascii="Times New Roman" w:hAnsi="Times New Roman" w:cs="Times New Roman"/>
          <w:iCs/>
          <w:sz w:val="20"/>
          <w:szCs w:val="24"/>
          <w:lang w:val="en-GB"/>
        </w:rPr>
        <w:t xml:space="preserve"> &lt; 0.001) as compared to the initial generation. Wild type alleles up-selected as compared to F3 – the previously identified genes with a significantly higher wild type allele frequency as compared to F3. Cultivar allele up-selected as compared to F3 was the same as above, but for the cultivar allele frequency. 0% wild type AF (first block) – observed genes with no evidence of wild type allele frequency. 0% wild type AF (second block) – the count of genes with no wild type alleles for more than one generation, including generations F</w:t>
      </w:r>
      <w:r w:rsidRPr="00610838">
        <w:rPr>
          <w:rFonts w:ascii="Times New Roman" w:hAnsi="Times New Roman" w:cs="Times New Roman"/>
          <w:iCs/>
          <w:sz w:val="20"/>
          <w:szCs w:val="24"/>
          <w:vertAlign w:val="subscript"/>
          <w:lang w:val="en-GB"/>
        </w:rPr>
        <w:t>12</w:t>
      </w:r>
      <w:r w:rsidRPr="00610838">
        <w:rPr>
          <w:rFonts w:ascii="Times New Roman" w:hAnsi="Times New Roman" w:cs="Times New Roman"/>
          <w:iCs/>
          <w:sz w:val="20"/>
          <w:szCs w:val="24"/>
          <w:lang w:val="en-GB"/>
        </w:rPr>
        <w:t>, F</w:t>
      </w:r>
      <w:r w:rsidRPr="00610838">
        <w:rPr>
          <w:rFonts w:ascii="Times New Roman" w:hAnsi="Times New Roman" w:cs="Times New Roman"/>
          <w:iCs/>
          <w:sz w:val="20"/>
          <w:szCs w:val="24"/>
          <w:vertAlign w:val="subscript"/>
          <w:lang w:val="en-GB"/>
        </w:rPr>
        <w:t>16</w:t>
      </w:r>
      <w:r w:rsidRPr="00610838">
        <w:rPr>
          <w:rFonts w:ascii="Times New Roman" w:hAnsi="Times New Roman" w:cs="Times New Roman"/>
          <w:iCs/>
          <w:sz w:val="20"/>
          <w:szCs w:val="24"/>
          <w:lang w:val="en-GB"/>
        </w:rPr>
        <w:t>, F</w:t>
      </w:r>
      <w:r w:rsidRPr="00610838">
        <w:rPr>
          <w:rFonts w:ascii="Times New Roman" w:hAnsi="Times New Roman" w:cs="Times New Roman"/>
          <w:iCs/>
          <w:sz w:val="20"/>
          <w:szCs w:val="24"/>
          <w:vertAlign w:val="subscript"/>
          <w:lang w:val="en-GB"/>
        </w:rPr>
        <w:t>22</w:t>
      </w:r>
      <w:r w:rsidRPr="00610838">
        <w:rPr>
          <w:rFonts w:ascii="Times New Roman" w:hAnsi="Times New Roman" w:cs="Times New Roman"/>
          <w:iCs/>
          <w:sz w:val="20"/>
          <w:szCs w:val="24"/>
          <w:lang w:val="en-GB"/>
        </w:rPr>
        <w:t xml:space="preserve"> and F</w:t>
      </w:r>
      <w:r w:rsidRPr="00610838">
        <w:rPr>
          <w:rFonts w:ascii="Times New Roman" w:hAnsi="Times New Roman" w:cs="Times New Roman"/>
          <w:iCs/>
          <w:sz w:val="20"/>
          <w:szCs w:val="24"/>
          <w:vertAlign w:val="subscript"/>
          <w:lang w:val="en-GB"/>
        </w:rPr>
        <w:t>23</w:t>
      </w:r>
      <w:r w:rsidRPr="00610838">
        <w:rPr>
          <w:rFonts w:ascii="Times New Roman" w:hAnsi="Times New Roman" w:cs="Times New Roman"/>
          <w:iCs/>
          <w:sz w:val="20"/>
          <w:szCs w:val="24"/>
          <w:lang w:val="en-GB"/>
        </w:rPr>
        <w:t>.</w:t>
      </w:r>
      <w:bookmarkEnd w:id="21"/>
    </w:p>
    <w:tbl>
      <w:tblPr>
        <w:tblpPr w:leftFromText="180" w:rightFromText="180" w:vertAnchor="page" w:horzAnchor="margin" w:tblpXSpec="center" w:tblpY="5069"/>
        <w:tblW w:w="10480" w:type="dxa"/>
        <w:tblLook w:val="04A0" w:firstRow="1" w:lastRow="0" w:firstColumn="1" w:lastColumn="0" w:noHBand="0" w:noVBand="1"/>
      </w:tblPr>
      <w:tblGrid>
        <w:gridCol w:w="2040"/>
        <w:gridCol w:w="2628"/>
        <w:gridCol w:w="3119"/>
        <w:gridCol w:w="2693"/>
      </w:tblGrid>
      <w:tr w:rsidR="00127896" w:rsidRPr="00610838" w14:paraId="3F2EDAEC" w14:textId="77777777" w:rsidTr="00127896">
        <w:trPr>
          <w:trHeight w:val="330"/>
        </w:trPr>
        <w:tc>
          <w:tcPr>
            <w:tcW w:w="2040" w:type="dxa"/>
            <w:tcBorders>
              <w:top w:val="single" w:sz="8" w:space="0" w:color="auto"/>
              <w:left w:val="single" w:sz="8" w:space="0" w:color="auto"/>
              <w:bottom w:val="nil"/>
              <w:right w:val="nil"/>
            </w:tcBorders>
            <w:shd w:val="clear" w:color="auto" w:fill="auto"/>
            <w:noWrap/>
            <w:vAlign w:val="center"/>
            <w:hideMark/>
          </w:tcPr>
          <w:p w14:paraId="40DB171B" w14:textId="77777777" w:rsidR="00127896" w:rsidRPr="00610838" w:rsidRDefault="00127896" w:rsidP="00127896">
            <w:pPr>
              <w:spacing w:after="0" w:line="240" w:lineRule="auto"/>
              <w:jc w:val="both"/>
              <w:rPr>
                <w:rFonts w:ascii="Times New Roman" w:eastAsia="Times New Roman" w:hAnsi="Times New Roman" w:cs="Times New Roman"/>
                <w:color w:val="000000"/>
                <w:sz w:val="24"/>
                <w:szCs w:val="24"/>
                <w:lang w:val="en-GB"/>
              </w:rPr>
            </w:pPr>
            <w:r w:rsidRPr="00610838">
              <w:rPr>
                <w:rFonts w:ascii="Times New Roman" w:eastAsia="Times New Roman" w:hAnsi="Times New Roman" w:cs="Times New Roman"/>
                <w:color w:val="000000"/>
                <w:sz w:val="24"/>
                <w:szCs w:val="24"/>
                <w:lang w:val="en-GB"/>
              </w:rPr>
              <w:t> </w:t>
            </w:r>
          </w:p>
        </w:tc>
        <w:tc>
          <w:tcPr>
            <w:tcW w:w="2628" w:type="dxa"/>
            <w:tcBorders>
              <w:top w:val="single" w:sz="8" w:space="0" w:color="auto"/>
              <w:left w:val="nil"/>
              <w:bottom w:val="nil"/>
              <w:right w:val="nil"/>
            </w:tcBorders>
            <w:shd w:val="clear" w:color="auto" w:fill="auto"/>
            <w:noWrap/>
            <w:vAlign w:val="center"/>
            <w:hideMark/>
          </w:tcPr>
          <w:p w14:paraId="30123483" w14:textId="77777777" w:rsidR="00127896" w:rsidRPr="00610838" w:rsidRDefault="00127896" w:rsidP="00127896">
            <w:pPr>
              <w:spacing w:after="0" w:line="240" w:lineRule="auto"/>
              <w:rPr>
                <w:rFonts w:ascii="Times New Roman" w:eastAsia="Times New Roman" w:hAnsi="Times New Roman" w:cs="Times New Roman"/>
                <w:color w:val="000000"/>
                <w:sz w:val="24"/>
                <w:szCs w:val="24"/>
                <w:lang w:val="en-GB"/>
              </w:rPr>
            </w:pPr>
            <w:r w:rsidRPr="00610838">
              <w:rPr>
                <w:rFonts w:ascii="Times New Roman" w:eastAsia="Times New Roman" w:hAnsi="Times New Roman" w:cs="Times New Roman"/>
                <w:color w:val="000000"/>
                <w:sz w:val="24"/>
                <w:szCs w:val="24"/>
                <w:lang w:val="en-GB"/>
              </w:rPr>
              <w:t> </w:t>
            </w:r>
          </w:p>
        </w:tc>
        <w:tc>
          <w:tcPr>
            <w:tcW w:w="5812"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457546ED" w14:textId="77777777" w:rsidR="00127896" w:rsidRPr="00610838" w:rsidRDefault="00127896" w:rsidP="00127896">
            <w:pPr>
              <w:spacing w:after="0" w:line="240" w:lineRule="auto"/>
              <w:jc w:val="center"/>
              <w:rPr>
                <w:rFonts w:ascii="Times New Roman" w:eastAsia="Times New Roman" w:hAnsi="Times New Roman" w:cs="Times New Roman"/>
                <w:color w:val="000000"/>
                <w:sz w:val="24"/>
                <w:szCs w:val="24"/>
                <w:lang w:val="en-GB"/>
              </w:rPr>
            </w:pPr>
            <w:r w:rsidRPr="00610838">
              <w:rPr>
                <w:rFonts w:ascii="Times New Roman" w:eastAsia="Times New Roman" w:hAnsi="Times New Roman" w:cs="Times New Roman"/>
                <w:color w:val="000000"/>
                <w:sz w:val="24"/>
                <w:szCs w:val="24"/>
                <w:lang w:val="en-GB"/>
              </w:rPr>
              <w:t>Count of genes</w:t>
            </w:r>
          </w:p>
        </w:tc>
      </w:tr>
      <w:tr w:rsidR="00127896" w:rsidRPr="00610838" w14:paraId="5677477B" w14:textId="77777777" w:rsidTr="00127896">
        <w:trPr>
          <w:trHeight w:val="960"/>
        </w:trPr>
        <w:tc>
          <w:tcPr>
            <w:tcW w:w="2040" w:type="dxa"/>
            <w:tcBorders>
              <w:top w:val="nil"/>
              <w:left w:val="single" w:sz="8" w:space="0" w:color="auto"/>
              <w:bottom w:val="nil"/>
              <w:right w:val="nil"/>
            </w:tcBorders>
            <w:shd w:val="clear" w:color="auto" w:fill="auto"/>
            <w:noWrap/>
            <w:vAlign w:val="center"/>
            <w:hideMark/>
          </w:tcPr>
          <w:p w14:paraId="03916E00" w14:textId="77777777" w:rsidR="00127896" w:rsidRPr="00610838" w:rsidRDefault="00127896" w:rsidP="00127896">
            <w:pPr>
              <w:spacing w:after="0" w:line="240" w:lineRule="auto"/>
              <w:jc w:val="both"/>
              <w:rPr>
                <w:rFonts w:ascii="Times New Roman" w:eastAsia="Times New Roman" w:hAnsi="Times New Roman" w:cs="Times New Roman"/>
                <w:color w:val="000000"/>
                <w:sz w:val="24"/>
                <w:szCs w:val="24"/>
                <w:lang w:val="en-GB"/>
              </w:rPr>
            </w:pPr>
            <w:r w:rsidRPr="00610838">
              <w:rPr>
                <w:rFonts w:ascii="Times New Roman" w:eastAsia="Times New Roman" w:hAnsi="Times New Roman" w:cs="Times New Roman"/>
                <w:color w:val="000000"/>
                <w:sz w:val="24"/>
                <w:szCs w:val="24"/>
                <w:lang w:val="en-GB"/>
              </w:rPr>
              <w:t> </w:t>
            </w:r>
          </w:p>
        </w:tc>
        <w:tc>
          <w:tcPr>
            <w:tcW w:w="2628" w:type="dxa"/>
            <w:tcBorders>
              <w:top w:val="nil"/>
              <w:left w:val="nil"/>
              <w:bottom w:val="single" w:sz="8" w:space="0" w:color="auto"/>
              <w:right w:val="nil"/>
            </w:tcBorders>
            <w:shd w:val="clear" w:color="auto" w:fill="auto"/>
            <w:noWrap/>
            <w:vAlign w:val="center"/>
            <w:hideMark/>
          </w:tcPr>
          <w:p w14:paraId="7D359671"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Generations</w:t>
            </w:r>
          </w:p>
        </w:tc>
        <w:tc>
          <w:tcPr>
            <w:tcW w:w="3119" w:type="dxa"/>
            <w:tcBorders>
              <w:top w:val="nil"/>
              <w:left w:val="single" w:sz="8" w:space="0" w:color="auto"/>
              <w:bottom w:val="single" w:sz="8" w:space="0" w:color="auto"/>
              <w:right w:val="single" w:sz="8" w:space="0" w:color="auto"/>
            </w:tcBorders>
            <w:shd w:val="clear" w:color="auto" w:fill="auto"/>
            <w:vAlign w:val="center"/>
            <w:hideMark/>
          </w:tcPr>
          <w:p w14:paraId="0BD95FD8"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Conventional environment</w:t>
            </w:r>
          </w:p>
        </w:tc>
        <w:tc>
          <w:tcPr>
            <w:tcW w:w="2693" w:type="dxa"/>
            <w:tcBorders>
              <w:top w:val="nil"/>
              <w:left w:val="nil"/>
              <w:bottom w:val="single" w:sz="8" w:space="0" w:color="auto"/>
              <w:right w:val="single" w:sz="8" w:space="0" w:color="auto"/>
            </w:tcBorders>
            <w:shd w:val="clear" w:color="auto" w:fill="auto"/>
            <w:vAlign w:val="center"/>
            <w:hideMark/>
          </w:tcPr>
          <w:p w14:paraId="2D3E9F70"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Organic environment</w:t>
            </w:r>
          </w:p>
        </w:tc>
      </w:tr>
      <w:tr w:rsidR="00127896" w:rsidRPr="00610838" w14:paraId="79074980" w14:textId="77777777" w:rsidTr="00127896">
        <w:trPr>
          <w:trHeight w:val="645"/>
        </w:trPr>
        <w:tc>
          <w:tcPr>
            <w:tcW w:w="2040" w:type="dxa"/>
            <w:vMerge w:val="restart"/>
            <w:tcBorders>
              <w:top w:val="nil"/>
              <w:left w:val="single" w:sz="8" w:space="0" w:color="auto"/>
              <w:bottom w:val="nil"/>
              <w:right w:val="nil"/>
            </w:tcBorders>
            <w:shd w:val="clear" w:color="auto" w:fill="auto"/>
            <w:vAlign w:val="center"/>
            <w:hideMark/>
          </w:tcPr>
          <w:p w14:paraId="38FE1193" w14:textId="77777777" w:rsidR="00127896" w:rsidRPr="00610838" w:rsidRDefault="00127896" w:rsidP="00127896">
            <w:pPr>
              <w:spacing w:after="0" w:line="240" w:lineRule="auto"/>
              <w:jc w:val="center"/>
              <w:rPr>
                <w:rFonts w:ascii="Times New Roman" w:eastAsia="Times New Roman" w:hAnsi="Times New Roman" w:cs="Times New Roman"/>
                <w:b/>
                <w:bCs/>
                <w:i/>
                <w:iCs/>
                <w:color w:val="000000"/>
                <w:sz w:val="24"/>
                <w:szCs w:val="24"/>
                <w:lang w:val="en-GB"/>
              </w:rPr>
            </w:pPr>
            <w:r w:rsidRPr="00610838">
              <w:rPr>
                <w:rFonts w:ascii="Times New Roman" w:eastAsia="Times New Roman" w:hAnsi="Times New Roman" w:cs="Times New Roman"/>
                <w:b/>
                <w:bCs/>
                <w:i/>
                <w:iCs/>
                <w:color w:val="000000"/>
                <w:sz w:val="24"/>
                <w:szCs w:val="24"/>
                <w:lang w:val="en-GB"/>
              </w:rPr>
              <w:t>Count of genes variant to F3</w:t>
            </w:r>
          </w:p>
        </w:tc>
        <w:tc>
          <w:tcPr>
            <w:tcW w:w="2628" w:type="dxa"/>
            <w:tcBorders>
              <w:top w:val="nil"/>
              <w:left w:val="nil"/>
              <w:bottom w:val="single" w:sz="8" w:space="0" w:color="auto"/>
              <w:right w:val="nil"/>
            </w:tcBorders>
            <w:shd w:val="clear" w:color="auto" w:fill="auto"/>
            <w:vAlign w:val="center"/>
            <w:hideMark/>
          </w:tcPr>
          <w:p w14:paraId="05F510B8"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Total number of genes</w:t>
            </w:r>
          </w:p>
        </w:tc>
        <w:tc>
          <w:tcPr>
            <w:tcW w:w="3119" w:type="dxa"/>
            <w:tcBorders>
              <w:top w:val="nil"/>
              <w:left w:val="single" w:sz="8" w:space="0" w:color="auto"/>
              <w:bottom w:val="single" w:sz="8" w:space="0" w:color="auto"/>
              <w:right w:val="nil"/>
            </w:tcBorders>
            <w:shd w:val="clear" w:color="auto" w:fill="auto"/>
            <w:noWrap/>
            <w:vAlign w:val="center"/>
            <w:hideMark/>
          </w:tcPr>
          <w:p w14:paraId="258F0DEE"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34343</w:t>
            </w:r>
          </w:p>
        </w:tc>
        <w:tc>
          <w:tcPr>
            <w:tcW w:w="2693" w:type="dxa"/>
            <w:tcBorders>
              <w:top w:val="nil"/>
              <w:left w:val="single" w:sz="4" w:space="0" w:color="auto"/>
              <w:bottom w:val="single" w:sz="8" w:space="0" w:color="auto"/>
              <w:right w:val="single" w:sz="8" w:space="0" w:color="auto"/>
            </w:tcBorders>
            <w:shd w:val="clear" w:color="auto" w:fill="auto"/>
            <w:noWrap/>
            <w:vAlign w:val="center"/>
            <w:hideMark/>
          </w:tcPr>
          <w:p w14:paraId="7C1627F1"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34343</w:t>
            </w:r>
          </w:p>
        </w:tc>
      </w:tr>
      <w:tr w:rsidR="00127896" w:rsidRPr="00610838" w14:paraId="14A1D065" w14:textId="77777777" w:rsidTr="00127896">
        <w:trPr>
          <w:trHeight w:val="315"/>
        </w:trPr>
        <w:tc>
          <w:tcPr>
            <w:tcW w:w="2040" w:type="dxa"/>
            <w:vMerge/>
            <w:tcBorders>
              <w:top w:val="nil"/>
              <w:left w:val="single" w:sz="8" w:space="0" w:color="auto"/>
              <w:bottom w:val="nil"/>
              <w:right w:val="nil"/>
            </w:tcBorders>
            <w:vAlign w:val="center"/>
            <w:hideMark/>
          </w:tcPr>
          <w:p w14:paraId="279BA492" w14:textId="77777777" w:rsidR="00127896" w:rsidRPr="00610838" w:rsidRDefault="00127896" w:rsidP="00127896">
            <w:pPr>
              <w:spacing w:after="0" w:line="240" w:lineRule="auto"/>
              <w:rPr>
                <w:rFonts w:ascii="Times New Roman" w:eastAsia="Times New Roman" w:hAnsi="Times New Roman" w:cs="Times New Roman"/>
                <w:b/>
                <w:bCs/>
                <w:i/>
                <w:iCs/>
                <w:color w:val="000000"/>
                <w:sz w:val="24"/>
                <w:szCs w:val="24"/>
                <w:lang w:val="en-GB"/>
              </w:rPr>
            </w:pPr>
          </w:p>
        </w:tc>
        <w:tc>
          <w:tcPr>
            <w:tcW w:w="2628" w:type="dxa"/>
            <w:tcBorders>
              <w:top w:val="nil"/>
              <w:left w:val="nil"/>
              <w:bottom w:val="nil"/>
              <w:right w:val="nil"/>
            </w:tcBorders>
            <w:shd w:val="clear" w:color="000000" w:fill="F8CBAD"/>
            <w:noWrap/>
            <w:vAlign w:val="center"/>
            <w:hideMark/>
          </w:tcPr>
          <w:p w14:paraId="19052C44"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F12</w:t>
            </w:r>
          </w:p>
        </w:tc>
        <w:tc>
          <w:tcPr>
            <w:tcW w:w="3119" w:type="dxa"/>
            <w:tcBorders>
              <w:top w:val="nil"/>
              <w:left w:val="single" w:sz="8" w:space="0" w:color="auto"/>
              <w:bottom w:val="nil"/>
              <w:right w:val="nil"/>
            </w:tcBorders>
            <w:shd w:val="clear" w:color="000000" w:fill="F8CBAD"/>
            <w:noWrap/>
            <w:vAlign w:val="center"/>
            <w:hideMark/>
          </w:tcPr>
          <w:p w14:paraId="767FDB28"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22308</w:t>
            </w:r>
          </w:p>
        </w:tc>
        <w:tc>
          <w:tcPr>
            <w:tcW w:w="2693" w:type="dxa"/>
            <w:tcBorders>
              <w:top w:val="nil"/>
              <w:left w:val="single" w:sz="4" w:space="0" w:color="auto"/>
              <w:bottom w:val="nil"/>
              <w:right w:val="single" w:sz="8" w:space="0" w:color="auto"/>
            </w:tcBorders>
            <w:shd w:val="clear" w:color="000000" w:fill="F8CBAD"/>
            <w:noWrap/>
            <w:vAlign w:val="center"/>
            <w:hideMark/>
          </w:tcPr>
          <w:p w14:paraId="22077F0D"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20834</w:t>
            </w:r>
          </w:p>
        </w:tc>
      </w:tr>
      <w:tr w:rsidR="00127896" w:rsidRPr="00610838" w14:paraId="20E7C43D" w14:textId="77777777" w:rsidTr="00127896">
        <w:trPr>
          <w:trHeight w:val="315"/>
        </w:trPr>
        <w:tc>
          <w:tcPr>
            <w:tcW w:w="2040" w:type="dxa"/>
            <w:vMerge/>
            <w:tcBorders>
              <w:top w:val="nil"/>
              <w:left w:val="single" w:sz="8" w:space="0" w:color="auto"/>
              <w:bottom w:val="nil"/>
              <w:right w:val="nil"/>
            </w:tcBorders>
            <w:vAlign w:val="center"/>
            <w:hideMark/>
          </w:tcPr>
          <w:p w14:paraId="1EC46EC9" w14:textId="77777777" w:rsidR="00127896" w:rsidRPr="00610838" w:rsidRDefault="00127896" w:rsidP="00127896">
            <w:pPr>
              <w:spacing w:after="0" w:line="240" w:lineRule="auto"/>
              <w:rPr>
                <w:rFonts w:ascii="Times New Roman" w:eastAsia="Times New Roman" w:hAnsi="Times New Roman" w:cs="Times New Roman"/>
                <w:b/>
                <w:bCs/>
                <w:i/>
                <w:iCs/>
                <w:color w:val="000000"/>
                <w:sz w:val="24"/>
                <w:szCs w:val="24"/>
                <w:lang w:val="en-GB"/>
              </w:rPr>
            </w:pPr>
          </w:p>
        </w:tc>
        <w:tc>
          <w:tcPr>
            <w:tcW w:w="2628" w:type="dxa"/>
            <w:tcBorders>
              <w:top w:val="nil"/>
              <w:left w:val="nil"/>
              <w:bottom w:val="nil"/>
              <w:right w:val="nil"/>
            </w:tcBorders>
            <w:shd w:val="clear" w:color="000000" w:fill="FFE699"/>
            <w:noWrap/>
            <w:vAlign w:val="center"/>
            <w:hideMark/>
          </w:tcPr>
          <w:p w14:paraId="70DAE26B"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F16</w:t>
            </w:r>
          </w:p>
        </w:tc>
        <w:tc>
          <w:tcPr>
            <w:tcW w:w="3119" w:type="dxa"/>
            <w:tcBorders>
              <w:top w:val="nil"/>
              <w:left w:val="single" w:sz="8" w:space="0" w:color="auto"/>
              <w:bottom w:val="nil"/>
              <w:right w:val="nil"/>
            </w:tcBorders>
            <w:shd w:val="clear" w:color="000000" w:fill="FFE699"/>
            <w:noWrap/>
            <w:vAlign w:val="center"/>
            <w:hideMark/>
          </w:tcPr>
          <w:p w14:paraId="182D1511"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22046</w:t>
            </w:r>
          </w:p>
        </w:tc>
        <w:tc>
          <w:tcPr>
            <w:tcW w:w="2693" w:type="dxa"/>
            <w:tcBorders>
              <w:top w:val="nil"/>
              <w:left w:val="single" w:sz="4" w:space="0" w:color="auto"/>
              <w:bottom w:val="nil"/>
              <w:right w:val="single" w:sz="8" w:space="0" w:color="auto"/>
            </w:tcBorders>
            <w:shd w:val="clear" w:color="000000" w:fill="FFE699"/>
            <w:noWrap/>
            <w:vAlign w:val="center"/>
            <w:hideMark/>
          </w:tcPr>
          <w:p w14:paraId="148DD9C3"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21598</w:t>
            </w:r>
          </w:p>
        </w:tc>
      </w:tr>
      <w:tr w:rsidR="00127896" w:rsidRPr="00610838" w14:paraId="03839A59" w14:textId="77777777" w:rsidTr="00127896">
        <w:trPr>
          <w:trHeight w:val="315"/>
        </w:trPr>
        <w:tc>
          <w:tcPr>
            <w:tcW w:w="2040" w:type="dxa"/>
            <w:vMerge/>
            <w:tcBorders>
              <w:top w:val="nil"/>
              <w:left w:val="single" w:sz="8" w:space="0" w:color="auto"/>
              <w:bottom w:val="nil"/>
              <w:right w:val="nil"/>
            </w:tcBorders>
            <w:vAlign w:val="center"/>
            <w:hideMark/>
          </w:tcPr>
          <w:p w14:paraId="76602D0D" w14:textId="77777777" w:rsidR="00127896" w:rsidRPr="00610838" w:rsidRDefault="00127896" w:rsidP="00127896">
            <w:pPr>
              <w:spacing w:after="0" w:line="240" w:lineRule="auto"/>
              <w:rPr>
                <w:rFonts w:ascii="Times New Roman" w:eastAsia="Times New Roman" w:hAnsi="Times New Roman" w:cs="Times New Roman"/>
                <w:b/>
                <w:bCs/>
                <w:i/>
                <w:iCs/>
                <w:color w:val="000000"/>
                <w:sz w:val="24"/>
                <w:szCs w:val="24"/>
                <w:lang w:val="en-GB"/>
              </w:rPr>
            </w:pPr>
          </w:p>
        </w:tc>
        <w:tc>
          <w:tcPr>
            <w:tcW w:w="2628" w:type="dxa"/>
            <w:tcBorders>
              <w:top w:val="nil"/>
              <w:left w:val="nil"/>
              <w:bottom w:val="nil"/>
              <w:right w:val="nil"/>
            </w:tcBorders>
            <w:shd w:val="clear" w:color="000000" w:fill="BDD7EE"/>
            <w:noWrap/>
            <w:vAlign w:val="center"/>
            <w:hideMark/>
          </w:tcPr>
          <w:p w14:paraId="62AD4435"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F22</w:t>
            </w:r>
          </w:p>
        </w:tc>
        <w:tc>
          <w:tcPr>
            <w:tcW w:w="3119" w:type="dxa"/>
            <w:tcBorders>
              <w:top w:val="nil"/>
              <w:left w:val="single" w:sz="8" w:space="0" w:color="auto"/>
              <w:bottom w:val="nil"/>
              <w:right w:val="nil"/>
            </w:tcBorders>
            <w:shd w:val="clear" w:color="000000" w:fill="BDD7EE"/>
            <w:noWrap/>
            <w:vAlign w:val="center"/>
            <w:hideMark/>
          </w:tcPr>
          <w:p w14:paraId="2C1E8217"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22940</w:t>
            </w:r>
          </w:p>
        </w:tc>
        <w:tc>
          <w:tcPr>
            <w:tcW w:w="2693" w:type="dxa"/>
            <w:tcBorders>
              <w:top w:val="nil"/>
              <w:left w:val="single" w:sz="4" w:space="0" w:color="auto"/>
              <w:bottom w:val="nil"/>
              <w:right w:val="single" w:sz="8" w:space="0" w:color="auto"/>
            </w:tcBorders>
            <w:shd w:val="clear" w:color="000000" w:fill="BDD7EE"/>
            <w:noWrap/>
            <w:vAlign w:val="center"/>
            <w:hideMark/>
          </w:tcPr>
          <w:p w14:paraId="29718838"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21839</w:t>
            </w:r>
          </w:p>
        </w:tc>
      </w:tr>
      <w:tr w:rsidR="00127896" w:rsidRPr="00610838" w14:paraId="6E627130" w14:textId="77777777" w:rsidTr="00127896">
        <w:trPr>
          <w:trHeight w:val="330"/>
        </w:trPr>
        <w:tc>
          <w:tcPr>
            <w:tcW w:w="2040" w:type="dxa"/>
            <w:vMerge/>
            <w:tcBorders>
              <w:top w:val="nil"/>
              <w:left w:val="single" w:sz="8" w:space="0" w:color="auto"/>
              <w:bottom w:val="nil"/>
              <w:right w:val="nil"/>
            </w:tcBorders>
            <w:vAlign w:val="center"/>
            <w:hideMark/>
          </w:tcPr>
          <w:p w14:paraId="6AC4FF2D" w14:textId="77777777" w:rsidR="00127896" w:rsidRPr="00610838" w:rsidRDefault="00127896" w:rsidP="00127896">
            <w:pPr>
              <w:spacing w:after="0" w:line="240" w:lineRule="auto"/>
              <w:rPr>
                <w:rFonts w:ascii="Times New Roman" w:eastAsia="Times New Roman" w:hAnsi="Times New Roman" w:cs="Times New Roman"/>
                <w:b/>
                <w:bCs/>
                <w:i/>
                <w:iCs/>
                <w:color w:val="000000"/>
                <w:sz w:val="24"/>
                <w:szCs w:val="24"/>
                <w:lang w:val="en-GB"/>
              </w:rPr>
            </w:pPr>
          </w:p>
        </w:tc>
        <w:tc>
          <w:tcPr>
            <w:tcW w:w="2628" w:type="dxa"/>
            <w:tcBorders>
              <w:top w:val="nil"/>
              <w:left w:val="nil"/>
              <w:bottom w:val="single" w:sz="8" w:space="0" w:color="auto"/>
              <w:right w:val="nil"/>
            </w:tcBorders>
            <w:shd w:val="clear" w:color="000000" w:fill="C6E0B4"/>
            <w:noWrap/>
            <w:vAlign w:val="center"/>
            <w:hideMark/>
          </w:tcPr>
          <w:p w14:paraId="227E600E"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F23</w:t>
            </w:r>
          </w:p>
        </w:tc>
        <w:tc>
          <w:tcPr>
            <w:tcW w:w="3119" w:type="dxa"/>
            <w:tcBorders>
              <w:top w:val="nil"/>
              <w:left w:val="single" w:sz="8" w:space="0" w:color="auto"/>
              <w:bottom w:val="single" w:sz="8" w:space="0" w:color="auto"/>
              <w:right w:val="nil"/>
            </w:tcBorders>
            <w:shd w:val="clear" w:color="000000" w:fill="C6E0B4"/>
            <w:noWrap/>
            <w:vAlign w:val="center"/>
            <w:hideMark/>
          </w:tcPr>
          <w:p w14:paraId="6537B28E"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22240</w:t>
            </w:r>
          </w:p>
        </w:tc>
        <w:tc>
          <w:tcPr>
            <w:tcW w:w="2693" w:type="dxa"/>
            <w:tcBorders>
              <w:top w:val="nil"/>
              <w:left w:val="single" w:sz="4" w:space="0" w:color="auto"/>
              <w:bottom w:val="single" w:sz="8" w:space="0" w:color="auto"/>
              <w:right w:val="single" w:sz="8" w:space="0" w:color="auto"/>
            </w:tcBorders>
            <w:shd w:val="clear" w:color="000000" w:fill="C6E0B4"/>
            <w:noWrap/>
            <w:vAlign w:val="center"/>
            <w:hideMark/>
          </w:tcPr>
          <w:p w14:paraId="24C9D7A4"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22773</w:t>
            </w:r>
          </w:p>
        </w:tc>
      </w:tr>
      <w:tr w:rsidR="00127896" w:rsidRPr="00610838" w14:paraId="22A7CF25" w14:textId="77777777" w:rsidTr="00127896">
        <w:trPr>
          <w:trHeight w:val="390"/>
        </w:trPr>
        <w:tc>
          <w:tcPr>
            <w:tcW w:w="2040" w:type="dxa"/>
            <w:vMerge w:val="restart"/>
            <w:tcBorders>
              <w:top w:val="nil"/>
              <w:left w:val="single" w:sz="8" w:space="0" w:color="auto"/>
              <w:bottom w:val="nil"/>
              <w:right w:val="nil"/>
            </w:tcBorders>
            <w:shd w:val="clear" w:color="auto" w:fill="auto"/>
            <w:vAlign w:val="center"/>
            <w:hideMark/>
          </w:tcPr>
          <w:p w14:paraId="519D2AA2" w14:textId="77777777" w:rsidR="00127896" w:rsidRPr="00610838" w:rsidRDefault="00127896" w:rsidP="00127896">
            <w:pPr>
              <w:spacing w:after="0" w:line="240" w:lineRule="auto"/>
              <w:jc w:val="center"/>
              <w:rPr>
                <w:rFonts w:ascii="Times New Roman" w:eastAsia="Times New Roman" w:hAnsi="Times New Roman" w:cs="Times New Roman"/>
                <w:b/>
                <w:bCs/>
                <w:i/>
                <w:iCs/>
                <w:color w:val="000000"/>
                <w:sz w:val="24"/>
                <w:szCs w:val="24"/>
                <w:lang w:val="en-GB"/>
              </w:rPr>
            </w:pPr>
            <w:r w:rsidRPr="00610838">
              <w:rPr>
                <w:rFonts w:ascii="Times New Roman" w:eastAsia="Times New Roman" w:hAnsi="Times New Roman" w:cs="Times New Roman"/>
                <w:b/>
                <w:bCs/>
                <w:i/>
                <w:iCs/>
                <w:color w:val="000000"/>
                <w:sz w:val="24"/>
                <w:szCs w:val="24"/>
                <w:lang w:val="en-GB"/>
              </w:rPr>
              <w:t>Wild type allele up-selected to F3</w:t>
            </w:r>
          </w:p>
        </w:tc>
        <w:tc>
          <w:tcPr>
            <w:tcW w:w="2628" w:type="dxa"/>
            <w:tcBorders>
              <w:top w:val="nil"/>
              <w:left w:val="nil"/>
              <w:bottom w:val="nil"/>
              <w:right w:val="nil"/>
            </w:tcBorders>
            <w:shd w:val="clear" w:color="000000" w:fill="F8CBAD"/>
            <w:noWrap/>
            <w:vAlign w:val="center"/>
            <w:hideMark/>
          </w:tcPr>
          <w:p w14:paraId="15796DC8"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F12</w:t>
            </w:r>
          </w:p>
        </w:tc>
        <w:tc>
          <w:tcPr>
            <w:tcW w:w="3119" w:type="dxa"/>
            <w:tcBorders>
              <w:top w:val="nil"/>
              <w:left w:val="single" w:sz="8" w:space="0" w:color="auto"/>
              <w:bottom w:val="nil"/>
              <w:right w:val="nil"/>
            </w:tcBorders>
            <w:shd w:val="clear" w:color="000000" w:fill="F8CBAD"/>
            <w:noWrap/>
            <w:vAlign w:val="center"/>
            <w:hideMark/>
          </w:tcPr>
          <w:p w14:paraId="6E755ED4"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9179</w:t>
            </w:r>
          </w:p>
        </w:tc>
        <w:tc>
          <w:tcPr>
            <w:tcW w:w="2693" w:type="dxa"/>
            <w:tcBorders>
              <w:top w:val="nil"/>
              <w:left w:val="single" w:sz="4" w:space="0" w:color="auto"/>
              <w:bottom w:val="nil"/>
              <w:right w:val="single" w:sz="8" w:space="0" w:color="auto"/>
            </w:tcBorders>
            <w:shd w:val="clear" w:color="000000" w:fill="F8CBAD"/>
            <w:noWrap/>
            <w:vAlign w:val="center"/>
            <w:hideMark/>
          </w:tcPr>
          <w:p w14:paraId="27C3EEAB"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9566</w:t>
            </w:r>
          </w:p>
        </w:tc>
      </w:tr>
      <w:tr w:rsidR="00127896" w:rsidRPr="00610838" w14:paraId="774B4AB9" w14:textId="77777777" w:rsidTr="00127896">
        <w:trPr>
          <w:trHeight w:val="315"/>
        </w:trPr>
        <w:tc>
          <w:tcPr>
            <w:tcW w:w="2040" w:type="dxa"/>
            <w:vMerge/>
            <w:tcBorders>
              <w:top w:val="nil"/>
              <w:left w:val="single" w:sz="8" w:space="0" w:color="auto"/>
              <w:bottom w:val="nil"/>
              <w:right w:val="nil"/>
            </w:tcBorders>
            <w:vAlign w:val="center"/>
            <w:hideMark/>
          </w:tcPr>
          <w:p w14:paraId="1AC27AB0" w14:textId="77777777" w:rsidR="00127896" w:rsidRPr="00610838" w:rsidRDefault="00127896" w:rsidP="00127896">
            <w:pPr>
              <w:spacing w:after="0" w:line="240" w:lineRule="auto"/>
              <w:rPr>
                <w:rFonts w:ascii="Times New Roman" w:eastAsia="Times New Roman" w:hAnsi="Times New Roman" w:cs="Times New Roman"/>
                <w:b/>
                <w:bCs/>
                <w:i/>
                <w:iCs/>
                <w:color w:val="000000"/>
                <w:sz w:val="24"/>
                <w:szCs w:val="24"/>
                <w:lang w:val="en-GB"/>
              </w:rPr>
            </w:pPr>
          </w:p>
        </w:tc>
        <w:tc>
          <w:tcPr>
            <w:tcW w:w="2628" w:type="dxa"/>
            <w:tcBorders>
              <w:top w:val="nil"/>
              <w:left w:val="nil"/>
              <w:bottom w:val="nil"/>
              <w:right w:val="nil"/>
            </w:tcBorders>
            <w:shd w:val="clear" w:color="000000" w:fill="FFE699"/>
            <w:noWrap/>
            <w:vAlign w:val="center"/>
            <w:hideMark/>
          </w:tcPr>
          <w:p w14:paraId="31E966EA"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F16</w:t>
            </w:r>
          </w:p>
        </w:tc>
        <w:tc>
          <w:tcPr>
            <w:tcW w:w="3119" w:type="dxa"/>
            <w:tcBorders>
              <w:top w:val="nil"/>
              <w:left w:val="single" w:sz="8" w:space="0" w:color="auto"/>
              <w:bottom w:val="nil"/>
              <w:right w:val="nil"/>
            </w:tcBorders>
            <w:shd w:val="clear" w:color="000000" w:fill="FFE699"/>
            <w:noWrap/>
            <w:vAlign w:val="center"/>
            <w:hideMark/>
          </w:tcPr>
          <w:p w14:paraId="621DE297"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7548</w:t>
            </w:r>
          </w:p>
        </w:tc>
        <w:tc>
          <w:tcPr>
            <w:tcW w:w="2693" w:type="dxa"/>
            <w:tcBorders>
              <w:top w:val="nil"/>
              <w:left w:val="single" w:sz="4" w:space="0" w:color="auto"/>
              <w:bottom w:val="nil"/>
              <w:right w:val="single" w:sz="8" w:space="0" w:color="auto"/>
            </w:tcBorders>
            <w:shd w:val="clear" w:color="000000" w:fill="FFE699"/>
            <w:noWrap/>
            <w:vAlign w:val="center"/>
            <w:hideMark/>
          </w:tcPr>
          <w:p w14:paraId="2F8AB4EA"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10361</w:t>
            </w:r>
          </w:p>
        </w:tc>
      </w:tr>
      <w:tr w:rsidR="00127896" w:rsidRPr="00610838" w14:paraId="41D30010" w14:textId="77777777" w:rsidTr="00127896">
        <w:trPr>
          <w:trHeight w:val="315"/>
        </w:trPr>
        <w:tc>
          <w:tcPr>
            <w:tcW w:w="2040" w:type="dxa"/>
            <w:vMerge/>
            <w:tcBorders>
              <w:top w:val="nil"/>
              <w:left w:val="single" w:sz="8" w:space="0" w:color="auto"/>
              <w:bottom w:val="nil"/>
              <w:right w:val="nil"/>
            </w:tcBorders>
            <w:vAlign w:val="center"/>
            <w:hideMark/>
          </w:tcPr>
          <w:p w14:paraId="1E7E939F" w14:textId="77777777" w:rsidR="00127896" w:rsidRPr="00610838" w:rsidRDefault="00127896" w:rsidP="00127896">
            <w:pPr>
              <w:spacing w:after="0" w:line="240" w:lineRule="auto"/>
              <w:rPr>
                <w:rFonts w:ascii="Times New Roman" w:eastAsia="Times New Roman" w:hAnsi="Times New Roman" w:cs="Times New Roman"/>
                <w:b/>
                <w:bCs/>
                <w:i/>
                <w:iCs/>
                <w:color w:val="000000"/>
                <w:sz w:val="24"/>
                <w:szCs w:val="24"/>
                <w:lang w:val="en-GB"/>
              </w:rPr>
            </w:pPr>
          </w:p>
        </w:tc>
        <w:tc>
          <w:tcPr>
            <w:tcW w:w="2628" w:type="dxa"/>
            <w:tcBorders>
              <w:top w:val="nil"/>
              <w:left w:val="nil"/>
              <w:bottom w:val="nil"/>
              <w:right w:val="nil"/>
            </w:tcBorders>
            <w:shd w:val="clear" w:color="000000" w:fill="BDD7EE"/>
            <w:noWrap/>
            <w:vAlign w:val="center"/>
            <w:hideMark/>
          </w:tcPr>
          <w:p w14:paraId="78F1EA57"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F22</w:t>
            </w:r>
          </w:p>
        </w:tc>
        <w:tc>
          <w:tcPr>
            <w:tcW w:w="3119" w:type="dxa"/>
            <w:tcBorders>
              <w:top w:val="nil"/>
              <w:left w:val="single" w:sz="8" w:space="0" w:color="auto"/>
              <w:bottom w:val="nil"/>
              <w:right w:val="nil"/>
            </w:tcBorders>
            <w:shd w:val="clear" w:color="000000" w:fill="BDD7EE"/>
            <w:noWrap/>
            <w:vAlign w:val="center"/>
            <w:hideMark/>
          </w:tcPr>
          <w:p w14:paraId="73B7F28E"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8115</w:t>
            </w:r>
          </w:p>
        </w:tc>
        <w:tc>
          <w:tcPr>
            <w:tcW w:w="2693" w:type="dxa"/>
            <w:tcBorders>
              <w:top w:val="nil"/>
              <w:left w:val="single" w:sz="4" w:space="0" w:color="auto"/>
              <w:bottom w:val="nil"/>
              <w:right w:val="single" w:sz="8" w:space="0" w:color="auto"/>
            </w:tcBorders>
            <w:shd w:val="clear" w:color="000000" w:fill="BDD7EE"/>
            <w:noWrap/>
            <w:vAlign w:val="center"/>
            <w:hideMark/>
          </w:tcPr>
          <w:p w14:paraId="72E1219A"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9658</w:t>
            </w:r>
          </w:p>
        </w:tc>
      </w:tr>
      <w:tr w:rsidR="00127896" w:rsidRPr="00610838" w14:paraId="27BBFDE3" w14:textId="77777777" w:rsidTr="00127896">
        <w:trPr>
          <w:trHeight w:val="330"/>
        </w:trPr>
        <w:tc>
          <w:tcPr>
            <w:tcW w:w="2040" w:type="dxa"/>
            <w:vMerge/>
            <w:tcBorders>
              <w:top w:val="nil"/>
              <w:left w:val="single" w:sz="8" w:space="0" w:color="auto"/>
              <w:bottom w:val="nil"/>
              <w:right w:val="nil"/>
            </w:tcBorders>
            <w:vAlign w:val="center"/>
            <w:hideMark/>
          </w:tcPr>
          <w:p w14:paraId="56B64E09" w14:textId="77777777" w:rsidR="00127896" w:rsidRPr="00610838" w:rsidRDefault="00127896" w:rsidP="00127896">
            <w:pPr>
              <w:spacing w:after="0" w:line="240" w:lineRule="auto"/>
              <w:rPr>
                <w:rFonts w:ascii="Times New Roman" w:eastAsia="Times New Roman" w:hAnsi="Times New Roman" w:cs="Times New Roman"/>
                <w:b/>
                <w:bCs/>
                <w:i/>
                <w:iCs/>
                <w:color w:val="000000"/>
                <w:sz w:val="24"/>
                <w:szCs w:val="24"/>
                <w:lang w:val="en-GB"/>
              </w:rPr>
            </w:pPr>
          </w:p>
        </w:tc>
        <w:tc>
          <w:tcPr>
            <w:tcW w:w="2628" w:type="dxa"/>
            <w:tcBorders>
              <w:top w:val="nil"/>
              <w:left w:val="nil"/>
              <w:bottom w:val="single" w:sz="8" w:space="0" w:color="auto"/>
              <w:right w:val="nil"/>
            </w:tcBorders>
            <w:shd w:val="clear" w:color="000000" w:fill="C6E0B4"/>
            <w:noWrap/>
            <w:vAlign w:val="center"/>
            <w:hideMark/>
          </w:tcPr>
          <w:p w14:paraId="2ADCA283"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F23</w:t>
            </w:r>
          </w:p>
        </w:tc>
        <w:tc>
          <w:tcPr>
            <w:tcW w:w="3119" w:type="dxa"/>
            <w:tcBorders>
              <w:top w:val="nil"/>
              <w:left w:val="single" w:sz="8" w:space="0" w:color="auto"/>
              <w:bottom w:val="single" w:sz="8" w:space="0" w:color="auto"/>
              <w:right w:val="nil"/>
            </w:tcBorders>
            <w:shd w:val="clear" w:color="000000" w:fill="C6E0B4"/>
            <w:noWrap/>
            <w:vAlign w:val="center"/>
            <w:hideMark/>
          </w:tcPr>
          <w:p w14:paraId="6D533D00"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7115</w:t>
            </w:r>
          </w:p>
        </w:tc>
        <w:tc>
          <w:tcPr>
            <w:tcW w:w="2693" w:type="dxa"/>
            <w:tcBorders>
              <w:top w:val="nil"/>
              <w:left w:val="single" w:sz="4" w:space="0" w:color="auto"/>
              <w:bottom w:val="single" w:sz="8" w:space="0" w:color="auto"/>
              <w:right w:val="single" w:sz="8" w:space="0" w:color="auto"/>
            </w:tcBorders>
            <w:shd w:val="clear" w:color="000000" w:fill="C6E0B4"/>
            <w:noWrap/>
            <w:vAlign w:val="center"/>
            <w:hideMark/>
          </w:tcPr>
          <w:p w14:paraId="2D5818CB"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10721</w:t>
            </w:r>
          </w:p>
        </w:tc>
      </w:tr>
      <w:tr w:rsidR="00127896" w:rsidRPr="00610838" w14:paraId="36735664" w14:textId="77777777" w:rsidTr="00127896">
        <w:trPr>
          <w:trHeight w:val="615"/>
        </w:trPr>
        <w:tc>
          <w:tcPr>
            <w:tcW w:w="2040" w:type="dxa"/>
            <w:vMerge w:val="restart"/>
            <w:tcBorders>
              <w:top w:val="nil"/>
              <w:left w:val="single" w:sz="8" w:space="0" w:color="auto"/>
              <w:bottom w:val="nil"/>
              <w:right w:val="nil"/>
            </w:tcBorders>
            <w:shd w:val="clear" w:color="auto" w:fill="auto"/>
            <w:vAlign w:val="center"/>
            <w:hideMark/>
          </w:tcPr>
          <w:p w14:paraId="7207B4A5" w14:textId="77777777" w:rsidR="00127896" w:rsidRPr="00610838" w:rsidRDefault="00127896" w:rsidP="00127896">
            <w:pPr>
              <w:spacing w:after="0" w:line="240" w:lineRule="auto"/>
              <w:jc w:val="center"/>
              <w:rPr>
                <w:rFonts w:ascii="Times New Roman" w:eastAsia="Times New Roman" w:hAnsi="Times New Roman" w:cs="Times New Roman"/>
                <w:b/>
                <w:bCs/>
                <w:i/>
                <w:iCs/>
                <w:color w:val="000000"/>
                <w:sz w:val="24"/>
                <w:szCs w:val="24"/>
                <w:lang w:val="en-GB"/>
              </w:rPr>
            </w:pPr>
            <w:r w:rsidRPr="00610838">
              <w:rPr>
                <w:rFonts w:ascii="Times New Roman" w:eastAsia="Times New Roman" w:hAnsi="Times New Roman" w:cs="Times New Roman"/>
                <w:b/>
                <w:bCs/>
                <w:i/>
                <w:iCs/>
                <w:color w:val="000000"/>
                <w:sz w:val="24"/>
                <w:szCs w:val="24"/>
                <w:lang w:val="en-GB"/>
              </w:rPr>
              <w:t>Cultivar allele up-selected to F3</w:t>
            </w:r>
          </w:p>
        </w:tc>
        <w:tc>
          <w:tcPr>
            <w:tcW w:w="2628" w:type="dxa"/>
            <w:tcBorders>
              <w:top w:val="nil"/>
              <w:left w:val="nil"/>
              <w:bottom w:val="nil"/>
              <w:right w:val="nil"/>
            </w:tcBorders>
            <w:shd w:val="clear" w:color="000000" w:fill="F8CBAD"/>
            <w:noWrap/>
            <w:vAlign w:val="center"/>
            <w:hideMark/>
          </w:tcPr>
          <w:p w14:paraId="2CAA0D36"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F12</w:t>
            </w:r>
          </w:p>
        </w:tc>
        <w:tc>
          <w:tcPr>
            <w:tcW w:w="3119" w:type="dxa"/>
            <w:tcBorders>
              <w:top w:val="nil"/>
              <w:left w:val="single" w:sz="8" w:space="0" w:color="auto"/>
              <w:bottom w:val="nil"/>
              <w:right w:val="nil"/>
            </w:tcBorders>
            <w:shd w:val="clear" w:color="000000" w:fill="F8CBAD"/>
            <w:noWrap/>
            <w:vAlign w:val="center"/>
            <w:hideMark/>
          </w:tcPr>
          <w:p w14:paraId="12C9A06B"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13128</w:t>
            </w:r>
          </w:p>
        </w:tc>
        <w:tc>
          <w:tcPr>
            <w:tcW w:w="2693" w:type="dxa"/>
            <w:tcBorders>
              <w:top w:val="nil"/>
              <w:left w:val="single" w:sz="4" w:space="0" w:color="auto"/>
              <w:bottom w:val="nil"/>
              <w:right w:val="single" w:sz="8" w:space="0" w:color="auto"/>
            </w:tcBorders>
            <w:shd w:val="clear" w:color="000000" w:fill="F8CBAD"/>
            <w:noWrap/>
            <w:vAlign w:val="center"/>
            <w:hideMark/>
          </w:tcPr>
          <w:p w14:paraId="5C1BED81"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11268</w:t>
            </w:r>
          </w:p>
        </w:tc>
      </w:tr>
      <w:tr w:rsidR="00127896" w:rsidRPr="00610838" w14:paraId="50D3389B" w14:textId="77777777" w:rsidTr="00127896">
        <w:trPr>
          <w:trHeight w:val="315"/>
        </w:trPr>
        <w:tc>
          <w:tcPr>
            <w:tcW w:w="2040" w:type="dxa"/>
            <w:vMerge/>
            <w:tcBorders>
              <w:top w:val="nil"/>
              <w:left w:val="single" w:sz="8" w:space="0" w:color="auto"/>
              <w:bottom w:val="nil"/>
              <w:right w:val="nil"/>
            </w:tcBorders>
            <w:vAlign w:val="center"/>
            <w:hideMark/>
          </w:tcPr>
          <w:p w14:paraId="01C5FCB8" w14:textId="77777777" w:rsidR="00127896" w:rsidRPr="00610838" w:rsidRDefault="00127896" w:rsidP="00127896">
            <w:pPr>
              <w:spacing w:after="0" w:line="240" w:lineRule="auto"/>
              <w:rPr>
                <w:rFonts w:ascii="Times New Roman" w:eastAsia="Times New Roman" w:hAnsi="Times New Roman" w:cs="Times New Roman"/>
                <w:b/>
                <w:bCs/>
                <w:i/>
                <w:iCs/>
                <w:color w:val="000000"/>
                <w:sz w:val="24"/>
                <w:szCs w:val="24"/>
                <w:lang w:val="en-GB"/>
              </w:rPr>
            </w:pPr>
          </w:p>
        </w:tc>
        <w:tc>
          <w:tcPr>
            <w:tcW w:w="2628" w:type="dxa"/>
            <w:tcBorders>
              <w:top w:val="nil"/>
              <w:left w:val="nil"/>
              <w:bottom w:val="nil"/>
              <w:right w:val="nil"/>
            </w:tcBorders>
            <w:shd w:val="clear" w:color="000000" w:fill="FFE699"/>
            <w:noWrap/>
            <w:vAlign w:val="center"/>
            <w:hideMark/>
          </w:tcPr>
          <w:p w14:paraId="237CCFC6"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F16</w:t>
            </w:r>
          </w:p>
        </w:tc>
        <w:tc>
          <w:tcPr>
            <w:tcW w:w="3119" w:type="dxa"/>
            <w:tcBorders>
              <w:top w:val="nil"/>
              <w:left w:val="single" w:sz="8" w:space="0" w:color="auto"/>
              <w:bottom w:val="nil"/>
              <w:right w:val="nil"/>
            </w:tcBorders>
            <w:shd w:val="clear" w:color="000000" w:fill="FFE699"/>
            <w:noWrap/>
            <w:vAlign w:val="center"/>
            <w:hideMark/>
          </w:tcPr>
          <w:p w14:paraId="063BA9DD"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14498</w:t>
            </w:r>
          </w:p>
        </w:tc>
        <w:tc>
          <w:tcPr>
            <w:tcW w:w="2693" w:type="dxa"/>
            <w:tcBorders>
              <w:top w:val="nil"/>
              <w:left w:val="single" w:sz="4" w:space="0" w:color="auto"/>
              <w:bottom w:val="nil"/>
              <w:right w:val="single" w:sz="8" w:space="0" w:color="auto"/>
            </w:tcBorders>
            <w:shd w:val="clear" w:color="000000" w:fill="FFE699"/>
            <w:noWrap/>
            <w:vAlign w:val="center"/>
            <w:hideMark/>
          </w:tcPr>
          <w:p w14:paraId="39F03FFA"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11235</w:t>
            </w:r>
          </w:p>
        </w:tc>
      </w:tr>
      <w:tr w:rsidR="00127896" w:rsidRPr="00610838" w14:paraId="7B13E406" w14:textId="77777777" w:rsidTr="00127896">
        <w:trPr>
          <w:trHeight w:val="315"/>
        </w:trPr>
        <w:tc>
          <w:tcPr>
            <w:tcW w:w="2040" w:type="dxa"/>
            <w:vMerge/>
            <w:tcBorders>
              <w:top w:val="nil"/>
              <w:left w:val="single" w:sz="8" w:space="0" w:color="auto"/>
              <w:bottom w:val="nil"/>
              <w:right w:val="nil"/>
            </w:tcBorders>
            <w:vAlign w:val="center"/>
            <w:hideMark/>
          </w:tcPr>
          <w:p w14:paraId="522F6388" w14:textId="77777777" w:rsidR="00127896" w:rsidRPr="00610838" w:rsidRDefault="00127896" w:rsidP="00127896">
            <w:pPr>
              <w:spacing w:after="0" w:line="240" w:lineRule="auto"/>
              <w:rPr>
                <w:rFonts w:ascii="Times New Roman" w:eastAsia="Times New Roman" w:hAnsi="Times New Roman" w:cs="Times New Roman"/>
                <w:b/>
                <w:bCs/>
                <w:i/>
                <w:iCs/>
                <w:color w:val="000000"/>
                <w:sz w:val="24"/>
                <w:szCs w:val="24"/>
                <w:lang w:val="en-GB"/>
              </w:rPr>
            </w:pPr>
          </w:p>
        </w:tc>
        <w:tc>
          <w:tcPr>
            <w:tcW w:w="2628" w:type="dxa"/>
            <w:tcBorders>
              <w:top w:val="nil"/>
              <w:left w:val="nil"/>
              <w:bottom w:val="nil"/>
              <w:right w:val="nil"/>
            </w:tcBorders>
            <w:shd w:val="clear" w:color="000000" w:fill="BDD7EE"/>
            <w:noWrap/>
            <w:vAlign w:val="center"/>
            <w:hideMark/>
          </w:tcPr>
          <w:p w14:paraId="7F0A2E58"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F22</w:t>
            </w:r>
          </w:p>
        </w:tc>
        <w:tc>
          <w:tcPr>
            <w:tcW w:w="3119" w:type="dxa"/>
            <w:tcBorders>
              <w:top w:val="nil"/>
              <w:left w:val="single" w:sz="8" w:space="0" w:color="auto"/>
              <w:bottom w:val="nil"/>
              <w:right w:val="nil"/>
            </w:tcBorders>
            <w:shd w:val="clear" w:color="000000" w:fill="BDD7EE"/>
            <w:noWrap/>
            <w:vAlign w:val="center"/>
            <w:hideMark/>
          </w:tcPr>
          <w:p w14:paraId="44A0F349"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14824</w:t>
            </w:r>
          </w:p>
        </w:tc>
        <w:tc>
          <w:tcPr>
            <w:tcW w:w="2693" w:type="dxa"/>
            <w:tcBorders>
              <w:top w:val="nil"/>
              <w:left w:val="single" w:sz="4" w:space="0" w:color="auto"/>
              <w:bottom w:val="nil"/>
              <w:right w:val="single" w:sz="8" w:space="0" w:color="auto"/>
            </w:tcBorders>
            <w:shd w:val="clear" w:color="000000" w:fill="BDD7EE"/>
            <w:noWrap/>
            <w:vAlign w:val="center"/>
            <w:hideMark/>
          </w:tcPr>
          <w:p w14:paraId="6DA2012C"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12180</w:t>
            </w:r>
          </w:p>
        </w:tc>
      </w:tr>
      <w:tr w:rsidR="00127896" w:rsidRPr="00610838" w14:paraId="1A9F178D" w14:textId="77777777" w:rsidTr="00127896">
        <w:trPr>
          <w:trHeight w:val="330"/>
        </w:trPr>
        <w:tc>
          <w:tcPr>
            <w:tcW w:w="2040" w:type="dxa"/>
            <w:vMerge/>
            <w:tcBorders>
              <w:top w:val="nil"/>
              <w:left w:val="single" w:sz="8" w:space="0" w:color="auto"/>
              <w:bottom w:val="nil"/>
              <w:right w:val="nil"/>
            </w:tcBorders>
            <w:vAlign w:val="center"/>
            <w:hideMark/>
          </w:tcPr>
          <w:p w14:paraId="451FC1E0" w14:textId="77777777" w:rsidR="00127896" w:rsidRPr="00610838" w:rsidRDefault="00127896" w:rsidP="00127896">
            <w:pPr>
              <w:spacing w:after="0" w:line="240" w:lineRule="auto"/>
              <w:rPr>
                <w:rFonts w:ascii="Times New Roman" w:eastAsia="Times New Roman" w:hAnsi="Times New Roman" w:cs="Times New Roman"/>
                <w:b/>
                <w:bCs/>
                <w:i/>
                <w:iCs/>
                <w:color w:val="000000"/>
                <w:sz w:val="24"/>
                <w:szCs w:val="24"/>
                <w:lang w:val="en-GB"/>
              </w:rPr>
            </w:pPr>
          </w:p>
        </w:tc>
        <w:tc>
          <w:tcPr>
            <w:tcW w:w="2628" w:type="dxa"/>
            <w:tcBorders>
              <w:top w:val="nil"/>
              <w:left w:val="nil"/>
              <w:bottom w:val="single" w:sz="8" w:space="0" w:color="auto"/>
              <w:right w:val="nil"/>
            </w:tcBorders>
            <w:shd w:val="clear" w:color="000000" w:fill="C6E0B4"/>
            <w:noWrap/>
            <w:vAlign w:val="center"/>
            <w:hideMark/>
          </w:tcPr>
          <w:p w14:paraId="6E5D866A"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F23</w:t>
            </w:r>
          </w:p>
        </w:tc>
        <w:tc>
          <w:tcPr>
            <w:tcW w:w="3119" w:type="dxa"/>
            <w:tcBorders>
              <w:top w:val="nil"/>
              <w:left w:val="single" w:sz="8" w:space="0" w:color="auto"/>
              <w:bottom w:val="single" w:sz="8" w:space="0" w:color="auto"/>
              <w:right w:val="nil"/>
            </w:tcBorders>
            <w:shd w:val="clear" w:color="000000" w:fill="C6E0B4"/>
            <w:noWrap/>
            <w:vAlign w:val="center"/>
            <w:hideMark/>
          </w:tcPr>
          <w:p w14:paraId="14FA7AC2"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15124</w:t>
            </w:r>
          </w:p>
        </w:tc>
        <w:tc>
          <w:tcPr>
            <w:tcW w:w="2693" w:type="dxa"/>
            <w:tcBorders>
              <w:top w:val="nil"/>
              <w:left w:val="single" w:sz="4" w:space="0" w:color="auto"/>
              <w:bottom w:val="single" w:sz="8" w:space="0" w:color="auto"/>
              <w:right w:val="single" w:sz="8" w:space="0" w:color="auto"/>
            </w:tcBorders>
            <w:shd w:val="clear" w:color="000000" w:fill="C6E0B4"/>
            <w:noWrap/>
            <w:vAlign w:val="center"/>
            <w:hideMark/>
          </w:tcPr>
          <w:p w14:paraId="68442DD4"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12052</w:t>
            </w:r>
          </w:p>
        </w:tc>
      </w:tr>
      <w:tr w:rsidR="00127896" w:rsidRPr="00610838" w14:paraId="735ECC2C" w14:textId="77777777" w:rsidTr="00127896">
        <w:trPr>
          <w:trHeight w:val="315"/>
        </w:trPr>
        <w:tc>
          <w:tcPr>
            <w:tcW w:w="2040" w:type="dxa"/>
            <w:vMerge w:val="restart"/>
            <w:tcBorders>
              <w:top w:val="nil"/>
              <w:left w:val="single" w:sz="8" w:space="0" w:color="auto"/>
              <w:bottom w:val="nil"/>
              <w:right w:val="nil"/>
            </w:tcBorders>
            <w:shd w:val="clear" w:color="auto" w:fill="auto"/>
            <w:noWrap/>
            <w:vAlign w:val="center"/>
            <w:hideMark/>
          </w:tcPr>
          <w:p w14:paraId="64574786" w14:textId="77777777" w:rsidR="00127896" w:rsidRPr="00610838" w:rsidRDefault="00127896" w:rsidP="00127896">
            <w:pPr>
              <w:spacing w:after="0" w:line="240" w:lineRule="auto"/>
              <w:jc w:val="center"/>
              <w:rPr>
                <w:rFonts w:ascii="Times New Roman" w:eastAsia="Times New Roman" w:hAnsi="Times New Roman" w:cs="Times New Roman"/>
                <w:b/>
                <w:bCs/>
                <w:i/>
                <w:iCs/>
                <w:color w:val="000000"/>
                <w:sz w:val="24"/>
                <w:szCs w:val="24"/>
                <w:lang w:val="en-GB"/>
              </w:rPr>
            </w:pPr>
            <w:r w:rsidRPr="00610838">
              <w:rPr>
                <w:rFonts w:ascii="Times New Roman" w:eastAsia="Times New Roman" w:hAnsi="Times New Roman" w:cs="Times New Roman"/>
                <w:b/>
                <w:bCs/>
                <w:i/>
                <w:iCs/>
                <w:color w:val="000000"/>
                <w:sz w:val="24"/>
                <w:szCs w:val="24"/>
                <w:lang w:val="en-GB"/>
              </w:rPr>
              <w:t>0% wild type AF</w:t>
            </w:r>
          </w:p>
        </w:tc>
        <w:tc>
          <w:tcPr>
            <w:tcW w:w="2628" w:type="dxa"/>
            <w:tcBorders>
              <w:top w:val="nil"/>
              <w:left w:val="nil"/>
              <w:bottom w:val="nil"/>
              <w:right w:val="nil"/>
            </w:tcBorders>
            <w:shd w:val="clear" w:color="000000" w:fill="F8CBAD"/>
            <w:noWrap/>
            <w:vAlign w:val="center"/>
            <w:hideMark/>
          </w:tcPr>
          <w:p w14:paraId="035FCE94"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F12</w:t>
            </w:r>
          </w:p>
        </w:tc>
        <w:tc>
          <w:tcPr>
            <w:tcW w:w="3119" w:type="dxa"/>
            <w:tcBorders>
              <w:top w:val="nil"/>
              <w:left w:val="single" w:sz="8" w:space="0" w:color="auto"/>
              <w:bottom w:val="nil"/>
              <w:right w:val="nil"/>
            </w:tcBorders>
            <w:shd w:val="clear" w:color="000000" w:fill="F8CBAD"/>
            <w:noWrap/>
            <w:vAlign w:val="center"/>
            <w:hideMark/>
          </w:tcPr>
          <w:p w14:paraId="0D84B0A7"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1857</w:t>
            </w:r>
          </w:p>
        </w:tc>
        <w:tc>
          <w:tcPr>
            <w:tcW w:w="2693" w:type="dxa"/>
            <w:tcBorders>
              <w:top w:val="nil"/>
              <w:left w:val="single" w:sz="4" w:space="0" w:color="auto"/>
              <w:bottom w:val="nil"/>
              <w:right w:val="single" w:sz="8" w:space="0" w:color="auto"/>
            </w:tcBorders>
            <w:shd w:val="clear" w:color="000000" w:fill="F8CBAD"/>
            <w:noWrap/>
            <w:vAlign w:val="center"/>
            <w:hideMark/>
          </w:tcPr>
          <w:p w14:paraId="3679A294"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442</w:t>
            </w:r>
          </w:p>
        </w:tc>
      </w:tr>
      <w:tr w:rsidR="00127896" w:rsidRPr="00610838" w14:paraId="29FBE643" w14:textId="77777777" w:rsidTr="00127896">
        <w:trPr>
          <w:trHeight w:val="315"/>
        </w:trPr>
        <w:tc>
          <w:tcPr>
            <w:tcW w:w="2040" w:type="dxa"/>
            <w:vMerge/>
            <w:tcBorders>
              <w:top w:val="nil"/>
              <w:left w:val="single" w:sz="8" w:space="0" w:color="auto"/>
              <w:bottom w:val="nil"/>
              <w:right w:val="nil"/>
            </w:tcBorders>
            <w:vAlign w:val="center"/>
            <w:hideMark/>
          </w:tcPr>
          <w:p w14:paraId="16CBADF8" w14:textId="77777777" w:rsidR="00127896" w:rsidRPr="00610838" w:rsidRDefault="00127896" w:rsidP="00127896">
            <w:pPr>
              <w:spacing w:after="0" w:line="240" w:lineRule="auto"/>
              <w:rPr>
                <w:rFonts w:ascii="Times New Roman" w:eastAsia="Times New Roman" w:hAnsi="Times New Roman" w:cs="Times New Roman"/>
                <w:b/>
                <w:bCs/>
                <w:i/>
                <w:iCs/>
                <w:color w:val="000000"/>
                <w:sz w:val="24"/>
                <w:szCs w:val="24"/>
                <w:lang w:val="en-GB"/>
              </w:rPr>
            </w:pPr>
          </w:p>
        </w:tc>
        <w:tc>
          <w:tcPr>
            <w:tcW w:w="2628" w:type="dxa"/>
            <w:tcBorders>
              <w:top w:val="nil"/>
              <w:left w:val="nil"/>
              <w:bottom w:val="nil"/>
              <w:right w:val="nil"/>
            </w:tcBorders>
            <w:shd w:val="clear" w:color="000000" w:fill="FFE699"/>
            <w:noWrap/>
            <w:vAlign w:val="center"/>
            <w:hideMark/>
          </w:tcPr>
          <w:p w14:paraId="1EDDD1D9"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F16</w:t>
            </w:r>
          </w:p>
        </w:tc>
        <w:tc>
          <w:tcPr>
            <w:tcW w:w="3119" w:type="dxa"/>
            <w:tcBorders>
              <w:top w:val="nil"/>
              <w:left w:val="single" w:sz="8" w:space="0" w:color="auto"/>
              <w:bottom w:val="nil"/>
              <w:right w:val="nil"/>
            </w:tcBorders>
            <w:shd w:val="clear" w:color="000000" w:fill="FFE699"/>
            <w:noWrap/>
            <w:vAlign w:val="center"/>
            <w:hideMark/>
          </w:tcPr>
          <w:p w14:paraId="3EC821A3"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2105</w:t>
            </w:r>
          </w:p>
        </w:tc>
        <w:tc>
          <w:tcPr>
            <w:tcW w:w="2693" w:type="dxa"/>
            <w:tcBorders>
              <w:top w:val="nil"/>
              <w:left w:val="single" w:sz="4" w:space="0" w:color="auto"/>
              <w:bottom w:val="nil"/>
              <w:right w:val="single" w:sz="8" w:space="0" w:color="auto"/>
            </w:tcBorders>
            <w:shd w:val="clear" w:color="000000" w:fill="FFE699"/>
            <w:noWrap/>
            <w:vAlign w:val="center"/>
            <w:hideMark/>
          </w:tcPr>
          <w:p w14:paraId="1EBF3FB6"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728</w:t>
            </w:r>
          </w:p>
        </w:tc>
      </w:tr>
      <w:tr w:rsidR="00127896" w:rsidRPr="00610838" w14:paraId="345E84A8" w14:textId="77777777" w:rsidTr="00127896">
        <w:trPr>
          <w:trHeight w:val="315"/>
        </w:trPr>
        <w:tc>
          <w:tcPr>
            <w:tcW w:w="2040" w:type="dxa"/>
            <w:vMerge/>
            <w:tcBorders>
              <w:top w:val="nil"/>
              <w:left w:val="single" w:sz="8" w:space="0" w:color="auto"/>
              <w:bottom w:val="nil"/>
              <w:right w:val="nil"/>
            </w:tcBorders>
            <w:vAlign w:val="center"/>
            <w:hideMark/>
          </w:tcPr>
          <w:p w14:paraId="3FBD5435" w14:textId="77777777" w:rsidR="00127896" w:rsidRPr="00610838" w:rsidRDefault="00127896" w:rsidP="00127896">
            <w:pPr>
              <w:spacing w:after="0" w:line="240" w:lineRule="auto"/>
              <w:rPr>
                <w:rFonts w:ascii="Times New Roman" w:eastAsia="Times New Roman" w:hAnsi="Times New Roman" w:cs="Times New Roman"/>
                <w:b/>
                <w:bCs/>
                <w:i/>
                <w:iCs/>
                <w:color w:val="000000"/>
                <w:sz w:val="24"/>
                <w:szCs w:val="24"/>
                <w:lang w:val="en-GB"/>
              </w:rPr>
            </w:pPr>
          </w:p>
        </w:tc>
        <w:tc>
          <w:tcPr>
            <w:tcW w:w="2628" w:type="dxa"/>
            <w:tcBorders>
              <w:top w:val="nil"/>
              <w:left w:val="nil"/>
              <w:bottom w:val="nil"/>
              <w:right w:val="nil"/>
            </w:tcBorders>
            <w:shd w:val="clear" w:color="000000" w:fill="BDD7EE"/>
            <w:noWrap/>
            <w:vAlign w:val="center"/>
            <w:hideMark/>
          </w:tcPr>
          <w:p w14:paraId="5D54541D"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F22</w:t>
            </w:r>
          </w:p>
        </w:tc>
        <w:tc>
          <w:tcPr>
            <w:tcW w:w="3119" w:type="dxa"/>
            <w:tcBorders>
              <w:top w:val="nil"/>
              <w:left w:val="single" w:sz="8" w:space="0" w:color="auto"/>
              <w:bottom w:val="nil"/>
              <w:right w:val="nil"/>
            </w:tcBorders>
            <w:shd w:val="clear" w:color="000000" w:fill="BDD7EE"/>
            <w:noWrap/>
            <w:vAlign w:val="center"/>
            <w:hideMark/>
          </w:tcPr>
          <w:p w14:paraId="072BB4BB"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2318</w:t>
            </w:r>
          </w:p>
        </w:tc>
        <w:tc>
          <w:tcPr>
            <w:tcW w:w="2693" w:type="dxa"/>
            <w:tcBorders>
              <w:top w:val="nil"/>
              <w:left w:val="single" w:sz="4" w:space="0" w:color="auto"/>
              <w:bottom w:val="nil"/>
              <w:right w:val="single" w:sz="8" w:space="0" w:color="auto"/>
            </w:tcBorders>
            <w:shd w:val="clear" w:color="000000" w:fill="BDD7EE"/>
            <w:noWrap/>
            <w:vAlign w:val="center"/>
            <w:hideMark/>
          </w:tcPr>
          <w:p w14:paraId="32C11565"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622</w:t>
            </w:r>
          </w:p>
        </w:tc>
      </w:tr>
      <w:tr w:rsidR="00127896" w:rsidRPr="00610838" w14:paraId="0A74E6FA" w14:textId="77777777" w:rsidTr="00127896">
        <w:trPr>
          <w:trHeight w:val="330"/>
        </w:trPr>
        <w:tc>
          <w:tcPr>
            <w:tcW w:w="2040" w:type="dxa"/>
            <w:vMerge/>
            <w:tcBorders>
              <w:top w:val="nil"/>
              <w:left w:val="single" w:sz="8" w:space="0" w:color="auto"/>
              <w:bottom w:val="nil"/>
              <w:right w:val="nil"/>
            </w:tcBorders>
            <w:vAlign w:val="center"/>
            <w:hideMark/>
          </w:tcPr>
          <w:p w14:paraId="2913E704" w14:textId="77777777" w:rsidR="00127896" w:rsidRPr="00610838" w:rsidRDefault="00127896" w:rsidP="00127896">
            <w:pPr>
              <w:spacing w:after="0" w:line="240" w:lineRule="auto"/>
              <w:rPr>
                <w:rFonts w:ascii="Times New Roman" w:eastAsia="Times New Roman" w:hAnsi="Times New Roman" w:cs="Times New Roman"/>
                <w:b/>
                <w:bCs/>
                <w:i/>
                <w:iCs/>
                <w:color w:val="000000"/>
                <w:sz w:val="24"/>
                <w:szCs w:val="24"/>
                <w:lang w:val="en-GB"/>
              </w:rPr>
            </w:pPr>
          </w:p>
        </w:tc>
        <w:tc>
          <w:tcPr>
            <w:tcW w:w="2628" w:type="dxa"/>
            <w:tcBorders>
              <w:top w:val="nil"/>
              <w:left w:val="nil"/>
              <w:bottom w:val="single" w:sz="8" w:space="0" w:color="auto"/>
              <w:right w:val="nil"/>
            </w:tcBorders>
            <w:shd w:val="clear" w:color="000000" w:fill="C6E0B4"/>
            <w:noWrap/>
            <w:vAlign w:val="center"/>
            <w:hideMark/>
          </w:tcPr>
          <w:p w14:paraId="7B9250F4"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F23</w:t>
            </w:r>
          </w:p>
        </w:tc>
        <w:tc>
          <w:tcPr>
            <w:tcW w:w="3119" w:type="dxa"/>
            <w:tcBorders>
              <w:top w:val="nil"/>
              <w:left w:val="single" w:sz="8" w:space="0" w:color="auto"/>
              <w:bottom w:val="single" w:sz="8" w:space="0" w:color="auto"/>
              <w:right w:val="nil"/>
            </w:tcBorders>
            <w:shd w:val="clear" w:color="000000" w:fill="C6E0B4"/>
            <w:noWrap/>
            <w:vAlign w:val="center"/>
            <w:hideMark/>
          </w:tcPr>
          <w:p w14:paraId="37388BF0"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3066</w:t>
            </w:r>
          </w:p>
        </w:tc>
        <w:tc>
          <w:tcPr>
            <w:tcW w:w="2693" w:type="dxa"/>
            <w:tcBorders>
              <w:top w:val="nil"/>
              <w:left w:val="single" w:sz="4" w:space="0" w:color="auto"/>
              <w:bottom w:val="single" w:sz="8" w:space="0" w:color="auto"/>
              <w:right w:val="single" w:sz="8" w:space="0" w:color="auto"/>
            </w:tcBorders>
            <w:shd w:val="clear" w:color="000000" w:fill="C6E0B4"/>
            <w:noWrap/>
            <w:vAlign w:val="center"/>
            <w:hideMark/>
          </w:tcPr>
          <w:p w14:paraId="0F5D543A"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912</w:t>
            </w:r>
          </w:p>
        </w:tc>
      </w:tr>
      <w:tr w:rsidR="00127896" w:rsidRPr="00610838" w14:paraId="11229195" w14:textId="77777777" w:rsidTr="00127896">
        <w:trPr>
          <w:trHeight w:val="284"/>
        </w:trPr>
        <w:tc>
          <w:tcPr>
            <w:tcW w:w="2040" w:type="dxa"/>
            <w:vMerge w:val="restart"/>
            <w:tcBorders>
              <w:top w:val="nil"/>
              <w:left w:val="single" w:sz="8" w:space="0" w:color="auto"/>
              <w:bottom w:val="single" w:sz="8" w:space="0" w:color="000000"/>
              <w:right w:val="nil"/>
            </w:tcBorders>
            <w:shd w:val="clear" w:color="auto" w:fill="auto"/>
            <w:noWrap/>
            <w:vAlign w:val="center"/>
            <w:hideMark/>
          </w:tcPr>
          <w:p w14:paraId="41CDB73F" w14:textId="77777777" w:rsidR="00127896" w:rsidRPr="00610838" w:rsidRDefault="00127896" w:rsidP="00127896">
            <w:pPr>
              <w:spacing w:after="0" w:line="240" w:lineRule="auto"/>
              <w:jc w:val="center"/>
              <w:rPr>
                <w:rFonts w:ascii="Times New Roman" w:eastAsia="Times New Roman" w:hAnsi="Times New Roman" w:cs="Times New Roman"/>
                <w:b/>
                <w:bCs/>
                <w:i/>
                <w:iCs/>
                <w:color w:val="000000"/>
                <w:sz w:val="24"/>
                <w:szCs w:val="24"/>
                <w:lang w:val="en-GB"/>
              </w:rPr>
            </w:pPr>
            <w:r w:rsidRPr="00610838">
              <w:rPr>
                <w:rFonts w:ascii="Times New Roman" w:eastAsia="Times New Roman" w:hAnsi="Times New Roman" w:cs="Times New Roman"/>
                <w:b/>
                <w:bCs/>
                <w:i/>
                <w:iCs/>
                <w:color w:val="000000"/>
                <w:sz w:val="24"/>
                <w:szCs w:val="24"/>
                <w:lang w:val="en-GB"/>
              </w:rPr>
              <w:t>0% wild type AF</w:t>
            </w:r>
          </w:p>
        </w:tc>
        <w:tc>
          <w:tcPr>
            <w:tcW w:w="2628" w:type="dxa"/>
            <w:tcBorders>
              <w:top w:val="nil"/>
              <w:left w:val="nil"/>
              <w:bottom w:val="nil"/>
              <w:right w:val="nil"/>
            </w:tcBorders>
            <w:shd w:val="clear" w:color="auto" w:fill="auto"/>
            <w:vAlign w:val="center"/>
            <w:hideMark/>
          </w:tcPr>
          <w:p w14:paraId="0BFBCF18"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All generations from F12-F23</w:t>
            </w:r>
          </w:p>
        </w:tc>
        <w:tc>
          <w:tcPr>
            <w:tcW w:w="3119" w:type="dxa"/>
            <w:tcBorders>
              <w:top w:val="nil"/>
              <w:left w:val="single" w:sz="8" w:space="0" w:color="auto"/>
              <w:bottom w:val="nil"/>
              <w:right w:val="nil"/>
            </w:tcBorders>
            <w:shd w:val="clear" w:color="auto" w:fill="auto"/>
            <w:noWrap/>
            <w:vAlign w:val="center"/>
            <w:hideMark/>
          </w:tcPr>
          <w:p w14:paraId="56449213"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524</w:t>
            </w:r>
          </w:p>
        </w:tc>
        <w:tc>
          <w:tcPr>
            <w:tcW w:w="2693" w:type="dxa"/>
            <w:tcBorders>
              <w:top w:val="nil"/>
              <w:left w:val="single" w:sz="4" w:space="0" w:color="auto"/>
              <w:bottom w:val="nil"/>
              <w:right w:val="single" w:sz="8" w:space="0" w:color="auto"/>
            </w:tcBorders>
            <w:shd w:val="clear" w:color="auto" w:fill="auto"/>
            <w:noWrap/>
            <w:vAlign w:val="center"/>
            <w:hideMark/>
          </w:tcPr>
          <w:p w14:paraId="1FA4D240"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127</w:t>
            </w:r>
          </w:p>
        </w:tc>
      </w:tr>
      <w:tr w:rsidR="00127896" w:rsidRPr="00610838" w14:paraId="7D83AD2B" w14:textId="77777777" w:rsidTr="00127896">
        <w:trPr>
          <w:trHeight w:val="259"/>
        </w:trPr>
        <w:tc>
          <w:tcPr>
            <w:tcW w:w="2040" w:type="dxa"/>
            <w:vMerge/>
            <w:tcBorders>
              <w:top w:val="nil"/>
              <w:left w:val="single" w:sz="8" w:space="0" w:color="auto"/>
              <w:bottom w:val="single" w:sz="8" w:space="0" w:color="000000"/>
              <w:right w:val="nil"/>
            </w:tcBorders>
            <w:vAlign w:val="center"/>
            <w:hideMark/>
          </w:tcPr>
          <w:p w14:paraId="7637BAAC" w14:textId="77777777" w:rsidR="00127896" w:rsidRPr="00610838" w:rsidRDefault="00127896" w:rsidP="00127896">
            <w:pPr>
              <w:spacing w:after="0" w:line="240" w:lineRule="auto"/>
              <w:rPr>
                <w:rFonts w:ascii="Times New Roman" w:eastAsia="Times New Roman" w:hAnsi="Times New Roman" w:cs="Times New Roman"/>
                <w:b/>
                <w:bCs/>
                <w:i/>
                <w:iCs/>
                <w:color w:val="000000"/>
                <w:sz w:val="24"/>
                <w:szCs w:val="24"/>
                <w:lang w:val="en-GB"/>
              </w:rPr>
            </w:pPr>
          </w:p>
        </w:tc>
        <w:tc>
          <w:tcPr>
            <w:tcW w:w="2628" w:type="dxa"/>
            <w:tcBorders>
              <w:top w:val="nil"/>
              <w:left w:val="nil"/>
              <w:bottom w:val="nil"/>
              <w:right w:val="nil"/>
            </w:tcBorders>
            <w:shd w:val="clear" w:color="auto" w:fill="auto"/>
            <w:vAlign w:val="center"/>
            <w:hideMark/>
          </w:tcPr>
          <w:p w14:paraId="53014581"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All generations from F16-F23</w:t>
            </w:r>
          </w:p>
        </w:tc>
        <w:tc>
          <w:tcPr>
            <w:tcW w:w="3119" w:type="dxa"/>
            <w:tcBorders>
              <w:top w:val="nil"/>
              <w:left w:val="single" w:sz="8" w:space="0" w:color="auto"/>
              <w:bottom w:val="nil"/>
              <w:right w:val="nil"/>
            </w:tcBorders>
            <w:shd w:val="clear" w:color="auto" w:fill="auto"/>
            <w:noWrap/>
            <w:vAlign w:val="center"/>
            <w:hideMark/>
          </w:tcPr>
          <w:p w14:paraId="72D44ACA"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806</w:t>
            </w:r>
          </w:p>
        </w:tc>
        <w:tc>
          <w:tcPr>
            <w:tcW w:w="2693" w:type="dxa"/>
            <w:tcBorders>
              <w:top w:val="nil"/>
              <w:left w:val="single" w:sz="4" w:space="0" w:color="auto"/>
              <w:bottom w:val="nil"/>
              <w:right w:val="single" w:sz="8" w:space="0" w:color="auto"/>
            </w:tcBorders>
            <w:shd w:val="clear" w:color="auto" w:fill="auto"/>
            <w:noWrap/>
            <w:vAlign w:val="center"/>
            <w:hideMark/>
          </w:tcPr>
          <w:p w14:paraId="55461AEC"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188</w:t>
            </w:r>
          </w:p>
        </w:tc>
      </w:tr>
      <w:tr w:rsidR="00127896" w:rsidRPr="00610838" w14:paraId="6F771215" w14:textId="77777777" w:rsidTr="00127896">
        <w:trPr>
          <w:trHeight w:val="250"/>
        </w:trPr>
        <w:tc>
          <w:tcPr>
            <w:tcW w:w="2040" w:type="dxa"/>
            <w:vMerge/>
            <w:tcBorders>
              <w:top w:val="nil"/>
              <w:left w:val="single" w:sz="8" w:space="0" w:color="auto"/>
              <w:bottom w:val="single" w:sz="8" w:space="0" w:color="000000"/>
              <w:right w:val="nil"/>
            </w:tcBorders>
            <w:vAlign w:val="center"/>
            <w:hideMark/>
          </w:tcPr>
          <w:p w14:paraId="3F9737DE" w14:textId="77777777" w:rsidR="00127896" w:rsidRPr="00610838" w:rsidRDefault="00127896" w:rsidP="00127896">
            <w:pPr>
              <w:spacing w:after="0" w:line="240" w:lineRule="auto"/>
              <w:rPr>
                <w:rFonts w:ascii="Times New Roman" w:eastAsia="Times New Roman" w:hAnsi="Times New Roman" w:cs="Times New Roman"/>
                <w:b/>
                <w:bCs/>
                <w:i/>
                <w:iCs/>
                <w:color w:val="000000"/>
                <w:sz w:val="24"/>
                <w:szCs w:val="24"/>
                <w:lang w:val="en-GB"/>
              </w:rPr>
            </w:pPr>
          </w:p>
        </w:tc>
        <w:tc>
          <w:tcPr>
            <w:tcW w:w="2628" w:type="dxa"/>
            <w:tcBorders>
              <w:top w:val="nil"/>
              <w:left w:val="nil"/>
              <w:bottom w:val="single" w:sz="8" w:space="0" w:color="auto"/>
              <w:right w:val="nil"/>
            </w:tcBorders>
            <w:shd w:val="clear" w:color="auto" w:fill="auto"/>
            <w:vAlign w:val="center"/>
            <w:hideMark/>
          </w:tcPr>
          <w:p w14:paraId="27471332" w14:textId="77777777" w:rsidR="00127896" w:rsidRPr="00610838" w:rsidRDefault="00127896" w:rsidP="00127896">
            <w:pPr>
              <w:spacing w:after="0" w:line="240" w:lineRule="auto"/>
              <w:jc w:val="center"/>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All generations from F22-F23</w:t>
            </w:r>
          </w:p>
        </w:tc>
        <w:tc>
          <w:tcPr>
            <w:tcW w:w="3119" w:type="dxa"/>
            <w:tcBorders>
              <w:top w:val="nil"/>
              <w:left w:val="single" w:sz="8" w:space="0" w:color="auto"/>
              <w:bottom w:val="single" w:sz="8" w:space="0" w:color="auto"/>
              <w:right w:val="nil"/>
            </w:tcBorders>
            <w:shd w:val="clear" w:color="auto" w:fill="auto"/>
            <w:noWrap/>
            <w:vAlign w:val="center"/>
            <w:hideMark/>
          </w:tcPr>
          <w:p w14:paraId="6CB82CF1"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1379</w:t>
            </w:r>
          </w:p>
        </w:tc>
        <w:tc>
          <w:tcPr>
            <w:tcW w:w="2693" w:type="dxa"/>
            <w:tcBorders>
              <w:top w:val="nil"/>
              <w:left w:val="single" w:sz="4" w:space="0" w:color="auto"/>
              <w:bottom w:val="single" w:sz="8" w:space="0" w:color="auto"/>
              <w:right w:val="single" w:sz="8" w:space="0" w:color="auto"/>
            </w:tcBorders>
            <w:shd w:val="clear" w:color="auto" w:fill="auto"/>
            <w:noWrap/>
            <w:vAlign w:val="center"/>
            <w:hideMark/>
          </w:tcPr>
          <w:p w14:paraId="70A11A33" w14:textId="77777777" w:rsidR="00127896" w:rsidRPr="00610838" w:rsidRDefault="00127896" w:rsidP="00127896">
            <w:pPr>
              <w:spacing w:after="0" w:line="240" w:lineRule="auto"/>
              <w:jc w:val="right"/>
              <w:rPr>
                <w:rFonts w:ascii="Times New Roman" w:eastAsia="Times New Roman" w:hAnsi="Times New Roman" w:cs="Times New Roman"/>
                <w:i/>
                <w:iCs/>
                <w:color w:val="000000"/>
                <w:sz w:val="24"/>
                <w:szCs w:val="24"/>
                <w:lang w:val="en-GB"/>
              </w:rPr>
            </w:pPr>
            <w:r w:rsidRPr="00610838">
              <w:rPr>
                <w:rFonts w:ascii="Times New Roman" w:eastAsia="Times New Roman" w:hAnsi="Times New Roman" w:cs="Times New Roman"/>
                <w:i/>
                <w:iCs/>
                <w:color w:val="000000"/>
                <w:sz w:val="24"/>
                <w:szCs w:val="24"/>
                <w:lang w:val="en-GB"/>
              </w:rPr>
              <w:t>376</w:t>
            </w:r>
          </w:p>
        </w:tc>
      </w:tr>
    </w:tbl>
    <w:p w14:paraId="505B3C88" w14:textId="77777777" w:rsidR="002B3B13" w:rsidRPr="00610838" w:rsidRDefault="002B3B13" w:rsidP="002B3B13">
      <w:pPr>
        <w:jc w:val="both"/>
        <w:rPr>
          <w:lang w:val="en-GB"/>
        </w:rPr>
      </w:pPr>
      <w:r w:rsidRPr="00610838">
        <w:rPr>
          <w:lang w:val="en-GB"/>
        </w:rPr>
        <w:fldChar w:fldCharType="begin"/>
      </w:r>
      <w:r w:rsidRPr="00610838">
        <w:rPr>
          <w:lang w:val="en-GB"/>
        </w:rPr>
        <w:instrText xml:space="preserve"> LINK Excel.Sheet.12 "Book1" "Sheet3!R1C1:R22C4" \a \f 4 \h </w:instrText>
      </w:r>
      <w:r w:rsidRPr="00610838">
        <w:rPr>
          <w:lang w:val="en-GB"/>
        </w:rPr>
        <w:fldChar w:fldCharType="separate"/>
      </w:r>
    </w:p>
    <w:p w14:paraId="16A40A6E" w14:textId="572E122F" w:rsidR="002B3B13" w:rsidRPr="00610838" w:rsidRDefault="002B3B13" w:rsidP="002B3B13">
      <w:pPr>
        <w:rPr>
          <w:rFonts w:ascii="Times New Roman" w:hAnsi="Times New Roman" w:cs="Times New Roman"/>
          <w:iCs/>
          <w:sz w:val="20"/>
          <w:szCs w:val="24"/>
          <w:lang w:val="en-GB"/>
        </w:rPr>
        <w:sectPr w:rsidR="002B3B13" w:rsidRPr="00610838" w:rsidSect="001E59AF">
          <w:pgSz w:w="11906" w:h="16838"/>
          <w:pgMar w:top="1134" w:right="1417" w:bottom="1417" w:left="1417" w:header="708" w:footer="708" w:gutter="0"/>
          <w:cols w:space="708"/>
          <w:docGrid w:linePitch="360"/>
        </w:sectPr>
      </w:pPr>
      <w:r w:rsidRPr="00610838">
        <w:rPr>
          <w:rFonts w:ascii="Times New Roman" w:hAnsi="Times New Roman" w:cs="Times New Roman"/>
          <w:iCs/>
          <w:sz w:val="20"/>
          <w:szCs w:val="24"/>
          <w:lang w:val="en-GB"/>
        </w:rPr>
        <w:fldChar w:fldCharType="end"/>
      </w:r>
    </w:p>
    <w:p w14:paraId="2E30C8F9" w14:textId="557491C8" w:rsidR="00F10590" w:rsidRPr="00610838" w:rsidRDefault="004958C0" w:rsidP="00F10590">
      <w:pPr>
        <w:rPr>
          <w:rFonts w:ascii="Times New Roman" w:hAnsi="Times New Roman" w:cs="Times New Roman"/>
          <w:iCs/>
          <w:sz w:val="20"/>
          <w:szCs w:val="20"/>
          <w:lang w:val="en-GB"/>
        </w:rPr>
      </w:pPr>
      <w:bookmarkStart w:id="22" w:name="_Hlk54771290"/>
      <w:r w:rsidRPr="00610838">
        <w:rPr>
          <w:rFonts w:ascii="Times New Roman" w:hAnsi="Times New Roman" w:cs="Times New Roman"/>
          <w:b/>
          <w:bCs/>
          <w:sz w:val="20"/>
          <w:szCs w:val="20"/>
          <w:lang w:val="en-GB"/>
        </w:rPr>
        <w:lastRenderedPageBreak/>
        <w:t xml:space="preserve">Supplementary Table </w:t>
      </w:r>
      <w:r w:rsidR="0022643E">
        <w:rPr>
          <w:rFonts w:ascii="Times New Roman" w:hAnsi="Times New Roman" w:cs="Times New Roman"/>
          <w:b/>
          <w:bCs/>
          <w:sz w:val="20"/>
          <w:szCs w:val="20"/>
          <w:lang w:val="en-GB"/>
        </w:rPr>
        <w:t>4</w:t>
      </w:r>
      <w:r w:rsidRPr="00610838">
        <w:rPr>
          <w:rFonts w:ascii="Times New Roman" w:hAnsi="Times New Roman" w:cs="Times New Roman"/>
          <w:b/>
          <w:bCs/>
          <w:sz w:val="20"/>
          <w:szCs w:val="20"/>
          <w:lang w:val="en-GB"/>
        </w:rPr>
        <w:t xml:space="preserve">: Measurement of root related traits in hydroponic and field environment. </w:t>
      </w:r>
      <w:r w:rsidRPr="00610838">
        <w:rPr>
          <w:rFonts w:ascii="Times New Roman" w:hAnsi="Times New Roman" w:cs="Times New Roman"/>
          <w:iCs/>
          <w:sz w:val="20"/>
          <w:szCs w:val="20"/>
          <w:lang w:val="en-GB"/>
        </w:rPr>
        <w:t>All traits with a significant variation (p &lt; 0.05) between the organic and conventional environment are included in this list. Besides the mean difference (positive values are related to higher values in the organic population), The upper and lower 95% limit of the confidence interval as well as the standard deviation and the p value reported. The table is split for field and hydroponic measurements. Empty fields indicate the trait was only measured in one experiment</w:t>
      </w:r>
    </w:p>
    <w:tbl>
      <w:tblPr>
        <w:tblW w:w="16172" w:type="dxa"/>
        <w:tblInd w:w="-798" w:type="dxa"/>
        <w:tblLook w:val="04A0" w:firstRow="1" w:lastRow="0" w:firstColumn="1" w:lastColumn="0" w:noHBand="0" w:noVBand="1"/>
      </w:tblPr>
      <w:tblGrid>
        <w:gridCol w:w="3400"/>
        <w:gridCol w:w="1403"/>
        <w:gridCol w:w="1205"/>
        <w:gridCol w:w="977"/>
        <w:gridCol w:w="977"/>
        <w:gridCol w:w="977"/>
        <w:gridCol w:w="977"/>
        <w:gridCol w:w="1199"/>
        <w:gridCol w:w="977"/>
        <w:gridCol w:w="1149"/>
        <w:gridCol w:w="977"/>
        <w:gridCol w:w="977"/>
        <w:gridCol w:w="977"/>
      </w:tblGrid>
      <w:tr w:rsidR="004958C0" w:rsidRPr="00610838" w14:paraId="73744A70" w14:textId="77777777" w:rsidTr="004958C0">
        <w:trPr>
          <w:trHeight w:val="300"/>
        </w:trPr>
        <w:tc>
          <w:tcPr>
            <w:tcW w:w="3400" w:type="dxa"/>
            <w:tcBorders>
              <w:top w:val="nil"/>
              <w:left w:val="nil"/>
              <w:bottom w:val="nil"/>
              <w:right w:val="nil"/>
            </w:tcBorders>
            <w:shd w:val="clear" w:color="auto" w:fill="auto"/>
            <w:noWrap/>
            <w:vAlign w:val="bottom"/>
            <w:hideMark/>
          </w:tcPr>
          <w:p w14:paraId="209AB5FA"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6516" w:type="dxa"/>
            <w:gridSpan w:val="6"/>
            <w:tcBorders>
              <w:top w:val="nil"/>
              <w:left w:val="single" w:sz="4" w:space="0" w:color="auto"/>
              <w:bottom w:val="nil"/>
              <w:right w:val="single" w:sz="4" w:space="0" w:color="000000"/>
            </w:tcBorders>
            <w:shd w:val="clear" w:color="auto" w:fill="auto"/>
            <w:noWrap/>
            <w:vAlign w:val="bottom"/>
            <w:hideMark/>
          </w:tcPr>
          <w:p w14:paraId="6A43F02A" w14:textId="77777777" w:rsidR="004958C0" w:rsidRPr="00610838" w:rsidRDefault="004958C0" w:rsidP="004958C0">
            <w:pPr>
              <w:spacing w:after="0" w:line="240" w:lineRule="auto"/>
              <w:jc w:val="center"/>
              <w:rPr>
                <w:rFonts w:ascii="Calibri" w:eastAsia="Times New Roman" w:hAnsi="Calibri" w:cs="Calibri"/>
                <w:b/>
                <w:bCs/>
                <w:color w:val="000000"/>
                <w:sz w:val="20"/>
                <w:szCs w:val="20"/>
                <w:lang w:val="en-GB"/>
              </w:rPr>
            </w:pPr>
            <w:r w:rsidRPr="00610838">
              <w:rPr>
                <w:rFonts w:ascii="Calibri" w:eastAsia="Times New Roman" w:hAnsi="Calibri" w:cs="Calibri"/>
                <w:b/>
                <w:bCs/>
                <w:color w:val="000000"/>
                <w:sz w:val="20"/>
                <w:szCs w:val="20"/>
                <w:lang w:val="en-GB"/>
              </w:rPr>
              <w:t>Hydroponics</w:t>
            </w:r>
          </w:p>
        </w:tc>
        <w:tc>
          <w:tcPr>
            <w:tcW w:w="6256" w:type="dxa"/>
            <w:gridSpan w:val="6"/>
            <w:tcBorders>
              <w:top w:val="nil"/>
              <w:left w:val="nil"/>
              <w:bottom w:val="nil"/>
              <w:right w:val="single" w:sz="4" w:space="0" w:color="000000"/>
            </w:tcBorders>
            <w:shd w:val="clear" w:color="auto" w:fill="auto"/>
            <w:noWrap/>
            <w:vAlign w:val="bottom"/>
            <w:hideMark/>
          </w:tcPr>
          <w:p w14:paraId="4B616BE0" w14:textId="77777777" w:rsidR="004958C0" w:rsidRPr="00610838" w:rsidRDefault="004958C0" w:rsidP="004958C0">
            <w:pPr>
              <w:spacing w:after="0" w:line="240" w:lineRule="auto"/>
              <w:jc w:val="center"/>
              <w:rPr>
                <w:rFonts w:ascii="Calibri" w:eastAsia="Times New Roman" w:hAnsi="Calibri" w:cs="Calibri"/>
                <w:b/>
                <w:bCs/>
                <w:color w:val="000000"/>
                <w:sz w:val="20"/>
                <w:szCs w:val="20"/>
                <w:lang w:val="en-GB"/>
              </w:rPr>
            </w:pPr>
            <w:r w:rsidRPr="00610838">
              <w:rPr>
                <w:rFonts w:ascii="Calibri" w:eastAsia="Times New Roman" w:hAnsi="Calibri" w:cs="Calibri"/>
                <w:b/>
                <w:bCs/>
                <w:color w:val="000000"/>
                <w:sz w:val="20"/>
                <w:szCs w:val="20"/>
                <w:lang w:val="en-GB"/>
              </w:rPr>
              <w:t>Field</w:t>
            </w:r>
          </w:p>
        </w:tc>
      </w:tr>
      <w:tr w:rsidR="004958C0" w:rsidRPr="00610838" w14:paraId="0CB3316B" w14:textId="77777777" w:rsidTr="004958C0">
        <w:trPr>
          <w:trHeight w:val="315"/>
        </w:trPr>
        <w:tc>
          <w:tcPr>
            <w:tcW w:w="3400" w:type="dxa"/>
            <w:tcBorders>
              <w:top w:val="nil"/>
              <w:left w:val="nil"/>
              <w:bottom w:val="single" w:sz="8" w:space="0" w:color="auto"/>
              <w:right w:val="single" w:sz="4" w:space="0" w:color="auto"/>
            </w:tcBorders>
            <w:shd w:val="clear" w:color="auto" w:fill="auto"/>
            <w:noWrap/>
            <w:vAlign w:val="bottom"/>
            <w:hideMark/>
          </w:tcPr>
          <w:p w14:paraId="4F589144"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 </w:t>
            </w:r>
          </w:p>
        </w:tc>
        <w:tc>
          <w:tcPr>
            <w:tcW w:w="1403" w:type="dxa"/>
            <w:tcBorders>
              <w:top w:val="nil"/>
              <w:left w:val="nil"/>
              <w:bottom w:val="single" w:sz="8" w:space="0" w:color="auto"/>
              <w:right w:val="nil"/>
            </w:tcBorders>
            <w:shd w:val="clear" w:color="auto" w:fill="auto"/>
            <w:noWrap/>
            <w:vAlign w:val="bottom"/>
            <w:hideMark/>
          </w:tcPr>
          <w:p w14:paraId="13C9AACF"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 </w:t>
            </w:r>
          </w:p>
        </w:tc>
        <w:tc>
          <w:tcPr>
            <w:tcW w:w="2182" w:type="dxa"/>
            <w:gridSpan w:val="2"/>
            <w:tcBorders>
              <w:top w:val="nil"/>
              <w:left w:val="nil"/>
              <w:bottom w:val="single" w:sz="8" w:space="0" w:color="auto"/>
              <w:right w:val="single" w:sz="4" w:space="0" w:color="000000"/>
            </w:tcBorders>
            <w:shd w:val="clear" w:color="auto" w:fill="auto"/>
            <w:noWrap/>
            <w:vAlign w:val="bottom"/>
            <w:hideMark/>
          </w:tcPr>
          <w:p w14:paraId="3AAA7727" w14:textId="77777777" w:rsidR="004958C0" w:rsidRPr="00610838" w:rsidRDefault="004958C0" w:rsidP="004958C0">
            <w:pPr>
              <w:spacing w:after="0" w:line="240" w:lineRule="auto"/>
              <w:jc w:val="center"/>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Confidence interval</w:t>
            </w:r>
          </w:p>
        </w:tc>
        <w:tc>
          <w:tcPr>
            <w:tcW w:w="1954" w:type="dxa"/>
            <w:gridSpan w:val="2"/>
            <w:tcBorders>
              <w:top w:val="nil"/>
              <w:left w:val="nil"/>
              <w:bottom w:val="single" w:sz="8" w:space="0" w:color="auto"/>
              <w:right w:val="nil"/>
            </w:tcBorders>
            <w:shd w:val="clear" w:color="auto" w:fill="auto"/>
            <w:noWrap/>
            <w:vAlign w:val="bottom"/>
            <w:hideMark/>
          </w:tcPr>
          <w:p w14:paraId="38A9F699" w14:textId="77777777" w:rsidR="004958C0" w:rsidRPr="00610838" w:rsidRDefault="004958C0" w:rsidP="004958C0">
            <w:pPr>
              <w:spacing w:after="0" w:line="240" w:lineRule="auto"/>
              <w:jc w:val="center"/>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Standard deviation</w:t>
            </w:r>
          </w:p>
        </w:tc>
        <w:tc>
          <w:tcPr>
            <w:tcW w:w="977" w:type="dxa"/>
            <w:tcBorders>
              <w:top w:val="nil"/>
              <w:left w:val="nil"/>
              <w:bottom w:val="single" w:sz="8" w:space="0" w:color="auto"/>
              <w:right w:val="single" w:sz="4" w:space="0" w:color="auto"/>
            </w:tcBorders>
            <w:shd w:val="clear" w:color="auto" w:fill="auto"/>
            <w:noWrap/>
            <w:vAlign w:val="bottom"/>
            <w:hideMark/>
          </w:tcPr>
          <w:p w14:paraId="6B6626D8" w14:textId="77777777" w:rsidR="004958C0" w:rsidRPr="00610838" w:rsidRDefault="004958C0" w:rsidP="004958C0">
            <w:pPr>
              <w:spacing w:after="0" w:line="240" w:lineRule="auto"/>
              <w:jc w:val="center"/>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 </w:t>
            </w:r>
          </w:p>
        </w:tc>
        <w:tc>
          <w:tcPr>
            <w:tcW w:w="1199" w:type="dxa"/>
            <w:tcBorders>
              <w:top w:val="nil"/>
              <w:left w:val="nil"/>
              <w:bottom w:val="single" w:sz="8" w:space="0" w:color="auto"/>
              <w:right w:val="nil"/>
            </w:tcBorders>
            <w:shd w:val="clear" w:color="auto" w:fill="auto"/>
            <w:noWrap/>
            <w:vAlign w:val="bottom"/>
            <w:hideMark/>
          </w:tcPr>
          <w:p w14:paraId="48ED0F73"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 </w:t>
            </w:r>
          </w:p>
        </w:tc>
        <w:tc>
          <w:tcPr>
            <w:tcW w:w="2126" w:type="dxa"/>
            <w:gridSpan w:val="2"/>
            <w:tcBorders>
              <w:top w:val="nil"/>
              <w:left w:val="nil"/>
              <w:bottom w:val="single" w:sz="8" w:space="0" w:color="auto"/>
              <w:right w:val="single" w:sz="4" w:space="0" w:color="000000"/>
            </w:tcBorders>
            <w:shd w:val="clear" w:color="auto" w:fill="auto"/>
            <w:noWrap/>
            <w:vAlign w:val="bottom"/>
            <w:hideMark/>
          </w:tcPr>
          <w:p w14:paraId="497686AB" w14:textId="77777777" w:rsidR="004958C0" w:rsidRPr="00610838" w:rsidRDefault="004958C0" w:rsidP="004958C0">
            <w:pPr>
              <w:spacing w:after="0" w:line="240" w:lineRule="auto"/>
              <w:jc w:val="center"/>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Confidence interval</w:t>
            </w:r>
          </w:p>
        </w:tc>
        <w:tc>
          <w:tcPr>
            <w:tcW w:w="1954" w:type="dxa"/>
            <w:gridSpan w:val="2"/>
            <w:tcBorders>
              <w:top w:val="nil"/>
              <w:left w:val="nil"/>
              <w:bottom w:val="single" w:sz="8" w:space="0" w:color="auto"/>
              <w:right w:val="nil"/>
            </w:tcBorders>
            <w:shd w:val="clear" w:color="auto" w:fill="auto"/>
            <w:noWrap/>
            <w:vAlign w:val="bottom"/>
            <w:hideMark/>
          </w:tcPr>
          <w:p w14:paraId="63192A6E" w14:textId="77777777" w:rsidR="004958C0" w:rsidRPr="00610838" w:rsidRDefault="004958C0" w:rsidP="004958C0">
            <w:pPr>
              <w:spacing w:after="0" w:line="240" w:lineRule="auto"/>
              <w:jc w:val="center"/>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Standard deviation</w:t>
            </w:r>
          </w:p>
        </w:tc>
        <w:tc>
          <w:tcPr>
            <w:tcW w:w="977" w:type="dxa"/>
            <w:tcBorders>
              <w:top w:val="nil"/>
              <w:left w:val="nil"/>
              <w:bottom w:val="single" w:sz="8" w:space="0" w:color="auto"/>
              <w:right w:val="single" w:sz="4" w:space="0" w:color="auto"/>
            </w:tcBorders>
            <w:shd w:val="clear" w:color="auto" w:fill="auto"/>
            <w:noWrap/>
            <w:vAlign w:val="bottom"/>
            <w:hideMark/>
          </w:tcPr>
          <w:p w14:paraId="577DB5C5"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 </w:t>
            </w:r>
          </w:p>
        </w:tc>
      </w:tr>
      <w:tr w:rsidR="004958C0" w:rsidRPr="00610838" w14:paraId="6EB63A1E" w14:textId="77777777" w:rsidTr="004958C0">
        <w:trPr>
          <w:trHeight w:val="315"/>
        </w:trPr>
        <w:tc>
          <w:tcPr>
            <w:tcW w:w="3400" w:type="dxa"/>
            <w:tcBorders>
              <w:top w:val="nil"/>
              <w:left w:val="nil"/>
              <w:bottom w:val="double" w:sz="6" w:space="0" w:color="auto"/>
              <w:right w:val="single" w:sz="4" w:space="0" w:color="auto"/>
            </w:tcBorders>
            <w:shd w:val="clear" w:color="auto" w:fill="auto"/>
            <w:noWrap/>
            <w:vAlign w:val="bottom"/>
            <w:hideMark/>
          </w:tcPr>
          <w:p w14:paraId="517B8A18"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Trait</w:t>
            </w:r>
          </w:p>
        </w:tc>
        <w:tc>
          <w:tcPr>
            <w:tcW w:w="1403" w:type="dxa"/>
            <w:tcBorders>
              <w:top w:val="nil"/>
              <w:left w:val="nil"/>
              <w:bottom w:val="double" w:sz="6" w:space="0" w:color="auto"/>
              <w:right w:val="nil"/>
            </w:tcBorders>
            <w:shd w:val="clear" w:color="auto" w:fill="auto"/>
            <w:noWrap/>
            <w:vAlign w:val="bottom"/>
            <w:hideMark/>
          </w:tcPr>
          <w:p w14:paraId="0B6DABB7" w14:textId="77777777" w:rsidR="004958C0" w:rsidRPr="00610838" w:rsidRDefault="004958C0" w:rsidP="004958C0">
            <w:pPr>
              <w:spacing w:after="0" w:line="240" w:lineRule="auto"/>
              <w:rPr>
                <w:rFonts w:ascii="Calibri" w:eastAsia="Times New Roman" w:hAnsi="Calibri" w:cs="Calibri"/>
                <w:i/>
                <w:iCs/>
                <w:color w:val="000000"/>
                <w:sz w:val="20"/>
                <w:szCs w:val="20"/>
                <w:lang w:val="en-GB"/>
              </w:rPr>
            </w:pPr>
            <w:r w:rsidRPr="00610838">
              <w:rPr>
                <w:rFonts w:ascii="Calibri" w:eastAsia="Times New Roman" w:hAnsi="Calibri" w:cs="Calibri"/>
                <w:i/>
                <w:iCs/>
                <w:color w:val="000000"/>
                <w:sz w:val="20"/>
                <w:szCs w:val="20"/>
                <w:lang w:val="en-GB"/>
              </w:rPr>
              <w:t xml:space="preserve">Difference* </w:t>
            </w:r>
          </w:p>
        </w:tc>
        <w:tc>
          <w:tcPr>
            <w:tcW w:w="1205" w:type="dxa"/>
            <w:tcBorders>
              <w:top w:val="nil"/>
              <w:left w:val="nil"/>
              <w:bottom w:val="double" w:sz="6" w:space="0" w:color="auto"/>
              <w:right w:val="nil"/>
            </w:tcBorders>
            <w:shd w:val="clear" w:color="auto" w:fill="auto"/>
            <w:noWrap/>
            <w:vAlign w:val="bottom"/>
            <w:hideMark/>
          </w:tcPr>
          <w:p w14:paraId="09613BAA" w14:textId="77777777" w:rsidR="004958C0" w:rsidRPr="00610838" w:rsidRDefault="004958C0" w:rsidP="004958C0">
            <w:pPr>
              <w:spacing w:after="0" w:line="240" w:lineRule="auto"/>
              <w:rPr>
                <w:rFonts w:ascii="Calibri" w:eastAsia="Times New Roman" w:hAnsi="Calibri" w:cs="Calibri"/>
                <w:i/>
                <w:iCs/>
                <w:color w:val="000000"/>
                <w:sz w:val="20"/>
                <w:szCs w:val="20"/>
                <w:lang w:val="en-GB"/>
              </w:rPr>
            </w:pPr>
            <w:r w:rsidRPr="00610838">
              <w:rPr>
                <w:rFonts w:ascii="Calibri" w:eastAsia="Times New Roman" w:hAnsi="Calibri" w:cs="Calibri"/>
                <w:i/>
                <w:iCs/>
                <w:color w:val="000000"/>
                <w:sz w:val="20"/>
                <w:szCs w:val="20"/>
                <w:lang w:val="en-GB"/>
              </w:rPr>
              <w:t>lower</w:t>
            </w:r>
          </w:p>
        </w:tc>
        <w:tc>
          <w:tcPr>
            <w:tcW w:w="977" w:type="dxa"/>
            <w:tcBorders>
              <w:top w:val="nil"/>
              <w:left w:val="nil"/>
              <w:bottom w:val="double" w:sz="6" w:space="0" w:color="auto"/>
              <w:right w:val="nil"/>
            </w:tcBorders>
            <w:shd w:val="clear" w:color="auto" w:fill="auto"/>
            <w:noWrap/>
            <w:vAlign w:val="bottom"/>
            <w:hideMark/>
          </w:tcPr>
          <w:p w14:paraId="723A945D" w14:textId="77777777" w:rsidR="004958C0" w:rsidRPr="00610838" w:rsidRDefault="004958C0" w:rsidP="004958C0">
            <w:pPr>
              <w:spacing w:after="0" w:line="240" w:lineRule="auto"/>
              <w:rPr>
                <w:rFonts w:ascii="Calibri" w:eastAsia="Times New Roman" w:hAnsi="Calibri" w:cs="Calibri"/>
                <w:i/>
                <w:iCs/>
                <w:color w:val="000000"/>
                <w:sz w:val="20"/>
                <w:szCs w:val="20"/>
                <w:lang w:val="en-GB"/>
              </w:rPr>
            </w:pPr>
            <w:r w:rsidRPr="00610838">
              <w:rPr>
                <w:rFonts w:ascii="Calibri" w:eastAsia="Times New Roman" w:hAnsi="Calibri" w:cs="Calibri"/>
                <w:i/>
                <w:iCs/>
                <w:color w:val="000000"/>
                <w:sz w:val="20"/>
                <w:szCs w:val="20"/>
                <w:lang w:val="en-GB"/>
              </w:rPr>
              <w:t>upper</w:t>
            </w:r>
          </w:p>
        </w:tc>
        <w:tc>
          <w:tcPr>
            <w:tcW w:w="977" w:type="dxa"/>
            <w:tcBorders>
              <w:top w:val="nil"/>
              <w:left w:val="nil"/>
              <w:bottom w:val="double" w:sz="6" w:space="0" w:color="auto"/>
              <w:right w:val="nil"/>
            </w:tcBorders>
            <w:shd w:val="clear" w:color="auto" w:fill="auto"/>
            <w:noWrap/>
            <w:vAlign w:val="bottom"/>
            <w:hideMark/>
          </w:tcPr>
          <w:p w14:paraId="4C5AA90C" w14:textId="77777777" w:rsidR="004958C0" w:rsidRPr="00610838" w:rsidRDefault="004958C0" w:rsidP="004958C0">
            <w:pPr>
              <w:spacing w:after="0" w:line="240" w:lineRule="auto"/>
              <w:rPr>
                <w:rFonts w:ascii="Calibri" w:eastAsia="Times New Roman" w:hAnsi="Calibri" w:cs="Calibri"/>
                <w:i/>
                <w:iCs/>
                <w:color w:val="000000"/>
                <w:sz w:val="20"/>
                <w:szCs w:val="20"/>
                <w:lang w:val="en-GB"/>
              </w:rPr>
            </w:pPr>
            <w:r w:rsidRPr="00610838">
              <w:rPr>
                <w:rFonts w:ascii="Calibri" w:eastAsia="Times New Roman" w:hAnsi="Calibri" w:cs="Calibri"/>
                <w:i/>
                <w:iCs/>
                <w:color w:val="000000"/>
                <w:sz w:val="20"/>
                <w:szCs w:val="20"/>
                <w:lang w:val="en-GB"/>
              </w:rPr>
              <w:t>Convent.</w:t>
            </w:r>
          </w:p>
        </w:tc>
        <w:tc>
          <w:tcPr>
            <w:tcW w:w="977" w:type="dxa"/>
            <w:tcBorders>
              <w:top w:val="nil"/>
              <w:left w:val="nil"/>
              <w:bottom w:val="double" w:sz="6" w:space="0" w:color="auto"/>
              <w:right w:val="nil"/>
            </w:tcBorders>
            <w:shd w:val="clear" w:color="auto" w:fill="auto"/>
            <w:noWrap/>
            <w:vAlign w:val="bottom"/>
            <w:hideMark/>
          </w:tcPr>
          <w:p w14:paraId="4D14158A" w14:textId="77777777" w:rsidR="004958C0" w:rsidRPr="00610838" w:rsidRDefault="004958C0" w:rsidP="004958C0">
            <w:pPr>
              <w:spacing w:after="0" w:line="240" w:lineRule="auto"/>
              <w:rPr>
                <w:rFonts w:ascii="Calibri" w:eastAsia="Times New Roman" w:hAnsi="Calibri" w:cs="Calibri"/>
                <w:i/>
                <w:iCs/>
                <w:color w:val="000000"/>
                <w:sz w:val="20"/>
                <w:szCs w:val="20"/>
                <w:lang w:val="en-GB"/>
              </w:rPr>
            </w:pPr>
            <w:r w:rsidRPr="00610838">
              <w:rPr>
                <w:rFonts w:ascii="Calibri" w:eastAsia="Times New Roman" w:hAnsi="Calibri" w:cs="Calibri"/>
                <w:i/>
                <w:iCs/>
                <w:color w:val="000000"/>
                <w:sz w:val="20"/>
                <w:szCs w:val="20"/>
                <w:lang w:val="en-GB"/>
              </w:rPr>
              <w:t>Organic</w:t>
            </w:r>
          </w:p>
        </w:tc>
        <w:tc>
          <w:tcPr>
            <w:tcW w:w="977" w:type="dxa"/>
            <w:tcBorders>
              <w:top w:val="nil"/>
              <w:left w:val="nil"/>
              <w:bottom w:val="double" w:sz="6" w:space="0" w:color="auto"/>
              <w:right w:val="single" w:sz="4" w:space="0" w:color="auto"/>
            </w:tcBorders>
            <w:shd w:val="clear" w:color="auto" w:fill="auto"/>
            <w:noWrap/>
            <w:vAlign w:val="bottom"/>
            <w:hideMark/>
          </w:tcPr>
          <w:p w14:paraId="168B235B" w14:textId="77777777" w:rsidR="004958C0" w:rsidRPr="00610838" w:rsidRDefault="004958C0" w:rsidP="004958C0">
            <w:pPr>
              <w:spacing w:after="0" w:line="240" w:lineRule="auto"/>
              <w:rPr>
                <w:rFonts w:ascii="Calibri" w:eastAsia="Times New Roman" w:hAnsi="Calibri" w:cs="Calibri"/>
                <w:i/>
                <w:iCs/>
                <w:color w:val="000000"/>
                <w:sz w:val="20"/>
                <w:szCs w:val="20"/>
                <w:lang w:val="en-GB"/>
              </w:rPr>
            </w:pPr>
            <w:r w:rsidRPr="00610838">
              <w:rPr>
                <w:rFonts w:ascii="Calibri" w:eastAsia="Times New Roman" w:hAnsi="Calibri" w:cs="Calibri"/>
                <w:i/>
                <w:iCs/>
                <w:color w:val="000000"/>
                <w:sz w:val="20"/>
                <w:szCs w:val="20"/>
                <w:lang w:val="en-GB"/>
              </w:rPr>
              <w:t xml:space="preserve">p value </w:t>
            </w:r>
          </w:p>
        </w:tc>
        <w:tc>
          <w:tcPr>
            <w:tcW w:w="1199" w:type="dxa"/>
            <w:tcBorders>
              <w:top w:val="nil"/>
              <w:left w:val="nil"/>
              <w:bottom w:val="double" w:sz="6" w:space="0" w:color="auto"/>
              <w:right w:val="nil"/>
            </w:tcBorders>
            <w:shd w:val="clear" w:color="auto" w:fill="auto"/>
            <w:noWrap/>
            <w:vAlign w:val="bottom"/>
            <w:hideMark/>
          </w:tcPr>
          <w:p w14:paraId="72D813D3" w14:textId="77777777" w:rsidR="004958C0" w:rsidRPr="00610838" w:rsidRDefault="004958C0" w:rsidP="004958C0">
            <w:pPr>
              <w:spacing w:after="0" w:line="240" w:lineRule="auto"/>
              <w:rPr>
                <w:rFonts w:ascii="Calibri" w:eastAsia="Times New Roman" w:hAnsi="Calibri" w:cs="Calibri"/>
                <w:i/>
                <w:iCs/>
                <w:color w:val="000000"/>
                <w:sz w:val="20"/>
                <w:szCs w:val="20"/>
                <w:lang w:val="en-GB"/>
              </w:rPr>
            </w:pPr>
            <w:r w:rsidRPr="00610838">
              <w:rPr>
                <w:rFonts w:ascii="Calibri" w:eastAsia="Times New Roman" w:hAnsi="Calibri" w:cs="Calibri"/>
                <w:i/>
                <w:iCs/>
                <w:color w:val="000000"/>
                <w:sz w:val="20"/>
                <w:szCs w:val="20"/>
                <w:lang w:val="en-GB"/>
              </w:rPr>
              <w:t xml:space="preserve">Difference* </w:t>
            </w:r>
          </w:p>
        </w:tc>
        <w:tc>
          <w:tcPr>
            <w:tcW w:w="977" w:type="dxa"/>
            <w:tcBorders>
              <w:top w:val="nil"/>
              <w:left w:val="nil"/>
              <w:bottom w:val="double" w:sz="6" w:space="0" w:color="auto"/>
              <w:right w:val="nil"/>
            </w:tcBorders>
            <w:shd w:val="clear" w:color="auto" w:fill="auto"/>
            <w:noWrap/>
            <w:vAlign w:val="bottom"/>
            <w:hideMark/>
          </w:tcPr>
          <w:p w14:paraId="667D8793" w14:textId="77777777" w:rsidR="004958C0" w:rsidRPr="00610838" w:rsidRDefault="004958C0" w:rsidP="004958C0">
            <w:pPr>
              <w:spacing w:after="0" w:line="240" w:lineRule="auto"/>
              <w:rPr>
                <w:rFonts w:ascii="Calibri" w:eastAsia="Times New Roman" w:hAnsi="Calibri" w:cs="Calibri"/>
                <w:i/>
                <w:iCs/>
                <w:color w:val="000000"/>
                <w:sz w:val="20"/>
                <w:szCs w:val="20"/>
                <w:lang w:val="en-GB"/>
              </w:rPr>
            </w:pPr>
            <w:r w:rsidRPr="00610838">
              <w:rPr>
                <w:rFonts w:ascii="Calibri" w:eastAsia="Times New Roman" w:hAnsi="Calibri" w:cs="Calibri"/>
                <w:i/>
                <w:iCs/>
                <w:color w:val="000000"/>
                <w:sz w:val="20"/>
                <w:szCs w:val="20"/>
                <w:lang w:val="en-GB"/>
              </w:rPr>
              <w:t>lower</w:t>
            </w:r>
          </w:p>
        </w:tc>
        <w:tc>
          <w:tcPr>
            <w:tcW w:w="1149" w:type="dxa"/>
            <w:tcBorders>
              <w:top w:val="nil"/>
              <w:left w:val="nil"/>
              <w:bottom w:val="double" w:sz="6" w:space="0" w:color="auto"/>
              <w:right w:val="nil"/>
            </w:tcBorders>
            <w:shd w:val="clear" w:color="auto" w:fill="auto"/>
            <w:noWrap/>
            <w:vAlign w:val="bottom"/>
            <w:hideMark/>
          </w:tcPr>
          <w:p w14:paraId="78C71167" w14:textId="77777777" w:rsidR="004958C0" w:rsidRPr="00610838" w:rsidRDefault="004958C0" w:rsidP="004958C0">
            <w:pPr>
              <w:spacing w:after="0" w:line="240" w:lineRule="auto"/>
              <w:rPr>
                <w:rFonts w:ascii="Calibri" w:eastAsia="Times New Roman" w:hAnsi="Calibri" w:cs="Calibri"/>
                <w:i/>
                <w:iCs/>
                <w:color w:val="000000"/>
                <w:sz w:val="20"/>
                <w:szCs w:val="20"/>
                <w:lang w:val="en-GB"/>
              </w:rPr>
            </w:pPr>
            <w:r w:rsidRPr="00610838">
              <w:rPr>
                <w:rFonts w:ascii="Calibri" w:eastAsia="Times New Roman" w:hAnsi="Calibri" w:cs="Calibri"/>
                <w:i/>
                <w:iCs/>
                <w:color w:val="000000"/>
                <w:sz w:val="20"/>
                <w:szCs w:val="20"/>
                <w:lang w:val="en-GB"/>
              </w:rPr>
              <w:t>upper</w:t>
            </w:r>
          </w:p>
        </w:tc>
        <w:tc>
          <w:tcPr>
            <w:tcW w:w="977" w:type="dxa"/>
            <w:tcBorders>
              <w:top w:val="nil"/>
              <w:left w:val="nil"/>
              <w:bottom w:val="double" w:sz="6" w:space="0" w:color="auto"/>
              <w:right w:val="nil"/>
            </w:tcBorders>
            <w:shd w:val="clear" w:color="auto" w:fill="auto"/>
            <w:noWrap/>
            <w:vAlign w:val="bottom"/>
            <w:hideMark/>
          </w:tcPr>
          <w:p w14:paraId="07F3980E" w14:textId="77777777" w:rsidR="004958C0" w:rsidRPr="00610838" w:rsidRDefault="004958C0" w:rsidP="004958C0">
            <w:pPr>
              <w:spacing w:after="0" w:line="240" w:lineRule="auto"/>
              <w:rPr>
                <w:rFonts w:ascii="Calibri" w:eastAsia="Times New Roman" w:hAnsi="Calibri" w:cs="Calibri"/>
                <w:i/>
                <w:iCs/>
                <w:color w:val="000000"/>
                <w:sz w:val="20"/>
                <w:szCs w:val="20"/>
                <w:lang w:val="en-GB"/>
              </w:rPr>
            </w:pPr>
            <w:r w:rsidRPr="00610838">
              <w:rPr>
                <w:rFonts w:ascii="Calibri" w:eastAsia="Times New Roman" w:hAnsi="Calibri" w:cs="Calibri"/>
                <w:i/>
                <w:iCs/>
                <w:color w:val="000000"/>
                <w:sz w:val="20"/>
                <w:szCs w:val="20"/>
                <w:lang w:val="en-GB"/>
              </w:rPr>
              <w:t>Organic</w:t>
            </w:r>
          </w:p>
        </w:tc>
        <w:tc>
          <w:tcPr>
            <w:tcW w:w="977" w:type="dxa"/>
            <w:tcBorders>
              <w:top w:val="nil"/>
              <w:left w:val="nil"/>
              <w:bottom w:val="double" w:sz="6" w:space="0" w:color="auto"/>
              <w:right w:val="nil"/>
            </w:tcBorders>
            <w:shd w:val="clear" w:color="auto" w:fill="auto"/>
            <w:noWrap/>
            <w:vAlign w:val="bottom"/>
            <w:hideMark/>
          </w:tcPr>
          <w:p w14:paraId="271CF979" w14:textId="77777777" w:rsidR="004958C0" w:rsidRPr="00610838" w:rsidRDefault="004958C0" w:rsidP="004958C0">
            <w:pPr>
              <w:spacing w:after="0" w:line="240" w:lineRule="auto"/>
              <w:rPr>
                <w:rFonts w:ascii="Calibri" w:eastAsia="Times New Roman" w:hAnsi="Calibri" w:cs="Calibri"/>
                <w:i/>
                <w:iCs/>
                <w:color w:val="000000"/>
                <w:sz w:val="20"/>
                <w:szCs w:val="20"/>
                <w:lang w:val="en-GB"/>
              </w:rPr>
            </w:pPr>
            <w:r w:rsidRPr="00610838">
              <w:rPr>
                <w:rFonts w:ascii="Calibri" w:eastAsia="Times New Roman" w:hAnsi="Calibri" w:cs="Calibri"/>
                <w:i/>
                <w:iCs/>
                <w:color w:val="000000"/>
                <w:sz w:val="20"/>
                <w:szCs w:val="20"/>
                <w:lang w:val="en-GB"/>
              </w:rPr>
              <w:t>Convent.</w:t>
            </w:r>
          </w:p>
        </w:tc>
        <w:tc>
          <w:tcPr>
            <w:tcW w:w="977" w:type="dxa"/>
            <w:tcBorders>
              <w:top w:val="nil"/>
              <w:left w:val="nil"/>
              <w:bottom w:val="double" w:sz="6" w:space="0" w:color="auto"/>
              <w:right w:val="single" w:sz="4" w:space="0" w:color="auto"/>
            </w:tcBorders>
            <w:shd w:val="clear" w:color="auto" w:fill="auto"/>
            <w:noWrap/>
            <w:vAlign w:val="bottom"/>
            <w:hideMark/>
          </w:tcPr>
          <w:p w14:paraId="1D9B6D21" w14:textId="77777777" w:rsidR="004958C0" w:rsidRPr="00610838" w:rsidRDefault="004958C0" w:rsidP="004958C0">
            <w:pPr>
              <w:spacing w:after="0" w:line="240" w:lineRule="auto"/>
              <w:rPr>
                <w:rFonts w:ascii="Calibri" w:eastAsia="Times New Roman" w:hAnsi="Calibri" w:cs="Calibri"/>
                <w:i/>
                <w:iCs/>
                <w:color w:val="000000"/>
                <w:sz w:val="20"/>
                <w:szCs w:val="20"/>
                <w:lang w:val="en-GB"/>
              </w:rPr>
            </w:pPr>
            <w:r w:rsidRPr="00610838">
              <w:rPr>
                <w:rFonts w:ascii="Calibri" w:eastAsia="Times New Roman" w:hAnsi="Calibri" w:cs="Calibri"/>
                <w:i/>
                <w:iCs/>
                <w:color w:val="000000"/>
                <w:sz w:val="20"/>
                <w:szCs w:val="20"/>
                <w:lang w:val="en-GB"/>
              </w:rPr>
              <w:t>p value</w:t>
            </w:r>
          </w:p>
        </w:tc>
      </w:tr>
      <w:tr w:rsidR="004958C0" w:rsidRPr="00610838" w14:paraId="3AC83217" w14:textId="77777777" w:rsidTr="004958C0">
        <w:trPr>
          <w:trHeight w:val="315"/>
        </w:trPr>
        <w:tc>
          <w:tcPr>
            <w:tcW w:w="3400" w:type="dxa"/>
            <w:tcBorders>
              <w:top w:val="nil"/>
              <w:left w:val="nil"/>
              <w:bottom w:val="nil"/>
              <w:right w:val="nil"/>
            </w:tcBorders>
            <w:shd w:val="clear" w:color="auto" w:fill="auto"/>
            <w:noWrap/>
            <w:vAlign w:val="bottom"/>
            <w:hideMark/>
          </w:tcPr>
          <w:p w14:paraId="5FE07467"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Aerenchyma area [µm²]</w:t>
            </w:r>
          </w:p>
        </w:tc>
        <w:tc>
          <w:tcPr>
            <w:tcW w:w="1403" w:type="dxa"/>
            <w:tcBorders>
              <w:top w:val="nil"/>
              <w:left w:val="single" w:sz="4" w:space="0" w:color="auto"/>
              <w:bottom w:val="nil"/>
              <w:right w:val="nil"/>
            </w:tcBorders>
            <w:shd w:val="clear" w:color="auto" w:fill="auto"/>
            <w:noWrap/>
            <w:vAlign w:val="bottom"/>
            <w:hideMark/>
          </w:tcPr>
          <w:p w14:paraId="40DE75A6"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-0.011497719</w:t>
            </w:r>
          </w:p>
        </w:tc>
        <w:tc>
          <w:tcPr>
            <w:tcW w:w="1205" w:type="dxa"/>
            <w:tcBorders>
              <w:top w:val="nil"/>
              <w:left w:val="nil"/>
              <w:bottom w:val="nil"/>
              <w:right w:val="nil"/>
            </w:tcBorders>
            <w:shd w:val="clear" w:color="auto" w:fill="auto"/>
            <w:noWrap/>
            <w:vAlign w:val="bottom"/>
            <w:hideMark/>
          </w:tcPr>
          <w:p w14:paraId="3154402A"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-0.0143035</w:t>
            </w:r>
          </w:p>
        </w:tc>
        <w:tc>
          <w:tcPr>
            <w:tcW w:w="977" w:type="dxa"/>
            <w:tcBorders>
              <w:top w:val="nil"/>
              <w:left w:val="nil"/>
              <w:bottom w:val="nil"/>
              <w:right w:val="nil"/>
            </w:tcBorders>
            <w:shd w:val="clear" w:color="auto" w:fill="auto"/>
            <w:noWrap/>
            <w:vAlign w:val="bottom"/>
            <w:hideMark/>
          </w:tcPr>
          <w:p w14:paraId="082E6374"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-0.00869</w:t>
            </w:r>
          </w:p>
        </w:tc>
        <w:tc>
          <w:tcPr>
            <w:tcW w:w="977" w:type="dxa"/>
            <w:tcBorders>
              <w:top w:val="nil"/>
              <w:left w:val="nil"/>
              <w:bottom w:val="nil"/>
              <w:right w:val="nil"/>
            </w:tcBorders>
            <w:shd w:val="clear" w:color="auto" w:fill="auto"/>
            <w:noWrap/>
            <w:vAlign w:val="bottom"/>
            <w:hideMark/>
          </w:tcPr>
          <w:p w14:paraId="76AA0499"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0.004136</w:t>
            </w:r>
          </w:p>
        </w:tc>
        <w:tc>
          <w:tcPr>
            <w:tcW w:w="977" w:type="dxa"/>
            <w:tcBorders>
              <w:top w:val="nil"/>
              <w:left w:val="nil"/>
              <w:bottom w:val="nil"/>
              <w:right w:val="nil"/>
            </w:tcBorders>
            <w:shd w:val="clear" w:color="auto" w:fill="auto"/>
            <w:noWrap/>
            <w:vAlign w:val="bottom"/>
            <w:hideMark/>
          </w:tcPr>
          <w:p w14:paraId="737F48E8"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0.003054</w:t>
            </w:r>
          </w:p>
        </w:tc>
        <w:tc>
          <w:tcPr>
            <w:tcW w:w="977" w:type="dxa"/>
            <w:tcBorders>
              <w:top w:val="nil"/>
              <w:left w:val="nil"/>
              <w:bottom w:val="nil"/>
              <w:right w:val="nil"/>
            </w:tcBorders>
            <w:shd w:val="clear" w:color="auto" w:fill="auto"/>
            <w:noWrap/>
            <w:vAlign w:val="bottom"/>
            <w:hideMark/>
          </w:tcPr>
          <w:p w14:paraId="751CD8B3"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3.12E-14</w:t>
            </w:r>
          </w:p>
        </w:tc>
        <w:tc>
          <w:tcPr>
            <w:tcW w:w="1199" w:type="dxa"/>
            <w:tcBorders>
              <w:top w:val="nil"/>
              <w:left w:val="single" w:sz="4" w:space="0" w:color="auto"/>
              <w:bottom w:val="nil"/>
              <w:right w:val="nil"/>
            </w:tcBorders>
            <w:shd w:val="clear" w:color="auto" w:fill="auto"/>
            <w:noWrap/>
            <w:vAlign w:val="bottom"/>
            <w:hideMark/>
          </w:tcPr>
          <w:p w14:paraId="6EB244EF"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-0.0542414</w:t>
            </w:r>
          </w:p>
        </w:tc>
        <w:tc>
          <w:tcPr>
            <w:tcW w:w="977" w:type="dxa"/>
            <w:tcBorders>
              <w:top w:val="nil"/>
              <w:left w:val="nil"/>
              <w:bottom w:val="nil"/>
              <w:right w:val="nil"/>
            </w:tcBorders>
            <w:shd w:val="clear" w:color="auto" w:fill="auto"/>
            <w:noWrap/>
            <w:vAlign w:val="bottom"/>
            <w:hideMark/>
          </w:tcPr>
          <w:p w14:paraId="480B730B"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-0.0927</w:t>
            </w:r>
          </w:p>
        </w:tc>
        <w:tc>
          <w:tcPr>
            <w:tcW w:w="1149" w:type="dxa"/>
            <w:tcBorders>
              <w:top w:val="nil"/>
              <w:left w:val="nil"/>
              <w:bottom w:val="nil"/>
              <w:right w:val="nil"/>
            </w:tcBorders>
            <w:shd w:val="clear" w:color="auto" w:fill="auto"/>
            <w:noWrap/>
            <w:vAlign w:val="bottom"/>
            <w:hideMark/>
          </w:tcPr>
          <w:p w14:paraId="7A494E53"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-0.0157779</w:t>
            </w:r>
          </w:p>
        </w:tc>
        <w:tc>
          <w:tcPr>
            <w:tcW w:w="977" w:type="dxa"/>
            <w:tcBorders>
              <w:top w:val="nil"/>
              <w:left w:val="nil"/>
              <w:bottom w:val="nil"/>
              <w:right w:val="nil"/>
            </w:tcBorders>
            <w:shd w:val="clear" w:color="auto" w:fill="auto"/>
            <w:noWrap/>
            <w:vAlign w:val="bottom"/>
            <w:hideMark/>
          </w:tcPr>
          <w:p w14:paraId="694EC47B"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0.109941</w:t>
            </w:r>
          </w:p>
        </w:tc>
        <w:tc>
          <w:tcPr>
            <w:tcW w:w="977" w:type="dxa"/>
            <w:tcBorders>
              <w:top w:val="nil"/>
              <w:left w:val="nil"/>
              <w:bottom w:val="nil"/>
              <w:right w:val="nil"/>
            </w:tcBorders>
            <w:shd w:val="clear" w:color="auto" w:fill="auto"/>
            <w:noWrap/>
            <w:vAlign w:val="bottom"/>
            <w:hideMark/>
          </w:tcPr>
          <w:p w14:paraId="0DD4861E"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0.098524</w:t>
            </w:r>
          </w:p>
        </w:tc>
        <w:tc>
          <w:tcPr>
            <w:tcW w:w="977" w:type="dxa"/>
            <w:tcBorders>
              <w:top w:val="nil"/>
              <w:left w:val="nil"/>
              <w:bottom w:val="nil"/>
              <w:right w:val="single" w:sz="4" w:space="0" w:color="auto"/>
            </w:tcBorders>
            <w:shd w:val="clear" w:color="auto" w:fill="auto"/>
            <w:noWrap/>
            <w:vAlign w:val="bottom"/>
            <w:hideMark/>
          </w:tcPr>
          <w:p w14:paraId="2D29E1CD"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0.001849</w:t>
            </w:r>
          </w:p>
        </w:tc>
      </w:tr>
      <w:tr w:rsidR="004958C0" w:rsidRPr="00610838" w14:paraId="63CEC76B" w14:textId="77777777" w:rsidTr="004958C0">
        <w:trPr>
          <w:trHeight w:val="300"/>
        </w:trPr>
        <w:tc>
          <w:tcPr>
            <w:tcW w:w="3400" w:type="dxa"/>
            <w:tcBorders>
              <w:top w:val="nil"/>
              <w:left w:val="nil"/>
              <w:bottom w:val="nil"/>
              <w:right w:val="nil"/>
            </w:tcBorders>
            <w:shd w:val="clear" w:color="auto" w:fill="auto"/>
            <w:noWrap/>
            <w:vAlign w:val="bottom"/>
            <w:hideMark/>
          </w:tcPr>
          <w:p w14:paraId="2D36742C"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 xml:space="preserve">Average </w:t>
            </w:r>
            <w:r w:rsidR="00E23A1C" w:rsidRPr="00610838">
              <w:rPr>
                <w:rFonts w:ascii="Calibri" w:eastAsia="Times New Roman" w:hAnsi="Calibri" w:cs="Calibri"/>
                <w:color w:val="000000"/>
                <w:sz w:val="20"/>
                <w:szCs w:val="20"/>
                <w:lang w:val="en-GB"/>
              </w:rPr>
              <w:t>l</w:t>
            </w:r>
            <w:r w:rsidRPr="00610838">
              <w:rPr>
                <w:rFonts w:ascii="Calibri" w:eastAsia="Times New Roman" w:hAnsi="Calibri" w:cs="Calibri"/>
                <w:color w:val="000000"/>
                <w:sz w:val="20"/>
                <w:szCs w:val="20"/>
                <w:lang w:val="en-GB"/>
              </w:rPr>
              <w:t>ate metaxylem area [mm]</w:t>
            </w:r>
          </w:p>
        </w:tc>
        <w:tc>
          <w:tcPr>
            <w:tcW w:w="1403" w:type="dxa"/>
            <w:tcBorders>
              <w:top w:val="nil"/>
              <w:left w:val="single" w:sz="4" w:space="0" w:color="auto"/>
              <w:bottom w:val="nil"/>
              <w:right w:val="nil"/>
            </w:tcBorders>
            <w:shd w:val="clear" w:color="auto" w:fill="auto"/>
            <w:noWrap/>
            <w:vAlign w:val="bottom"/>
            <w:hideMark/>
          </w:tcPr>
          <w:p w14:paraId="1D139155"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-0.001184939</w:t>
            </w:r>
          </w:p>
        </w:tc>
        <w:tc>
          <w:tcPr>
            <w:tcW w:w="1205" w:type="dxa"/>
            <w:tcBorders>
              <w:top w:val="nil"/>
              <w:left w:val="nil"/>
              <w:bottom w:val="nil"/>
              <w:right w:val="nil"/>
            </w:tcBorders>
            <w:shd w:val="clear" w:color="auto" w:fill="auto"/>
            <w:noWrap/>
            <w:vAlign w:val="bottom"/>
            <w:hideMark/>
          </w:tcPr>
          <w:p w14:paraId="12BB1916"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-0.0016712</w:t>
            </w:r>
          </w:p>
        </w:tc>
        <w:tc>
          <w:tcPr>
            <w:tcW w:w="977" w:type="dxa"/>
            <w:tcBorders>
              <w:top w:val="nil"/>
              <w:left w:val="nil"/>
              <w:bottom w:val="nil"/>
              <w:right w:val="nil"/>
            </w:tcBorders>
            <w:shd w:val="clear" w:color="auto" w:fill="auto"/>
            <w:noWrap/>
            <w:vAlign w:val="bottom"/>
            <w:hideMark/>
          </w:tcPr>
          <w:p w14:paraId="2EBE251A"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-0.0007</w:t>
            </w:r>
          </w:p>
        </w:tc>
        <w:tc>
          <w:tcPr>
            <w:tcW w:w="977" w:type="dxa"/>
            <w:tcBorders>
              <w:top w:val="nil"/>
              <w:left w:val="nil"/>
              <w:bottom w:val="nil"/>
              <w:right w:val="nil"/>
            </w:tcBorders>
            <w:shd w:val="clear" w:color="auto" w:fill="auto"/>
            <w:noWrap/>
            <w:vAlign w:val="bottom"/>
            <w:hideMark/>
          </w:tcPr>
          <w:p w14:paraId="4FA2348E"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0.001286</w:t>
            </w:r>
          </w:p>
        </w:tc>
        <w:tc>
          <w:tcPr>
            <w:tcW w:w="977" w:type="dxa"/>
            <w:tcBorders>
              <w:top w:val="nil"/>
              <w:left w:val="nil"/>
              <w:bottom w:val="nil"/>
              <w:right w:val="nil"/>
            </w:tcBorders>
            <w:shd w:val="clear" w:color="auto" w:fill="auto"/>
            <w:noWrap/>
            <w:vAlign w:val="bottom"/>
            <w:hideMark/>
          </w:tcPr>
          <w:p w14:paraId="1CC70AD3"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0.00115</w:t>
            </w:r>
          </w:p>
        </w:tc>
        <w:tc>
          <w:tcPr>
            <w:tcW w:w="977" w:type="dxa"/>
            <w:tcBorders>
              <w:top w:val="nil"/>
              <w:left w:val="nil"/>
              <w:bottom w:val="nil"/>
              <w:right w:val="nil"/>
            </w:tcBorders>
            <w:shd w:val="clear" w:color="auto" w:fill="auto"/>
            <w:noWrap/>
            <w:vAlign w:val="bottom"/>
            <w:hideMark/>
          </w:tcPr>
          <w:p w14:paraId="1AF6EEF6"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8.86E-09</w:t>
            </w:r>
          </w:p>
        </w:tc>
        <w:tc>
          <w:tcPr>
            <w:tcW w:w="1199" w:type="dxa"/>
            <w:tcBorders>
              <w:top w:val="nil"/>
              <w:left w:val="single" w:sz="4" w:space="0" w:color="auto"/>
              <w:bottom w:val="nil"/>
              <w:right w:val="nil"/>
            </w:tcBorders>
            <w:shd w:val="clear" w:color="auto" w:fill="auto"/>
            <w:noWrap/>
            <w:vAlign w:val="bottom"/>
            <w:hideMark/>
          </w:tcPr>
          <w:p w14:paraId="0E3A1096"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c>
          <w:tcPr>
            <w:tcW w:w="977" w:type="dxa"/>
            <w:tcBorders>
              <w:top w:val="nil"/>
              <w:left w:val="nil"/>
              <w:bottom w:val="nil"/>
              <w:right w:val="nil"/>
            </w:tcBorders>
            <w:shd w:val="clear" w:color="auto" w:fill="auto"/>
            <w:noWrap/>
            <w:vAlign w:val="bottom"/>
            <w:hideMark/>
          </w:tcPr>
          <w:p w14:paraId="649B0D54"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p>
        </w:tc>
        <w:tc>
          <w:tcPr>
            <w:tcW w:w="1149" w:type="dxa"/>
            <w:tcBorders>
              <w:top w:val="nil"/>
              <w:left w:val="nil"/>
              <w:bottom w:val="nil"/>
              <w:right w:val="nil"/>
            </w:tcBorders>
            <w:shd w:val="clear" w:color="auto" w:fill="auto"/>
            <w:noWrap/>
            <w:vAlign w:val="bottom"/>
            <w:hideMark/>
          </w:tcPr>
          <w:p w14:paraId="2B5B2A41"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6370D82D"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7B222B02"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single" w:sz="4" w:space="0" w:color="auto"/>
            </w:tcBorders>
            <w:shd w:val="clear" w:color="auto" w:fill="auto"/>
            <w:noWrap/>
            <w:vAlign w:val="bottom"/>
            <w:hideMark/>
          </w:tcPr>
          <w:p w14:paraId="68D8E4CF"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r>
      <w:tr w:rsidR="004958C0" w:rsidRPr="00610838" w14:paraId="4EF08BC4" w14:textId="77777777" w:rsidTr="004958C0">
        <w:trPr>
          <w:trHeight w:val="300"/>
        </w:trPr>
        <w:tc>
          <w:tcPr>
            <w:tcW w:w="3400" w:type="dxa"/>
            <w:tcBorders>
              <w:top w:val="nil"/>
              <w:left w:val="nil"/>
              <w:bottom w:val="nil"/>
              <w:right w:val="nil"/>
            </w:tcBorders>
            <w:shd w:val="clear" w:color="auto" w:fill="auto"/>
            <w:noWrap/>
            <w:vAlign w:val="bottom"/>
            <w:hideMark/>
          </w:tcPr>
          <w:p w14:paraId="0EC53522"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cortical cell area [mm²]</w:t>
            </w:r>
          </w:p>
        </w:tc>
        <w:tc>
          <w:tcPr>
            <w:tcW w:w="1403" w:type="dxa"/>
            <w:tcBorders>
              <w:top w:val="nil"/>
              <w:left w:val="single" w:sz="4" w:space="0" w:color="auto"/>
              <w:bottom w:val="nil"/>
              <w:right w:val="nil"/>
            </w:tcBorders>
            <w:shd w:val="clear" w:color="auto" w:fill="auto"/>
            <w:noWrap/>
            <w:vAlign w:val="bottom"/>
            <w:hideMark/>
          </w:tcPr>
          <w:p w14:paraId="3E9403FC" w14:textId="77777777" w:rsidR="004958C0" w:rsidRPr="00610838" w:rsidRDefault="004958C0" w:rsidP="004958C0">
            <w:pPr>
              <w:spacing w:after="0" w:line="240" w:lineRule="auto"/>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 </w:t>
            </w:r>
          </w:p>
        </w:tc>
        <w:tc>
          <w:tcPr>
            <w:tcW w:w="1205" w:type="dxa"/>
            <w:tcBorders>
              <w:top w:val="nil"/>
              <w:left w:val="nil"/>
              <w:bottom w:val="nil"/>
              <w:right w:val="nil"/>
            </w:tcBorders>
            <w:shd w:val="clear" w:color="auto" w:fill="auto"/>
            <w:noWrap/>
            <w:vAlign w:val="bottom"/>
            <w:hideMark/>
          </w:tcPr>
          <w:p w14:paraId="4F69C1F3" w14:textId="77777777" w:rsidR="004958C0" w:rsidRPr="00610838" w:rsidRDefault="004958C0" w:rsidP="004958C0">
            <w:pPr>
              <w:spacing w:after="0" w:line="240" w:lineRule="auto"/>
              <w:rPr>
                <w:rFonts w:ascii="Calibri" w:eastAsia="Times New Roman" w:hAnsi="Calibri" w:cs="Calibri"/>
                <w:i/>
                <w:iCs/>
                <w:color w:val="4472C4"/>
                <w:sz w:val="20"/>
                <w:szCs w:val="20"/>
                <w:lang w:val="en-GB"/>
              </w:rPr>
            </w:pPr>
          </w:p>
        </w:tc>
        <w:tc>
          <w:tcPr>
            <w:tcW w:w="977" w:type="dxa"/>
            <w:tcBorders>
              <w:top w:val="nil"/>
              <w:left w:val="nil"/>
              <w:bottom w:val="nil"/>
              <w:right w:val="nil"/>
            </w:tcBorders>
            <w:shd w:val="clear" w:color="auto" w:fill="auto"/>
            <w:noWrap/>
            <w:vAlign w:val="bottom"/>
            <w:hideMark/>
          </w:tcPr>
          <w:p w14:paraId="2742543B"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36A623D1"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1EB8CE3D"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32CCAE50"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1199" w:type="dxa"/>
            <w:tcBorders>
              <w:top w:val="nil"/>
              <w:left w:val="single" w:sz="4" w:space="0" w:color="auto"/>
              <w:bottom w:val="nil"/>
              <w:right w:val="nil"/>
            </w:tcBorders>
            <w:shd w:val="clear" w:color="auto" w:fill="auto"/>
            <w:noWrap/>
            <w:vAlign w:val="bottom"/>
            <w:hideMark/>
          </w:tcPr>
          <w:p w14:paraId="7147F6B8"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-0.0654444</w:t>
            </w:r>
          </w:p>
        </w:tc>
        <w:tc>
          <w:tcPr>
            <w:tcW w:w="977" w:type="dxa"/>
            <w:tcBorders>
              <w:top w:val="nil"/>
              <w:left w:val="nil"/>
              <w:bottom w:val="nil"/>
              <w:right w:val="nil"/>
            </w:tcBorders>
            <w:shd w:val="clear" w:color="auto" w:fill="auto"/>
            <w:noWrap/>
            <w:vAlign w:val="bottom"/>
            <w:hideMark/>
          </w:tcPr>
          <w:p w14:paraId="70D0F1DE"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-0.11341</w:t>
            </w:r>
          </w:p>
        </w:tc>
        <w:tc>
          <w:tcPr>
            <w:tcW w:w="1149" w:type="dxa"/>
            <w:tcBorders>
              <w:top w:val="nil"/>
              <w:left w:val="nil"/>
              <w:bottom w:val="nil"/>
              <w:right w:val="nil"/>
            </w:tcBorders>
            <w:shd w:val="clear" w:color="auto" w:fill="auto"/>
            <w:noWrap/>
            <w:vAlign w:val="bottom"/>
            <w:hideMark/>
          </w:tcPr>
          <w:p w14:paraId="1ADBC9C3"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-0.0174789</w:t>
            </w:r>
          </w:p>
        </w:tc>
        <w:tc>
          <w:tcPr>
            <w:tcW w:w="977" w:type="dxa"/>
            <w:tcBorders>
              <w:top w:val="nil"/>
              <w:left w:val="nil"/>
              <w:bottom w:val="nil"/>
              <w:right w:val="nil"/>
            </w:tcBorders>
            <w:shd w:val="clear" w:color="auto" w:fill="auto"/>
            <w:noWrap/>
            <w:vAlign w:val="bottom"/>
            <w:hideMark/>
          </w:tcPr>
          <w:p w14:paraId="7CD7F7E8"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0.138408</w:t>
            </w:r>
          </w:p>
        </w:tc>
        <w:tc>
          <w:tcPr>
            <w:tcW w:w="977" w:type="dxa"/>
            <w:tcBorders>
              <w:top w:val="nil"/>
              <w:left w:val="nil"/>
              <w:bottom w:val="nil"/>
              <w:right w:val="nil"/>
            </w:tcBorders>
            <w:shd w:val="clear" w:color="auto" w:fill="auto"/>
            <w:noWrap/>
            <w:vAlign w:val="bottom"/>
            <w:hideMark/>
          </w:tcPr>
          <w:p w14:paraId="044E76B9"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0.123134</w:t>
            </w:r>
          </w:p>
        </w:tc>
        <w:tc>
          <w:tcPr>
            <w:tcW w:w="977" w:type="dxa"/>
            <w:tcBorders>
              <w:top w:val="nil"/>
              <w:left w:val="nil"/>
              <w:bottom w:val="nil"/>
              <w:right w:val="single" w:sz="4" w:space="0" w:color="auto"/>
            </w:tcBorders>
            <w:shd w:val="clear" w:color="auto" w:fill="auto"/>
            <w:noWrap/>
            <w:vAlign w:val="bottom"/>
            <w:hideMark/>
          </w:tcPr>
          <w:p w14:paraId="512D3900"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0.002813</w:t>
            </w:r>
          </w:p>
        </w:tc>
      </w:tr>
      <w:tr w:rsidR="004958C0" w:rsidRPr="00610838" w14:paraId="23812C31" w14:textId="77777777" w:rsidTr="004958C0">
        <w:trPr>
          <w:trHeight w:val="300"/>
        </w:trPr>
        <w:tc>
          <w:tcPr>
            <w:tcW w:w="3400" w:type="dxa"/>
            <w:tcBorders>
              <w:top w:val="nil"/>
              <w:left w:val="nil"/>
              <w:bottom w:val="nil"/>
              <w:right w:val="nil"/>
            </w:tcBorders>
            <w:shd w:val="clear" w:color="auto" w:fill="auto"/>
            <w:noWrap/>
            <w:vAlign w:val="bottom"/>
            <w:hideMark/>
          </w:tcPr>
          <w:p w14:paraId="7D2EC514"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Late metaxylem area [mm²]</w:t>
            </w:r>
          </w:p>
        </w:tc>
        <w:tc>
          <w:tcPr>
            <w:tcW w:w="1403" w:type="dxa"/>
            <w:tcBorders>
              <w:top w:val="nil"/>
              <w:left w:val="single" w:sz="4" w:space="0" w:color="auto"/>
              <w:bottom w:val="nil"/>
              <w:right w:val="nil"/>
            </w:tcBorders>
            <w:shd w:val="clear" w:color="auto" w:fill="auto"/>
            <w:noWrap/>
            <w:vAlign w:val="bottom"/>
            <w:hideMark/>
          </w:tcPr>
          <w:p w14:paraId="064B792B"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-1.250716901</w:t>
            </w:r>
          </w:p>
        </w:tc>
        <w:tc>
          <w:tcPr>
            <w:tcW w:w="1205" w:type="dxa"/>
            <w:tcBorders>
              <w:top w:val="nil"/>
              <w:left w:val="nil"/>
              <w:bottom w:val="nil"/>
              <w:right w:val="nil"/>
            </w:tcBorders>
            <w:shd w:val="clear" w:color="auto" w:fill="auto"/>
            <w:noWrap/>
            <w:vAlign w:val="bottom"/>
            <w:hideMark/>
          </w:tcPr>
          <w:p w14:paraId="1874257D"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-1.751392</w:t>
            </w:r>
          </w:p>
        </w:tc>
        <w:tc>
          <w:tcPr>
            <w:tcW w:w="977" w:type="dxa"/>
            <w:tcBorders>
              <w:top w:val="nil"/>
              <w:left w:val="nil"/>
              <w:bottom w:val="nil"/>
              <w:right w:val="nil"/>
            </w:tcBorders>
            <w:shd w:val="clear" w:color="auto" w:fill="auto"/>
            <w:noWrap/>
            <w:vAlign w:val="bottom"/>
            <w:hideMark/>
          </w:tcPr>
          <w:p w14:paraId="3ACEEF19"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-0.75004</w:t>
            </w:r>
          </w:p>
        </w:tc>
        <w:tc>
          <w:tcPr>
            <w:tcW w:w="977" w:type="dxa"/>
            <w:tcBorders>
              <w:top w:val="nil"/>
              <w:left w:val="nil"/>
              <w:bottom w:val="nil"/>
              <w:right w:val="nil"/>
            </w:tcBorders>
            <w:shd w:val="clear" w:color="auto" w:fill="auto"/>
            <w:noWrap/>
            <w:vAlign w:val="bottom"/>
            <w:hideMark/>
          </w:tcPr>
          <w:p w14:paraId="2FB75EE3"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0.935752</w:t>
            </w:r>
          </w:p>
        </w:tc>
        <w:tc>
          <w:tcPr>
            <w:tcW w:w="977" w:type="dxa"/>
            <w:tcBorders>
              <w:top w:val="nil"/>
              <w:left w:val="nil"/>
              <w:bottom w:val="nil"/>
              <w:right w:val="nil"/>
            </w:tcBorders>
            <w:shd w:val="clear" w:color="auto" w:fill="auto"/>
            <w:noWrap/>
            <w:vAlign w:val="bottom"/>
            <w:hideMark/>
          </w:tcPr>
          <w:p w14:paraId="28BFE4E9"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0.899866</w:t>
            </w:r>
          </w:p>
        </w:tc>
        <w:tc>
          <w:tcPr>
            <w:tcW w:w="977" w:type="dxa"/>
            <w:tcBorders>
              <w:top w:val="nil"/>
              <w:left w:val="nil"/>
              <w:bottom w:val="nil"/>
              <w:right w:val="nil"/>
            </w:tcBorders>
            <w:shd w:val="clear" w:color="auto" w:fill="auto"/>
            <w:noWrap/>
            <w:vAlign w:val="bottom"/>
            <w:hideMark/>
          </w:tcPr>
          <w:p w14:paraId="64BD8C32"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3.69E-09</w:t>
            </w:r>
          </w:p>
        </w:tc>
        <w:tc>
          <w:tcPr>
            <w:tcW w:w="1199" w:type="dxa"/>
            <w:tcBorders>
              <w:top w:val="nil"/>
              <w:left w:val="single" w:sz="4" w:space="0" w:color="auto"/>
              <w:bottom w:val="nil"/>
              <w:right w:val="nil"/>
            </w:tcBorders>
            <w:shd w:val="clear" w:color="auto" w:fill="auto"/>
            <w:noWrap/>
            <w:vAlign w:val="bottom"/>
            <w:hideMark/>
          </w:tcPr>
          <w:p w14:paraId="56B833ED"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0.41661513</w:t>
            </w:r>
          </w:p>
        </w:tc>
        <w:tc>
          <w:tcPr>
            <w:tcW w:w="977" w:type="dxa"/>
            <w:tcBorders>
              <w:top w:val="nil"/>
              <w:left w:val="nil"/>
              <w:bottom w:val="nil"/>
              <w:right w:val="nil"/>
            </w:tcBorders>
            <w:shd w:val="clear" w:color="auto" w:fill="auto"/>
            <w:noWrap/>
            <w:vAlign w:val="bottom"/>
            <w:hideMark/>
          </w:tcPr>
          <w:p w14:paraId="73ACFC29"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0.128173</w:t>
            </w:r>
          </w:p>
        </w:tc>
        <w:tc>
          <w:tcPr>
            <w:tcW w:w="1149" w:type="dxa"/>
            <w:tcBorders>
              <w:top w:val="nil"/>
              <w:left w:val="nil"/>
              <w:bottom w:val="nil"/>
              <w:right w:val="nil"/>
            </w:tcBorders>
            <w:shd w:val="clear" w:color="auto" w:fill="auto"/>
            <w:noWrap/>
            <w:vAlign w:val="bottom"/>
            <w:hideMark/>
          </w:tcPr>
          <w:p w14:paraId="4E52B4C5"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0.7050568</w:t>
            </w:r>
          </w:p>
        </w:tc>
        <w:tc>
          <w:tcPr>
            <w:tcW w:w="977" w:type="dxa"/>
            <w:tcBorders>
              <w:top w:val="nil"/>
              <w:left w:val="nil"/>
              <w:bottom w:val="nil"/>
              <w:right w:val="nil"/>
            </w:tcBorders>
            <w:shd w:val="clear" w:color="auto" w:fill="auto"/>
            <w:noWrap/>
            <w:vAlign w:val="bottom"/>
            <w:hideMark/>
          </w:tcPr>
          <w:p w14:paraId="55EDB76A"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0.733038</w:t>
            </w:r>
          </w:p>
        </w:tc>
        <w:tc>
          <w:tcPr>
            <w:tcW w:w="977" w:type="dxa"/>
            <w:tcBorders>
              <w:top w:val="nil"/>
              <w:left w:val="nil"/>
              <w:bottom w:val="nil"/>
              <w:right w:val="nil"/>
            </w:tcBorders>
            <w:shd w:val="clear" w:color="auto" w:fill="auto"/>
            <w:noWrap/>
            <w:vAlign w:val="bottom"/>
            <w:hideMark/>
          </w:tcPr>
          <w:p w14:paraId="1BA25326"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0.857624</w:t>
            </w:r>
          </w:p>
        </w:tc>
        <w:tc>
          <w:tcPr>
            <w:tcW w:w="977" w:type="dxa"/>
            <w:tcBorders>
              <w:top w:val="nil"/>
              <w:left w:val="nil"/>
              <w:bottom w:val="nil"/>
              <w:right w:val="single" w:sz="4" w:space="0" w:color="auto"/>
            </w:tcBorders>
            <w:shd w:val="clear" w:color="auto" w:fill="auto"/>
            <w:noWrap/>
            <w:vAlign w:val="bottom"/>
            <w:hideMark/>
          </w:tcPr>
          <w:p w14:paraId="3D5C9306"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0.001342</w:t>
            </w:r>
          </w:p>
        </w:tc>
      </w:tr>
      <w:tr w:rsidR="004958C0" w:rsidRPr="00610838" w14:paraId="37E2B073" w14:textId="77777777" w:rsidTr="004958C0">
        <w:trPr>
          <w:trHeight w:val="300"/>
        </w:trPr>
        <w:tc>
          <w:tcPr>
            <w:tcW w:w="3400" w:type="dxa"/>
            <w:tcBorders>
              <w:top w:val="nil"/>
              <w:left w:val="nil"/>
              <w:bottom w:val="nil"/>
              <w:right w:val="nil"/>
            </w:tcBorders>
            <w:shd w:val="clear" w:color="auto" w:fill="auto"/>
            <w:noWrap/>
            <w:vAlign w:val="bottom"/>
            <w:hideMark/>
          </w:tcPr>
          <w:p w14:paraId="2D891391"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Ratio length per volume</w:t>
            </w:r>
          </w:p>
        </w:tc>
        <w:tc>
          <w:tcPr>
            <w:tcW w:w="1403" w:type="dxa"/>
            <w:tcBorders>
              <w:top w:val="nil"/>
              <w:left w:val="single" w:sz="4" w:space="0" w:color="auto"/>
              <w:bottom w:val="nil"/>
              <w:right w:val="nil"/>
            </w:tcBorders>
            <w:shd w:val="clear" w:color="auto" w:fill="auto"/>
            <w:noWrap/>
            <w:vAlign w:val="bottom"/>
            <w:hideMark/>
          </w:tcPr>
          <w:p w14:paraId="7EC06B40"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228.0383594</w:t>
            </w:r>
          </w:p>
        </w:tc>
        <w:tc>
          <w:tcPr>
            <w:tcW w:w="1205" w:type="dxa"/>
            <w:tcBorders>
              <w:top w:val="nil"/>
              <w:left w:val="nil"/>
              <w:bottom w:val="nil"/>
              <w:right w:val="nil"/>
            </w:tcBorders>
            <w:shd w:val="clear" w:color="auto" w:fill="auto"/>
            <w:noWrap/>
            <w:vAlign w:val="bottom"/>
            <w:hideMark/>
          </w:tcPr>
          <w:p w14:paraId="36DF84B1"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99.6565744</w:t>
            </w:r>
          </w:p>
        </w:tc>
        <w:tc>
          <w:tcPr>
            <w:tcW w:w="977" w:type="dxa"/>
            <w:tcBorders>
              <w:top w:val="nil"/>
              <w:left w:val="nil"/>
              <w:bottom w:val="nil"/>
              <w:right w:val="nil"/>
            </w:tcBorders>
            <w:shd w:val="clear" w:color="auto" w:fill="auto"/>
            <w:noWrap/>
            <w:vAlign w:val="bottom"/>
            <w:hideMark/>
          </w:tcPr>
          <w:p w14:paraId="37F23951"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356.4201</w:t>
            </w:r>
          </w:p>
        </w:tc>
        <w:tc>
          <w:tcPr>
            <w:tcW w:w="977" w:type="dxa"/>
            <w:tcBorders>
              <w:top w:val="nil"/>
              <w:left w:val="nil"/>
              <w:bottom w:val="nil"/>
              <w:right w:val="nil"/>
            </w:tcBorders>
            <w:shd w:val="clear" w:color="auto" w:fill="auto"/>
            <w:noWrap/>
            <w:vAlign w:val="bottom"/>
            <w:hideMark/>
          </w:tcPr>
          <w:p w14:paraId="628DA90C"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187.0543</w:t>
            </w:r>
          </w:p>
        </w:tc>
        <w:tc>
          <w:tcPr>
            <w:tcW w:w="977" w:type="dxa"/>
            <w:tcBorders>
              <w:top w:val="nil"/>
              <w:left w:val="nil"/>
              <w:bottom w:val="nil"/>
              <w:right w:val="nil"/>
            </w:tcBorders>
            <w:shd w:val="clear" w:color="auto" w:fill="auto"/>
            <w:noWrap/>
            <w:vAlign w:val="bottom"/>
            <w:hideMark/>
          </w:tcPr>
          <w:p w14:paraId="6F9B1C48"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455.4954</w:t>
            </w:r>
          </w:p>
        </w:tc>
        <w:tc>
          <w:tcPr>
            <w:tcW w:w="977" w:type="dxa"/>
            <w:tcBorders>
              <w:top w:val="nil"/>
              <w:left w:val="nil"/>
              <w:bottom w:val="nil"/>
              <w:right w:val="nil"/>
            </w:tcBorders>
            <w:shd w:val="clear" w:color="auto" w:fill="auto"/>
            <w:noWrap/>
            <w:vAlign w:val="bottom"/>
            <w:hideMark/>
          </w:tcPr>
          <w:p w14:paraId="2C98D7B7"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4.22E-05</w:t>
            </w:r>
          </w:p>
        </w:tc>
        <w:tc>
          <w:tcPr>
            <w:tcW w:w="1199" w:type="dxa"/>
            <w:tcBorders>
              <w:top w:val="nil"/>
              <w:left w:val="single" w:sz="4" w:space="0" w:color="auto"/>
              <w:bottom w:val="nil"/>
              <w:right w:val="nil"/>
            </w:tcBorders>
            <w:shd w:val="clear" w:color="auto" w:fill="auto"/>
            <w:noWrap/>
            <w:vAlign w:val="bottom"/>
            <w:hideMark/>
          </w:tcPr>
          <w:p w14:paraId="7E984E22"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42.6210091</w:t>
            </w:r>
          </w:p>
        </w:tc>
        <w:tc>
          <w:tcPr>
            <w:tcW w:w="977" w:type="dxa"/>
            <w:tcBorders>
              <w:top w:val="nil"/>
              <w:left w:val="nil"/>
              <w:bottom w:val="nil"/>
              <w:right w:val="nil"/>
            </w:tcBorders>
            <w:shd w:val="clear" w:color="auto" w:fill="auto"/>
            <w:noWrap/>
            <w:vAlign w:val="bottom"/>
            <w:hideMark/>
          </w:tcPr>
          <w:p w14:paraId="33FA7992"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18.87541</w:t>
            </w:r>
          </w:p>
        </w:tc>
        <w:tc>
          <w:tcPr>
            <w:tcW w:w="1149" w:type="dxa"/>
            <w:tcBorders>
              <w:top w:val="nil"/>
              <w:left w:val="nil"/>
              <w:bottom w:val="nil"/>
              <w:right w:val="nil"/>
            </w:tcBorders>
            <w:shd w:val="clear" w:color="auto" w:fill="auto"/>
            <w:noWrap/>
            <w:vAlign w:val="bottom"/>
            <w:hideMark/>
          </w:tcPr>
          <w:p w14:paraId="2B169C66"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66.366606</w:t>
            </w:r>
          </w:p>
        </w:tc>
        <w:tc>
          <w:tcPr>
            <w:tcW w:w="977" w:type="dxa"/>
            <w:tcBorders>
              <w:top w:val="nil"/>
              <w:left w:val="nil"/>
              <w:bottom w:val="nil"/>
              <w:right w:val="nil"/>
            </w:tcBorders>
            <w:shd w:val="clear" w:color="auto" w:fill="auto"/>
            <w:noWrap/>
            <w:vAlign w:val="bottom"/>
            <w:hideMark/>
          </w:tcPr>
          <w:p w14:paraId="1D7ABE0A"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52.98558</w:t>
            </w:r>
          </w:p>
        </w:tc>
        <w:tc>
          <w:tcPr>
            <w:tcW w:w="977" w:type="dxa"/>
            <w:tcBorders>
              <w:top w:val="nil"/>
              <w:left w:val="nil"/>
              <w:bottom w:val="nil"/>
              <w:right w:val="nil"/>
            </w:tcBorders>
            <w:shd w:val="clear" w:color="auto" w:fill="auto"/>
            <w:noWrap/>
            <w:vAlign w:val="bottom"/>
            <w:hideMark/>
          </w:tcPr>
          <w:p w14:paraId="08D935F7"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77.17192</w:t>
            </w:r>
          </w:p>
        </w:tc>
        <w:tc>
          <w:tcPr>
            <w:tcW w:w="977" w:type="dxa"/>
            <w:tcBorders>
              <w:top w:val="nil"/>
              <w:left w:val="nil"/>
              <w:bottom w:val="nil"/>
              <w:right w:val="single" w:sz="4" w:space="0" w:color="auto"/>
            </w:tcBorders>
            <w:shd w:val="clear" w:color="auto" w:fill="auto"/>
            <w:noWrap/>
            <w:vAlign w:val="bottom"/>
            <w:hideMark/>
          </w:tcPr>
          <w:p w14:paraId="0FF7FE47"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3.46E-05</w:t>
            </w:r>
          </w:p>
        </w:tc>
      </w:tr>
      <w:tr w:rsidR="004958C0" w:rsidRPr="00610838" w14:paraId="27FD8B4B" w14:textId="77777777" w:rsidTr="004958C0">
        <w:trPr>
          <w:trHeight w:val="300"/>
        </w:trPr>
        <w:tc>
          <w:tcPr>
            <w:tcW w:w="3400" w:type="dxa"/>
            <w:tcBorders>
              <w:top w:val="nil"/>
              <w:left w:val="nil"/>
              <w:bottom w:val="nil"/>
              <w:right w:val="nil"/>
            </w:tcBorders>
            <w:shd w:val="clear" w:color="auto" w:fill="auto"/>
            <w:noWrap/>
            <w:vAlign w:val="bottom"/>
            <w:hideMark/>
          </w:tcPr>
          <w:p w14:paraId="0E9810A2"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Root angle [°]</w:t>
            </w:r>
          </w:p>
        </w:tc>
        <w:tc>
          <w:tcPr>
            <w:tcW w:w="1403" w:type="dxa"/>
            <w:tcBorders>
              <w:top w:val="nil"/>
              <w:left w:val="single" w:sz="4" w:space="0" w:color="auto"/>
              <w:bottom w:val="nil"/>
              <w:right w:val="nil"/>
            </w:tcBorders>
            <w:shd w:val="clear" w:color="auto" w:fill="auto"/>
            <w:noWrap/>
            <w:vAlign w:val="bottom"/>
            <w:hideMark/>
          </w:tcPr>
          <w:p w14:paraId="7AC2DD0E" w14:textId="77777777" w:rsidR="004958C0" w:rsidRPr="00610838" w:rsidRDefault="004958C0" w:rsidP="004958C0">
            <w:pPr>
              <w:spacing w:after="0" w:line="240" w:lineRule="auto"/>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 </w:t>
            </w:r>
          </w:p>
        </w:tc>
        <w:tc>
          <w:tcPr>
            <w:tcW w:w="1205" w:type="dxa"/>
            <w:tcBorders>
              <w:top w:val="nil"/>
              <w:left w:val="nil"/>
              <w:bottom w:val="nil"/>
              <w:right w:val="nil"/>
            </w:tcBorders>
            <w:shd w:val="clear" w:color="auto" w:fill="auto"/>
            <w:noWrap/>
            <w:vAlign w:val="bottom"/>
            <w:hideMark/>
          </w:tcPr>
          <w:p w14:paraId="20A769DC" w14:textId="77777777" w:rsidR="004958C0" w:rsidRPr="00610838" w:rsidRDefault="004958C0" w:rsidP="004958C0">
            <w:pPr>
              <w:spacing w:after="0" w:line="240" w:lineRule="auto"/>
              <w:rPr>
                <w:rFonts w:ascii="Calibri" w:eastAsia="Times New Roman" w:hAnsi="Calibri" w:cs="Calibri"/>
                <w:i/>
                <w:iCs/>
                <w:color w:val="4472C4"/>
                <w:sz w:val="20"/>
                <w:szCs w:val="20"/>
                <w:lang w:val="en-GB"/>
              </w:rPr>
            </w:pPr>
          </w:p>
        </w:tc>
        <w:tc>
          <w:tcPr>
            <w:tcW w:w="977" w:type="dxa"/>
            <w:tcBorders>
              <w:top w:val="nil"/>
              <w:left w:val="nil"/>
              <w:bottom w:val="nil"/>
              <w:right w:val="nil"/>
            </w:tcBorders>
            <w:shd w:val="clear" w:color="auto" w:fill="auto"/>
            <w:noWrap/>
            <w:vAlign w:val="bottom"/>
            <w:hideMark/>
          </w:tcPr>
          <w:p w14:paraId="5194D57E"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55CF21EE"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06559B87"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1D3C4B62"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1199" w:type="dxa"/>
            <w:tcBorders>
              <w:top w:val="nil"/>
              <w:left w:val="single" w:sz="4" w:space="0" w:color="auto"/>
              <w:bottom w:val="nil"/>
              <w:right w:val="nil"/>
            </w:tcBorders>
            <w:shd w:val="clear" w:color="auto" w:fill="auto"/>
            <w:noWrap/>
            <w:vAlign w:val="bottom"/>
            <w:hideMark/>
          </w:tcPr>
          <w:p w14:paraId="2D24B110"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-4.1004947</w:t>
            </w:r>
          </w:p>
        </w:tc>
        <w:tc>
          <w:tcPr>
            <w:tcW w:w="977" w:type="dxa"/>
            <w:tcBorders>
              <w:top w:val="nil"/>
              <w:left w:val="nil"/>
              <w:bottom w:val="nil"/>
              <w:right w:val="nil"/>
            </w:tcBorders>
            <w:shd w:val="clear" w:color="auto" w:fill="auto"/>
            <w:noWrap/>
            <w:vAlign w:val="bottom"/>
            <w:hideMark/>
          </w:tcPr>
          <w:p w14:paraId="73A99112"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-7.2792</w:t>
            </w:r>
          </w:p>
        </w:tc>
        <w:tc>
          <w:tcPr>
            <w:tcW w:w="1149" w:type="dxa"/>
            <w:tcBorders>
              <w:top w:val="nil"/>
              <w:left w:val="nil"/>
              <w:bottom w:val="nil"/>
              <w:right w:val="nil"/>
            </w:tcBorders>
            <w:shd w:val="clear" w:color="auto" w:fill="auto"/>
            <w:noWrap/>
            <w:vAlign w:val="bottom"/>
            <w:hideMark/>
          </w:tcPr>
          <w:p w14:paraId="4B2F4CB6"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-0.9217868</w:t>
            </w:r>
          </w:p>
        </w:tc>
        <w:tc>
          <w:tcPr>
            <w:tcW w:w="977" w:type="dxa"/>
            <w:tcBorders>
              <w:top w:val="nil"/>
              <w:left w:val="nil"/>
              <w:bottom w:val="nil"/>
              <w:right w:val="nil"/>
            </w:tcBorders>
            <w:shd w:val="clear" w:color="auto" w:fill="auto"/>
            <w:noWrap/>
            <w:vAlign w:val="bottom"/>
            <w:hideMark/>
          </w:tcPr>
          <w:p w14:paraId="709EAE9E"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6.915353</w:t>
            </w:r>
          </w:p>
        </w:tc>
        <w:tc>
          <w:tcPr>
            <w:tcW w:w="977" w:type="dxa"/>
            <w:tcBorders>
              <w:top w:val="nil"/>
              <w:left w:val="nil"/>
              <w:bottom w:val="nil"/>
              <w:right w:val="nil"/>
            </w:tcBorders>
            <w:shd w:val="clear" w:color="auto" w:fill="auto"/>
            <w:noWrap/>
            <w:vAlign w:val="bottom"/>
            <w:hideMark/>
          </w:tcPr>
          <w:p w14:paraId="129DCEB3"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10.59973</w:t>
            </w:r>
          </w:p>
        </w:tc>
        <w:tc>
          <w:tcPr>
            <w:tcW w:w="977" w:type="dxa"/>
            <w:tcBorders>
              <w:top w:val="nil"/>
              <w:left w:val="nil"/>
              <w:bottom w:val="nil"/>
              <w:right w:val="single" w:sz="4" w:space="0" w:color="auto"/>
            </w:tcBorders>
            <w:shd w:val="clear" w:color="auto" w:fill="auto"/>
            <w:noWrap/>
            <w:vAlign w:val="bottom"/>
            <w:hideMark/>
          </w:tcPr>
          <w:p w14:paraId="4B0F60B3"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0.005417</w:t>
            </w:r>
          </w:p>
        </w:tc>
      </w:tr>
      <w:tr w:rsidR="004958C0" w:rsidRPr="00610838" w14:paraId="7D47ADE2" w14:textId="77777777" w:rsidTr="004958C0">
        <w:trPr>
          <w:trHeight w:val="300"/>
        </w:trPr>
        <w:tc>
          <w:tcPr>
            <w:tcW w:w="3400" w:type="dxa"/>
            <w:tcBorders>
              <w:top w:val="nil"/>
              <w:left w:val="nil"/>
              <w:bottom w:val="nil"/>
              <w:right w:val="nil"/>
            </w:tcBorders>
            <w:shd w:val="clear" w:color="auto" w:fill="auto"/>
            <w:noWrap/>
            <w:vAlign w:val="bottom"/>
            <w:hideMark/>
          </w:tcPr>
          <w:p w14:paraId="44D59509"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Root average diameter [mm]</w:t>
            </w:r>
          </w:p>
        </w:tc>
        <w:tc>
          <w:tcPr>
            <w:tcW w:w="1403" w:type="dxa"/>
            <w:tcBorders>
              <w:top w:val="nil"/>
              <w:left w:val="single" w:sz="4" w:space="0" w:color="auto"/>
              <w:bottom w:val="nil"/>
              <w:right w:val="nil"/>
            </w:tcBorders>
            <w:shd w:val="clear" w:color="auto" w:fill="auto"/>
            <w:noWrap/>
            <w:vAlign w:val="bottom"/>
            <w:hideMark/>
          </w:tcPr>
          <w:p w14:paraId="50C35D79"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-0.081205593</w:t>
            </w:r>
          </w:p>
        </w:tc>
        <w:tc>
          <w:tcPr>
            <w:tcW w:w="1205" w:type="dxa"/>
            <w:tcBorders>
              <w:top w:val="nil"/>
              <w:left w:val="nil"/>
              <w:bottom w:val="nil"/>
              <w:right w:val="nil"/>
            </w:tcBorders>
            <w:shd w:val="clear" w:color="auto" w:fill="auto"/>
            <w:noWrap/>
            <w:vAlign w:val="bottom"/>
            <w:hideMark/>
          </w:tcPr>
          <w:p w14:paraId="71E5D7AD"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-0.1285217</w:t>
            </w:r>
          </w:p>
        </w:tc>
        <w:tc>
          <w:tcPr>
            <w:tcW w:w="977" w:type="dxa"/>
            <w:tcBorders>
              <w:top w:val="nil"/>
              <w:left w:val="nil"/>
              <w:bottom w:val="nil"/>
              <w:right w:val="nil"/>
            </w:tcBorders>
            <w:shd w:val="clear" w:color="auto" w:fill="auto"/>
            <w:noWrap/>
            <w:vAlign w:val="bottom"/>
            <w:hideMark/>
          </w:tcPr>
          <w:p w14:paraId="198FF732"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-0.03389</w:t>
            </w:r>
          </w:p>
        </w:tc>
        <w:tc>
          <w:tcPr>
            <w:tcW w:w="977" w:type="dxa"/>
            <w:tcBorders>
              <w:top w:val="nil"/>
              <w:left w:val="nil"/>
              <w:bottom w:val="nil"/>
              <w:right w:val="nil"/>
            </w:tcBorders>
            <w:shd w:val="clear" w:color="auto" w:fill="auto"/>
            <w:noWrap/>
            <w:vAlign w:val="bottom"/>
            <w:hideMark/>
          </w:tcPr>
          <w:p w14:paraId="430AE9A5"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0.09956</w:t>
            </w:r>
          </w:p>
        </w:tc>
        <w:tc>
          <w:tcPr>
            <w:tcW w:w="977" w:type="dxa"/>
            <w:tcBorders>
              <w:top w:val="nil"/>
              <w:left w:val="nil"/>
              <w:bottom w:val="nil"/>
              <w:right w:val="nil"/>
            </w:tcBorders>
            <w:shd w:val="clear" w:color="auto" w:fill="auto"/>
            <w:noWrap/>
            <w:vAlign w:val="bottom"/>
            <w:hideMark/>
          </w:tcPr>
          <w:p w14:paraId="14B2266D"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0.11787</w:t>
            </w:r>
          </w:p>
        </w:tc>
        <w:tc>
          <w:tcPr>
            <w:tcW w:w="977" w:type="dxa"/>
            <w:tcBorders>
              <w:top w:val="nil"/>
              <w:left w:val="nil"/>
              <w:bottom w:val="nil"/>
              <w:right w:val="nil"/>
            </w:tcBorders>
            <w:shd w:val="clear" w:color="auto" w:fill="auto"/>
            <w:noWrap/>
            <w:vAlign w:val="bottom"/>
            <w:hideMark/>
          </w:tcPr>
          <w:p w14:paraId="1178E204"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8.19E-05</w:t>
            </w:r>
          </w:p>
        </w:tc>
        <w:tc>
          <w:tcPr>
            <w:tcW w:w="1199" w:type="dxa"/>
            <w:tcBorders>
              <w:top w:val="nil"/>
              <w:left w:val="single" w:sz="4" w:space="0" w:color="auto"/>
              <w:bottom w:val="nil"/>
              <w:right w:val="nil"/>
            </w:tcBorders>
            <w:shd w:val="clear" w:color="auto" w:fill="auto"/>
            <w:noWrap/>
            <w:vAlign w:val="bottom"/>
            <w:hideMark/>
          </w:tcPr>
          <w:p w14:paraId="658372B1"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-0.0907452</w:t>
            </w:r>
          </w:p>
        </w:tc>
        <w:tc>
          <w:tcPr>
            <w:tcW w:w="977" w:type="dxa"/>
            <w:tcBorders>
              <w:top w:val="nil"/>
              <w:left w:val="nil"/>
              <w:bottom w:val="nil"/>
              <w:right w:val="nil"/>
            </w:tcBorders>
            <w:shd w:val="clear" w:color="auto" w:fill="auto"/>
            <w:noWrap/>
            <w:vAlign w:val="bottom"/>
            <w:hideMark/>
          </w:tcPr>
          <w:p w14:paraId="7ED3D5D3"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-0.16308</w:t>
            </w:r>
          </w:p>
        </w:tc>
        <w:tc>
          <w:tcPr>
            <w:tcW w:w="1149" w:type="dxa"/>
            <w:tcBorders>
              <w:top w:val="nil"/>
              <w:left w:val="nil"/>
              <w:bottom w:val="nil"/>
              <w:right w:val="nil"/>
            </w:tcBorders>
            <w:shd w:val="clear" w:color="auto" w:fill="auto"/>
            <w:noWrap/>
            <w:vAlign w:val="bottom"/>
            <w:hideMark/>
          </w:tcPr>
          <w:p w14:paraId="1FBF0494"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-0.0184123</w:t>
            </w:r>
          </w:p>
        </w:tc>
        <w:tc>
          <w:tcPr>
            <w:tcW w:w="977" w:type="dxa"/>
            <w:tcBorders>
              <w:top w:val="nil"/>
              <w:left w:val="nil"/>
              <w:bottom w:val="nil"/>
              <w:right w:val="nil"/>
            </w:tcBorders>
            <w:shd w:val="clear" w:color="auto" w:fill="auto"/>
            <w:noWrap/>
            <w:vAlign w:val="bottom"/>
            <w:hideMark/>
          </w:tcPr>
          <w:p w14:paraId="7E1F5E3B"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0.197403</w:t>
            </w:r>
          </w:p>
        </w:tc>
        <w:tc>
          <w:tcPr>
            <w:tcW w:w="977" w:type="dxa"/>
            <w:tcBorders>
              <w:top w:val="nil"/>
              <w:left w:val="nil"/>
              <w:bottom w:val="nil"/>
              <w:right w:val="nil"/>
            </w:tcBorders>
            <w:shd w:val="clear" w:color="auto" w:fill="auto"/>
            <w:noWrap/>
            <w:vAlign w:val="bottom"/>
            <w:hideMark/>
          </w:tcPr>
          <w:p w14:paraId="146EEDAE"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0.202749</w:t>
            </w:r>
          </w:p>
        </w:tc>
        <w:tc>
          <w:tcPr>
            <w:tcW w:w="977" w:type="dxa"/>
            <w:tcBorders>
              <w:top w:val="nil"/>
              <w:left w:val="nil"/>
              <w:bottom w:val="nil"/>
              <w:right w:val="single" w:sz="4" w:space="0" w:color="auto"/>
            </w:tcBorders>
            <w:shd w:val="clear" w:color="auto" w:fill="auto"/>
            <w:noWrap/>
            <w:vAlign w:val="bottom"/>
            <w:hideMark/>
          </w:tcPr>
          <w:p w14:paraId="7EA0E394"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0.007315</w:t>
            </w:r>
          </w:p>
        </w:tc>
      </w:tr>
      <w:tr w:rsidR="004958C0" w:rsidRPr="00610838" w14:paraId="6997EC36" w14:textId="77777777" w:rsidTr="004958C0">
        <w:trPr>
          <w:trHeight w:val="300"/>
        </w:trPr>
        <w:tc>
          <w:tcPr>
            <w:tcW w:w="3400" w:type="dxa"/>
            <w:tcBorders>
              <w:top w:val="nil"/>
              <w:left w:val="nil"/>
              <w:bottom w:val="nil"/>
              <w:right w:val="nil"/>
            </w:tcBorders>
            <w:shd w:val="clear" w:color="auto" w:fill="auto"/>
            <w:noWrap/>
            <w:vAlign w:val="bottom"/>
            <w:hideMark/>
          </w:tcPr>
          <w:p w14:paraId="41E6A087"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Root cross section [mm²]</w:t>
            </w:r>
          </w:p>
        </w:tc>
        <w:tc>
          <w:tcPr>
            <w:tcW w:w="1403" w:type="dxa"/>
            <w:tcBorders>
              <w:top w:val="nil"/>
              <w:left w:val="single" w:sz="4" w:space="0" w:color="auto"/>
              <w:bottom w:val="nil"/>
              <w:right w:val="nil"/>
            </w:tcBorders>
            <w:shd w:val="clear" w:color="auto" w:fill="auto"/>
            <w:noWrap/>
            <w:vAlign w:val="bottom"/>
            <w:hideMark/>
          </w:tcPr>
          <w:p w14:paraId="47A92466"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-0.054181142</w:t>
            </w:r>
          </w:p>
        </w:tc>
        <w:tc>
          <w:tcPr>
            <w:tcW w:w="1205" w:type="dxa"/>
            <w:tcBorders>
              <w:top w:val="nil"/>
              <w:left w:val="nil"/>
              <w:bottom w:val="nil"/>
              <w:right w:val="nil"/>
            </w:tcBorders>
            <w:shd w:val="clear" w:color="auto" w:fill="auto"/>
            <w:noWrap/>
            <w:vAlign w:val="bottom"/>
            <w:hideMark/>
          </w:tcPr>
          <w:p w14:paraId="3EE6303A"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-0.1012553</w:t>
            </w:r>
          </w:p>
        </w:tc>
        <w:tc>
          <w:tcPr>
            <w:tcW w:w="977" w:type="dxa"/>
            <w:tcBorders>
              <w:top w:val="nil"/>
              <w:left w:val="nil"/>
              <w:bottom w:val="nil"/>
              <w:right w:val="nil"/>
            </w:tcBorders>
            <w:shd w:val="clear" w:color="auto" w:fill="auto"/>
            <w:noWrap/>
            <w:vAlign w:val="bottom"/>
            <w:hideMark/>
          </w:tcPr>
          <w:p w14:paraId="1FD4EC60"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-0.00711</w:t>
            </w:r>
          </w:p>
        </w:tc>
        <w:tc>
          <w:tcPr>
            <w:tcW w:w="977" w:type="dxa"/>
            <w:tcBorders>
              <w:top w:val="nil"/>
              <w:left w:val="nil"/>
              <w:bottom w:val="nil"/>
              <w:right w:val="nil"/>
            </w:tcBorders>
            <w:shd w:val="clear" w:color="auto" w:fill="auto"/>
            <w:noWrap/>
            <w:vAlign w:val="bottom"/>
            <w:hideMark/>
          </w:tcPr>
          <w:p w14:paraId="467CE768"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0.111222</w:t>
            </w:r>
          </w:p>
        </w:tc>
        <w:tc>
          <w:tcPr>
            <w:tcW w:w="977" w:type="dxa"/>
            <w:tcBorders>
              <w:top w:val="nil"/>
              <w:left w:val="nil"/>
              <w:bottom w:val="nil"/>
              <w:right w:val="nil"/>
            </w:tcBorders>
            <w:shd w:val="clear" w:color="auto" w:fill="auto"/>
            <w:noWrap/>
            <w:vAlign w:val="bottom"/>
            <w:hideMark/>
          </w:tcPr>
          <w:p w14:paraId="40C65407"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0.121031</w:t>
            </w:r>
          </w:p>
        </w:tc>
        <w:tc>
          <w:tcPr>
            <w:tcW w:w="977" w:type="dxa"/>
            <w:tcBorders>
              <w:top w:val="nil"/>
              <w:left w:val="nil"/>
              <w:bottom w:val="nil"/>
              <w:right w:val="nil"/>
            </w:tcBorders>
            <w:shd w:val="clear" w:color="auto" w:fill="auto"/>
            <w:noWrap/>
            <w:vAlign w:val="bottom"/>
            <w:hideMark/>
          </w:tcPr>
          <w:p w14:paraId="139262D1"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0.016805</w:t>
            </w:r>
          </w:p>
        </w:tc>
        <w:tc>
          <w:tcPr>
            <w:tcW w:w="1199" w:type="dxa"/>
            <w:tcBorders>
              <w:top w:val="nil"/>
              <w:left w:val="single" w:sz="4" w:space="0" w:color="auto"/>
              <w:bottom w:val="nil"/>
              <w:right w:val="nil"/>
            </w:tcBorders>
            <w:shd w:val="clear" w:color="auto" w:fill="auto"/>
            <w:noWrap/>
            <w:vAlign w:val="bottom"/>
            <w:hideMark/>
          </w:tcPr>
          <w:p w14:paraId="71E5B055"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-0.1287126</w:t>
            </w:r>
          </w:p>
        </w:tc>
        <w:tc>
          <w:tcPr>
            <w:tcW w:w="977" w:type="dxa"/>
            <w:tcBorders>
              <w:top w:val="nil"/>
              <w:left w:val="nil"/>
              <w:bottom w:val="nil"/>
              <w:right w:val="nil"/>
            </w:tcBorders>
            <w:shd w:val="clear" w:color="auto" w:fill="auto"/>
            <w:noWrap/>
            <w:vAlign w:val="bottom"/>
            <w:hideMark/>
          </w:tcPr>
          <w:p w14:paraId="13AAA6DD"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-0.21254</w:t>
            </w:r>
          </w:p>
        </w:tc>
        <w:tc>
          <w:tcPr>
            <w:tcW w:w="1149" w:type="dxa"/>
            <w:tcBorders>
              <w:top w:val="nil"/>
              <w:left w:val="nil"/>
              <w:bottom w:val="nil"/>
              <w:right w:val="nil"/>
            </w:tcBorders>
            <w:shd w:val="clear" w:color="auto" w:fill="auto"/>
            <w:noWrap/>
            <w:vAlign w:val="bottom"/>
            <w:hideMark/>
          </w:tcPr>
          <w:p w14:paraId="14D03B0A"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-0.0448809</w:t>
            </w:r>
          </w:p>
        </w:tc>
        <w:tc>
          <w:tcPr>
            <w:tcW w:w="977" w:type="dxa"/>
            <w:tcBorders>
              <w:top w:val="nil"/>
              <w:left w:val="nil"/>
              <w:bottom w:val="nil"/>
              <w:right w:val="nil"/>
            </w:tcBorders>
            <w:shd w:val="clear" w:color="auto" w:fill="auto"/>
            <w:noWrap/>
            <w:vAlign w:val="bottom"/>
            <w:hideMark/>
          </w:tcPr>
          <w:p w14:paraId="13759E71"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0.237136</w:t>
            </w:r>
          </w:p>
        </w:tc>
        <w:tc>
          <w:tcPr>
            <w:tcW w:w="977" w:type="dxa"/>
            <w:tcBorders>
              <w:top w:val="nil"/>
              <w:left w:val="nil"/>
              <w:bottom w:val="nil"/>
              <w:right w:val="nil"/>
            </w:tcBorders>
            <w:shd w:val="clear" w:color="auto" w:fill="auto"/>
            <w:noWrap/>
            <w:vAlign w:val="bottom"/>
            <w:hideMark/>
          </w:tcPr>
          <w:p w14:paraId="224C042F"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0.227227</w:t>
            </w:r>
          </w:p>
        </w:tc>
        <w:tc>
          <w:tcPr>
            <w:tcW w:w="977" w:type="dxa"/>
            <w:tcBorders>
              <w:top w:val="nil"/>
              <w:left w:val="nil"/>
              <w:bottom w:val="nil"/>
              <w:right w:val="single" w:sz="4" w:space="0" w:color="auto"/>
            </w:tcBorders>
            <w:shd w:val="clear" w:color="auto" w:fill="auto"/>
            <w:noWrap/>
            <w:vAlign w:val="bottom"/>
            <w:hideMark/>
          </w:tcPr>
          <w:p w14:paraId="59493C37"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0.000553</w:t>
            </w:r>
          </w:p>
        </w:tc>
      </w:tr>
      <w:tr w:rsidR="004958C0" w:rsidRPr="00610838" w14:paraId="1DE15C79" w14:textId="77777777" w:rsidTr="004958C0">
        <w:trPr>
          <w:trHeight w:val="300"/>
        </w:trPr>
        <w:tc>
          <w:tcPr>
            <w:tcW w:w="3400" w:type="dxa"/>
            <w:tcBorders>
              <w:top w:val="nil"/>
              <w:left w:val="nil"/>
              <w:bottom w:val="nil"/>
              <w:right w:val="nil"/>
            </w:tcBorders>
            <w:shd w:val="clear" w:color="auto" w:fill="auto"/>
            <w:noWrap/>
            <w:vAlign w:val="bottom"/>
            <w:hideMark/>
          </w:tcPr>
          <w:p w14:paraId="044DB27B"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Root length [mm]</w:t>
            </w:r>
          </w:p>
        </w:tc>
        <w:tc>
          <w:tcPr>
            <w:tcW w:w="1403" w:type="dxa"/>
            <w:tcBorders>
              <w:top w:val="nil"/>
              <w:left w:val="single" w:sz="4" w:space="0" w:color="auto"/>
              <w:bottom w:val="nil"/>
              <w:right w:val="nil"/>
            </w:tcBorders>
            <w:shd w:val="clear" w:color="auto" w:fill="auto"/>
            <w:noWrap/>
            <w:vAlign w:val="bottom"/>
            <w:hideMark/>
          </w:tcPr>
          <w:p w14:paraId="33C4CA83"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316.5351432</w:t>
            </w:r>
          </w:p>
        </w:tc>
        <w:tc>
          <w:tcPr>
            <w:tcW w:w="1205" w:type="dxa"/>
            <w:tcBorders>
              <w:top w:val="nil"/>
              <w:left w:val="nil"/>
              <w:bottom w:val="nil"/>
              <w:right w:val="nil"/>
            </w:tcBorders>
            <w:shd w:val="clear" w:color="auto" w:fill="auto"/>
            <w:noWrap/>
            <w:vAlign w:val="bottom"/>
            <w:hideMark/>
          </w:tcPr>
          <w:p w14:paraId="1F99D56A"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35.4131221</w:t>
            </w:r>
          </w:p>
        </w:tc>
        <w:tc>
          <w:tcPr>
            <w:tcW w:w="977" w:type="dxa"/>
            <w:tcBorders>
              <w:top w:val="nil"/>
              <w:left w:val="nil"/>
              <w:bottom w:val="nil"/>
              <w:right w:val="nil"/>
            </w:tcBorders>
            <w:shd w:val="clear" w:color="auto" w:fill="auto"/>
            <w:noWrap/>
            <w:vAlign w:val="bottom"/>
            <w:hideMark/>
          </w:tcPr>
          <w:p w14:paraId="6B9D0478"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597.6572</w:t>
            </w:r>
          </w:p>
        </w:tc>
        <w:tc>
          <w:tcPr>
            <w:tcW w:w="977" w:type="dxa"/>
            <w:tcBorders>
              <w:top w:val="nil"/>
              <w:left w:val="nil"/>
              <w:bottom w:val="nil"/>
              <w:right w:val="nil"/>
            </w:tcBorders>
            <w:shd w:val="clear" w:color="auto" w:fill="auto"/>
            <w:noWrap/>
            <w:vAlign w:val="bottom"/>
            <w:hideMark/>
          </w:tcPr>
          <w:p w14:paraId="01C15BF2"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597.0236</w:t>
            </w:r>
          </w:p>
        </w:tc>
        <w:tc>
          <w:tcPr>
            <w:tcW w:w="977" w:type="dxa"/>
            <w:tcBorders>
              <w:top w:val="nil"/>
              <w:left w:val="nil"/>
              <w:bottom w:val="nil"/>
              <w:right w:val="nil"/>
            </w:tcBorders>
            <w:shd w:val="clear" w:color="auto" w:fill="auto"/>
            <w:noWrap/>
            <w:vAlign w:val="bottom"/>
            <w:hideMark/>
          </w:tcPr>
          <w:p w14:paraId="71F0F933"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883.1833</w:t>
            </w:r>
          </w:p>
        </w:tc>
        <w:tc>
          <w:tcPr>
            <w:tcW w:w="977" w:type="dxa"/>
            <w:tcBorders>
              <w:top w:val="nil"/>
              <w:left w:val="nil"/>
              <w:bottom w:val="nil"/>
              <w:right w:val="nil"/>
            </w:tcBorders>
            <w:shd w:val="clear" w:color="auto" w:fill="auto"/>
            <w:noWrap/>
            <w:vAlign w:val="bottom"/>
            <w:hideMark/>
          </w:tcPr>
          <w:p w14:paraId="449512C4"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0.020343</w:t>
            </w:r>
          </w:p>
        </w:tc>
        <w:tc>
          <w:tcPr>
            <w:tcW w:w="1199" w:type="dxa"/>
            <w:tcBorders>
              <w:top w:val="nil"/>
              <w:left w:val="single" w:sz="4" w:space="0" w:color="auto"/>
              <w:bottom w:val="nil"/>
              <w:right w:val="nil"/>
            </w:tcBorders>
            <w:shd w:val="clear" w:color="auto" w:fill="auto"/>
            <w:noWrap/>
            <w:vAlign w:val="bottom"/>
            <w:hideMark/>
          </w:tcPr>
          <w:p w14:paraId="25FDAFB6"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c>
          <w:tcPr>
            <w:tcW w:w="977" w:type="dxa"/>
            <w:tcBorders>
              <w:top w:val="nil"/>
              <w:left w:val="nil"/>
              <w:bottom w:val="nil"/>
              <w:right w:val="nil"/>
            </w:tcBorders>
            <w:shd w:val="clear" w:color="auto" w:fill="auto"/>
            <w:noWrap/>
            <w:vAlign w:val="bottom"/>
            <w:hideMark/>
          </w:tcPr>
          <w:p w14:paraId="104AB00A"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p>
        </w:tc>
        <w:tc>
          <w:tcPr>
            <w:tcW w:w="1149" w:type="dxa"/>
            <w:tcBorders>
              <w:top w:val="nil"/>
              <w:left w:val="nil"/>
              <w:bottom w:val="nil"/>
              <w:right w:val="nil"/>
            </w:tcBorders>
            <w:shd w:val="clear" w:color="auto" w:fill="auto"/>
            <w:noWrap/>
            <w:vAlign w:val="bottom"/>
            <w:hideMark/>
          </w:tcPr>
          <w:p w14:paraId="1C5017B9"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47AACE80"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7EC0EA79"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single" w:sz="4" w:space="0" w:color="auto"/>
            </w:tcBorders>
            <w:shd w:val="clear" w:color="auto" w:fill="auto"/>
            <w:noWrap/>
            <w:vAlign w:val="bottom"/>
            <w:hideMark/>
          </w:tcPr>
          <w:p w14:paraId="49F02C54"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r>
      <w:tr w:rsidR="004958C0" w:rsidRPr="00610838" w14:paraId="4C269045" w14:textId="77777777" w:rsidTr="004958C0">
        <w:trPr>
          <w:trHeight w:val="300"/>
        </w:trPr>
        <w:tc>
          <w:tcPr>
            <w:tcW w:w="3400" w:type="dxa"/>
            <w:tcBorders>
              <w:top w:val="nil"/>
              <w:left w:val="nil"/>
              <w:bottom w:val="nil"/>
              <w:right w:val="nil"/>
            </w:tcBorders>
            <w:shd w:val="clear" w:color="auto" w:fill="auto"/>
            <w:noWrap/>
            <w:vAlign w:val="bottom"/>
            <w:hideMark/>
          </w:tcPr>
          <w:p w14:paraId="69A54C25"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Root mass density [g/cm³]</w:t>
            </w:r>
          </w:p>
        </w:tc>
        <w:tc>
          <w:tcPr>
            <w:tcW w:w="1403" w:type="dxa"/>
            <w:tcBorders>
              <w:top w:val="nil"/>
              <w:left w:val="single" w:sz="4" w:space="0" w:color="auto"/>
              <w:bottom w:val="nil"/>
              <w:right w:val="nil"/>
            </w:tcBorders>
            <w:shd w:val="clear" w:color="auto" w:fill="auto"/>
            <w:noWrap/>
            <w:vAlign w:val="bottom"/>
            <w:hideMark/>
          </w:tcPr>
          <w:p w14:paraId="05671E82"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-0.036932381</w:t>
            </w:r>
          </w:p>
        </w:tc>
        <w:tc>
          <w:tcPr>
            <w:tcW w:w="1205" w:type="dxa"/>
            <w:tcBorders>
              <w:top w:val="nil"/>
              <w:left w:val="nil"/>
              <w:bottom w:val="nil"/>
              <w:right w:val="nil"/>
            </w:tcBorders>
            <w:shd w:val="clear" w:color="auto" w:fill="auto"/>
            <w:noWrap/>
            <w:vAlign w:val="bottom"/>
            <w:hideMark/>
          </w:tcPr>
          <w:p w14:paraId="600A0664"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-0.0736953</w:t>
            </w:r>
          </w:p>
        </w:tc>
        <w:tc>
          <w:tcPr>
            <w:tcW w:w="977" w:type="dxa"/>
            <w:tcBorders>
              <w:top w:val="nil"/>
              <w:left w:val="nil"/>
              <w:bottom w:val="nil"/>
              <w:right w:val="nil"/>
            </w:tcBorders>
            <w:shd w:val="clear" w:color="auto" w:fill="auto"/>
            <w:noWrap/>
            <w:vAlign w:val="bottom"/>
            <w:hideMark/>
          </w:tcPr>
          <w:p w14:paraId="7BA407C3"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-0.00017</w:t>
            </w:r>
          </w:p>
        </w:tc>
        <w:tc>
          <w:tcPr>
            <w:tcW w:w="977" w:type="dxa"/>
            <w:tcBorders>
              <w:top w:val="nil"/>
              <w:left w:val="nil"/>
              <w:bottom w:val="nil"/>
              <w:right w:val="nil"/>
            </w:tcBorders>
            <w:shd w:val="clear" w:color="auto" w:fill="auto"/>
            <w:noWrap/>
            <w:vAlign w:val="bottom"/>
            <w:hideMark/>
          </w:tcPr>
          <w:p w14:paraId="5ECAB115"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0.106157</w:t>
            </w:r>
          </w:p>
        </w:tc>
        <w:tc>
          <w:tcPr>
            <w:tcW w:w="977" w:type="dxa"/>
            <w:tcBorders>
              <w:top w:val="nil"/>
              <w:left w:val="nil"/>
              <w:bottom w:val="nil"/>
              <w:right w:val="nil"/>
            </w:tcBorders>
            <w:shd w:val="clear" w:color="auto" w:fill="auto"/>
            <w:noWrap/>
            <w:vAlign w:val="bottom"/>
            <w:hideMark/>
          </w:tcPr>
          <w:p w14:paraId="20F86C8A"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0.078121</w:t>
            </w:r>
          </w:p>
        </w:tc>
        <w:tc>
          <w:tcPr>
            <w:tcW w:w="977" w:type="dxa"/>
            <w:tcBorders>
              <w:top w:val="nil"/>
              <w:left w:val="nil"/>
              <w:bottom w:val="nil"/>
              <w:right w:val="nil"/>
            </w:tcBorders>
            <w:shd w:val="clear" w:color="auto" w:fill="auto"/>
            <w:noWrap/>
            <w:vAlign w:val="bottom"/>
            <w:hideMark/>
          </w:tcPr>
          <w:p w14:paraId="7568B1E9"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0.048473</w:t>
            </w:r>
          </w:p>
        </w:tc>
        <w:tc>
          <w:tcPr>
            <w:tcW w:w="1199" w:type="dxa"/>
            <w:tcBorders>
              <w:top w:val="nil"/>
              <w:left w:val="single" w:sz="4" w:space="0" w:color="auto"/>
              <w:bottom w:val="nil"/>
              <w:right w:val="nil"/>
            </w:tcBorders>
            <w:shd w:val="clear" w:color="auto" w:fill="auto"/>
            <w:noWrap/>
            <w:vAlign w:val="bottom"/>
            <w:hideMark/>
          </w:tcPr>
          <w:p w14:paraId="4C7E384C"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0.06535766</w:t>
            </w:r>
          </w:p>
        </w:tc>
        <w:tc>
          <w:tcPr>
            <w:tcW w:w="977" w:type="dxa"/>
            <w:tcBorders>
              <w:top w:val="nil"/>
              <w:left w:val="nil"/>
              <w:bottom w:val="nil"/>
              <w:right w:val="nil"/>
            </w:tcBorders>
            <w:shd w:val="clear" w:color="auto" w:fill="auto"/>
            <w:noWrap/>
            <w:vAlign w:val="bottom"/>
            <w:hideMark/>
          </w:tcPr>
          <w:p w14:paraId="214290CE"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0.009391</w:t>
            </w:r>
          </w:p>
        </w:tc>
        <w:tc>
          <w:tcPr>
            <w:tcW w:w="1149" w:type="dxa"/>
            <w:tcBorders>
              <w:top w:val="nil"/>
              <w:left w:val="nil"/>
              <w:bottom w:val="nil"/>
              <w:right w:val="nil"/>
            </w:tcBorders>
            <w:shd w:val="clear" w:color="auto" w:fill="auto"/>
            <w:noWrap/>
            <w:vAlign w:val="bottom"/>
            <w:hideMark/>
          </w:tcPr>
          <w:p w14:paraId="11B9F678"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0.1213247</w:t>
            </w:r>
          </w:p>
        </w:tc>
        <w:tc>
          <w:tcPr>
            <w:tcW w:w="977" w:type="dxa"/>
            <w:tcBorders>
              <w:top w:val="nil"/>
              <w:left w:val="nil"/>
              <w:bottom w:val="nil"/>
              <w:right w:val="nil"/>
            </w:tcBorders>
            <w:shd w:val="clear" w:color="auto" w:fill="auto"/>
            <w:noWrap/>
            <w:vAlign w:val="bottom"/>
            <w:hideMark/>
          </w:tcPr>
          <w:p w14:paraId="263125F3"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0.116963</w:t>
            </w:r>
          </w:p>
        </w:tc>
        <w:tc>
          <w:tcPr>
            <w:tcW w:w="977" w:type="dxa"/>
            <w:tcBorders>
              <w:top w:val="nil"/>
              <w:left w:val="nil"/>
              <w:bottom w:val="nil"/>
              <w:right w:val="nil"/>
            </w:tcBorders>
            <w:shd w:val="clear" w:color="auto" w:fill="auto"/>
            <w:noWrap/>
            <w:vAlign w:val="bottom"/>
            <w:hideMark/>
          </w:tcPr>
          <w:p w14:paraId="46899246"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0.18788</w:t>
            </w:r>
          </w:p>
        </w:tc>
        <w:tc>
          <w:tcPr>
            <w:tcW w:w="977" w:type="dxa"/>
            <w:tcBorders>
              <w:top w:val="nil"/>
              <w:left w:val="nil"/>
              <w:bottom w:val="nil"/>
              <w:right w:val="single" w:sz="4" w:space="0" w:color="auto"/>
            </w:tcBorders>
            <w:shd w:val="clear" w:color="auto" w:fill="auto"/>
            <w:noWrap/>
            <w:vAlign w:val="bottom"/>
            <w:hideMark/>
          </w:tcPr>
          <w:p w14:paraId="26BD6DB5"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0.014764</w:t>
            </w:r>
          </w:p>
        </w:tc>
      </w:tr>
      <w:tr w:rsidR="004958C0" w:rsidRPr="00610838" w14:paraId="08C1BAB5" w14:textId="77777777" w:rsidTr="004958C0">
        <w:trPr>
          <w:trHeight w:val="300"/>
        </w:trPr>
        <w:tc>
          <w:tcPr>
            <w:tcW w:w="3400" w:type="dxa"/>
            <w:tcBorders>
              <w:top w:val="nil"/>
              <w:left w:val="nil"/>
              <w:bottom w:val="nil"/>
              <w:right w:val="nil"/>
            </w:tcBorders>
            <w:shd w:val="clear" w:color="auto" w:fill="auto"/>
            <w:noWrap/>
            <w:vAlign w:val="bottom"/>
            <w:hideMark/>
          </w:tcPr>
          <w:p w14:paraId="7E7986E5"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Root surface area [cm]</w:t>
            </w:r>
          </w:p>
        </w:tc>
        <w:tc>
          <w:tcPr>
            <w:tcW w:w="1403" w:type="dxa"/>
            <w:tcBorders>
              <w:top w:val="nil"/>
              <w:left w:val="single" w:sz="4" w:space="0" w:color="auto"/>
              <w:bottom w:val="nil"/>
              <w:right w:val="nil"/>
            </w:tcBorders>
            <w:shd w:val="clear" w:color="auto" w:fill="auto"/>
            <w:noWrap/>
            <w:vAlign w:val="bottom"/>
            <w:hideMark/>
          </w:tcPr>
          <w:p w14:paraId="17390B9C"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-0.139604476</w:t>
            </w:r>
          </w:p>
        </w:tc>
        <w:tc>
          <w:tcPr>
            <w:tcW w:w="1205" w:type="dxa"/>
            <w:tcBorders>
              <w:top w:val="nil"/>
              <w:left w:val="nil"/>
              <w:bottom w:val="nil"/>
              <w:right w:val="nil"/>
            </w:tcBorders>
            <w:shd w:val="clear" w:color="auto" w:fill="auto"/>
            <w:noWrap/>
            <w:vAlign w:val="bottom"/>
            <w:hideMark/>
          </w:tcPr>
          <w:p w14:paraId="027F2270"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-0.2171352</w:t>
            </w:r>
          </w:p>
        </w:tc>
        <w:tc>
          <w:tcPr>
            <w:tcW w:w="977" w:type="dxa"/>
            <w:tcBorders>
              <w:top w:val="nil"/>
              <w:left w:val="nil"/>
              <w:bottom w:val="nil"/>
              <w:right w:val="nil"/>
            </w:tcBorders>
            <w:shd w:val="clear" w:color="auto" w:fill="auto"/>
            <w:noWrap/>
            <w:vAlign w:val="bottom"/>
            <w:hideMark/>
          </w:tcPr>
          <w:p w14:paraId="6258D018"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-0.06207</w:t>
            </w:r>
          </w:p>
        </w:tc>
        <w:tc>
          <w:tcPr>
            <w:tcW w:w="977" w:type="dxa"/>
            <w:tcBorders>
              <w:top w:val="nil"/>
              <w:left w:val="nil"/>
              <w:bottom w:val="nil"/>
              <w:right w:val="nil"/>
            </w:tcBorders>
            <w:shd w:val="clear" w:color="auto" w:fill="auto"/>
            <w:noWrap/>
            <w:vAlign w:val="bottom"/>
            <w:hideMark/>
          </w:tcPr>
          <w:p w14:paraId="04340569"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0.245599</w:t>
            </w:r>
          </w:p>
        </w:tc>
        <w:tc>
          <w:tcPr>
            <w:tcW w:w="977" w:type="dxa"/>
            <w:tcBorders>
              <w:top w:val="nil"/>
              <w:left w:val="nil"/>
              <w:bottom w:val="nil"/>
              <w:right w:val="nil"/>
            </w:tcBorders>
            <w:shd w:val="clear" w:color="auto" w:fill="auto"/>
            <w:noWrap/>
            <w:vAlign w:val="bottom"/>
            <w:hideMark/>
          </w:tcPr>
          <w:p w14:paraId="5AC04BB5"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0.15429</w:t>
            </w:r>
          </w:p>
        </w:tc>
        <w:tc>
          <w:tcPr>
            <w:tcW w:w="977" w:type="dxa"/>
            <w:tcBorders>
              <w:top w:val="nil"/>
              <w:left w:val="nil"/>
              <w:bottom w:val="nil"/>
              <w:right w:val="nil"/>
            </w:tcBorders>
            <w:shd w:val="clear" w:color="auto" w:fill="auto"/>
            <w:noWrap/>
            <w:vAlign w:val="bottom"/>
            <w:hideMark/>
          </w:tcPr>
          <w:p w14:paraId="1E25524C"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3.18E-05</w:t>
            </w:r>
          </w:p>
        </w:tc>
        <w:tc>
          <w:tcPr>
            <w:tcW w:w="1199" w:type="dxa"/>
            <w:tcBorders>
              <w:top w:val="nil"/>
              <w:left w:val="single" w:sz="4" w:space="0" w:color="auto"/>
              <w:bottom w:val="nil"/>
              <w:right w:val="nil"/>
            </w:tcBorders>
            <w:shd w:val="clear" w:color="auto" w:fill="auto"/>
            <w:noWrap/>
            <w:vAlign w:val="bottom"/>
            <w:hideMark/>
          </w:tcPr>
          <w:p w14:paraId="18D2E489"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c>
          <w:tcPr>
            <w:tcW w:w="977" w:type="dxa"/>
            <w:tcBorders>
              <w:top w:val="nil"/>
              <w:left w:val="nil"/>
              <w:bottom w:val="nil"/>
              <w:right w:val="nil"/>
            </w:tcBorders>
            <w:shd w:val="clear" w:color="auto" w:fill="auto"/>
            <w:noWrap/>
            <w:vAlign w:val="bottom"/>
            <w:hideMark/>
          </w:tcPr>
          <w:p w14:paraId="6D9614B6"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p>
        </w:tc>
        <w:tc>
          <w:tcPr>
            <w:tcW w:w="1149" w:type="dxa"/>
            <w:tcBorders>
              <w:top w:val="nil"/>
              <w:left w:val="nil"/>
              <w:bottom w:val="nil"/>
              <w:right w:val="nil"/>
            </w:tcBorders>
            <w:shd w:val="clear" w:color="auto" w:fill="auto"/>
            <w:noWrap/>
            <w:vAlign w:val="bottom"/>
            <w:hideMark/>
          </w:tcPr>
          <w:p w14:paraId="31A58C1E"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36FD3A6F"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2BB77E81"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single" w:sz="4" w:space="0" w:color="auto"/>
            </w:tcBorders>
            <w:shd w:val="clear" w:color="auto" w:fill="auto"/>
            <w:noWrap/>
            <w:vAlign w:val="bottom"/>
            <w:hideMark/>
          </w:tcPr>
          <w:p w14:paraId="397CEDF6"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r>
      <w:tr w:rsidR="004958C0" w:rsidRPr="00610838" w14:paraId="6B77E164" w14:textId="77777777" w:rsidTr="004958C0">
        <w:trPr>
          <w:trHeight w:val="300"/>
        </w:trPr>
        <w:tc>
          <w:tcPr>
            <w:tcW w:w="3400" w:type="dxa"/>
            <w:tcBorders>
              <w:top w:val="nil"/>
              <w:left w:val="nil"/>
              <w:bottom w:val="nil"/>
              <w:right w:val="nil"/>
            </w:tcBorders>
            <w:shd w:val="clear" w:color="auto" w:fill="auto"/>
            <w:noWrap/>
            <w:vAlign w:val="bottom"/>
            <w:hideMark/>
          </w:tcPr>
          <w:p w14:paraId="0B24580C"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Root tip number [1/plant]</w:t>
            </w:r>
          </w:p>
        </w:tc>
        <w:tc>
          <w:tcPr>
            <w:tcW w:w="1403" w:type="dxa"/>
            <w:tcBorders>
              <w:top w:val="nil"/>
              <w:left w:val="single" w:sz="4" w:space="0" w:color="auto"/>
              <w:bottom w:val="nil"/>
              <w:right w:val="nil"/>
            </w:tcBorders>
            <w:shd w:val="clear" w:color="auto" w:fill="auto"/>
            <w:noWrap/>
            <w:vAlign w:val="bottom"/>
            <w:hideMark/>
          </w:tcPr>
          <w:p w14:paraId="0C5270DF" w14:textId="77777777" w:rsidR="004958C0" w:rsidRPr="00610838" w:rsidRDefault="004958C0" w:rsidP="004958C0">
            <w:pPr>
              <w:spacing w:after="0" w:line="240" w:lineRule="auto"/>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 </w:t>
            </w:r>
          </w:p>
        </w:tc>
        <w:tc>
          <w:tcPr>
            <w:tcW w:w="1205" w:type="dxa"/>
            <w:tcBorders>
              <w:top w:val="nil"/>
              <w:left w:val="nil"/>
              <w:bottom w:val="nil"/>
              <w:right w:val="nil"/>
            </w:tcBorders>
            <w:shd w:val="clear" w:color="auto" w:fill="auto"/>
            <w:noWrap/>
            <w:vAlign w:val="bottom"/>
            <w:hideMark/>
          </w:tcPr>
          <w:p w14:paraId="51C0CA71" w14:textId="77777777" w:rsidR="004958C0" w:rsidRPr="00610838" w:rsidRDefault="004958C0" w:rsidP="004958C0">
            <w:pPr>
              <w:spacing w:after="0" w:line="240" w:lineRule="auto"/>
              <w:rPr>
                <w:rFonts w:ascii="Calibri" w:eastAsia="Times New Roman" w:hAnsi="Calibri" w:cs="Calibri"/>
                <w:i/>
                <w:iCs/>
                <w:color w:val="4472C4"/>
                <w:sz w:val="20"/>
                <w:szCs w:val="20"/>
                <w:lang w:val="en-GB"/>
              </w:rPr>
            </w:pPr>
          </w:p>
        </w:tc>
        <w:tc>
          <w:tcPr>
            <w:tcW w:w="977" w:type="dxa"/>
            <w:tcBorders>
              <w:top w:val="nil"/>
              <w:left w:val="nil"/>
              <w:bottom w:val="nil"/>
              <w:right w:val="nil"/>
            </w:tcBorders>
            <w:shd w:val="clear" w:color="auto" w:fill="auto"/>
            <w:noWrap/>
            <w:vAlign w:val="bottom"/>
            <w:hideMark/>
          </w:tcPr>
          <w:p w14:paraId="6C232A10"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1C119FED"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6B31012A"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52069FB1"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1199" w:type="dxa"/>
            <w:tcBorders>
              <w:top w:val="nil"/>
              <w:left w:val="single" w:sz="4" w:space="0" w:color="auto"/>
              <w:bottom w:val="nil"/>
              <w:right w:val="nil"/>
            </w:tcBorders>
            <w:shd w:val="clear" w:color="auto" w:fill="auto"/>
            <w:noWrap/>
            <w:vAlign w:val="bottom"/>
            <w:hideMark/>
          </w:tcPr>
          <w:p w14:paraId="632937D1"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165.889829</w:t>
            </w:r>
          </w:p>
        </w:tc>
        <w:tc>
          <w:tcPr>
            <w:tcW w:w="977" w:type="dxa"/>
            <w:tcBorders>
              <w:top w:val="nil"/>
              <w:left w:val="nil"/>
              <w:bottom w:val="nil"/>
              <w:right w:val="nil"/>
            </w:tcBorders>
            <w:shd w:val="clear" w:color="auto" w:fill="auto"/>
            <w:noWrap/>
            <w:vAlign w:val="bottom"/>
            <w:hideMark/>
          </w:tcPr>
          <w:p w14:paraId="3F4F4A0E"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19.04341</w:t>
            </w:r>
          </w:p>
        </w:tc>
        <w:tc>
          <w:tcPr>
            <w:tcW w:w="1149" w:type="dxa"/>
            <w:tcBorders>
              <w:top w:val="nil"/>
              <w:left w:val="nil"/>
              <w:bottom w:val="nil"/>
              <w:right w:val="nil"/>
            </w:tcBorders>
            <w:shd w:val="clear" w:color="auto" w:fill="auto"/>
            <w:noWrap/>
            <w:vAlign w:val="bottom"/>
            <w:hideMark/>
          </w:tcPr>
          <w:p w14:paraId="5FD8E1F6"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312.73625</w:t>
            </w:r>
          </w:p>
        </w:tc>
        <w:tc>
          <w:tcPr>
            <w:tcW w:w="977" w:type="dxa"/>
            <w:tcBorders>
              <w:top w:val="nil"/>
              <w:left w:val="nil"/>
              <w:bottom w:val="nil"/>
              <w:right w:val="nil"/>
            </w:tcBorders>
            <w:shd w:val="clear" w:color="auto" w:fill="auto"/>
            <w:noWrap/>
            <w:vAlign w:val="bottom"/>
            <w:hideMark/>
          </w:tcPr>
          <w:p w14:paraId="1E618345"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357.1448</w:t>
            </w:r>
          </w:p>
        </w:tc>
        <w:tc>
          <w:tcPr>
            <w:tcW w:w="977" w:type="dxa"/>
            <w:tcBorders>
              <w:top w:val="nil"/>
              <w:left w:val="nil"/>
              <w:bottom w:val="nil"/>
              <w:right w:val="nil"/>
            </w:tcBorders>
            <w:shd w:val="clear" w:color="auto" w:fill="auto"/>
            <w:noWrap/>
            <w:vAlign w:val="bottom"/>
            <w:hideMark/>
          </w:tcPr>
          <w:p w14:paraId="1DF5ACEF"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440.1057</w:t>
            </w:r>
          </w:p>
        </w:tc>
        <w:tc>
          <w:tcPr>
            <w:tcW w:w="977" w:type="dxa"/>
            <w:tcBorders>
              <w:top w:val="nil"/>
              <w:left w:val="nil"/>
              <w:bottom w:val="nil"/>
              <w:right w:val="single" w:sz="4" w:space="0" w:color="auto"/>
            </w:tcBorders>
            <w:shd w:val="clear" w:color="auto" w:fill="auto"/>
            <w:noWrap/>
            <w:vAlign w:val="bottom"/>
            <w:hideMark/>
          </w:tcPr>
          <w:p w14:paraId="74F80F82"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0.019798</w:t>
            </w:r>
          </w:p>
        </w:tc>
      </w:tr>
      <w:tr w:rsidR="004958C0" w:rsidRPr="00610838" w14:paraId="34BCCFE4" w14:textId="77777777" w:rsidTr="004958C0">
        <w:trPr>
          <w:trHeight w:val="300"/>
        </w:trPr>
        <w:tc>
          <w:tcPr>
            <w:tcW w:w="3400" w:type="dxa"/>
            <w:tcBorders>
              <w:top w:val="nil"/>
              <w:left w:val="nil"/>
              <w:bottom w:val="nil"/>
              <w:right w:val="nil"/>
            </w:tcBorders>
            <w:shd w:val="clear" w:color="auto" w:fill="auto"/>
            <w:noWrap/>
            <w:vAlign w:val="bottom"/>
            <w:hideMark/>
          </w:tcPr>
          <w:p w14:paraId="710E9A35"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Stele area [mm]</w:t>
            </w:r>
          </w:p>
        </w:tc>
        <w:tc>
          <w:tcPr>
            <w:tcW w:w="1403" w:type="dxa"/>
            <w:tcBorders>
              <w:top w:val="nil"/>
              <w:left w:val="single" w:sz="4" w:space="0" w:color="auto"/>
              <w:bottom w:val="nil"/>
              <w:right w:val="nil"/>
            </w:tcBorders>
            <w:shd w:val="clear" w:color="auto" w:fill="auto"/>
            <w:noWrap/>
            <w:vAlign w:val="bottom"/>
            <w:hideMark/>
          </w:tcPr>
          <w:p w14:paraId="583EDE36"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-0.018415166</w:t>
            </w:r>
          </w:p>
        </w:tc>
        <w:tc>
          <w:tcPr>
            <w:tcW w:w="1205" w:type="dxa"/>
            <w:tcBorders>
              <w:top w:val="nil"/>
              <w:left w:val="nil"/>
              <w:bottom w:val="nil"/>
              <w:right w:val="nil"/>
            </w:tcBorders>
            <w:shd w:val="clear" w:color="auto" w:fill="auto"/>
            <w:noWrap/>
            <w:vAlign w:val="bottom"/>
            <w:hideMark/>
          </w:tcPr>
          <w:p w14:paraId="7EDF9A4D"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-0.0359321</w:t>
            </w:r>
          </w:p>
        </w:tc>
        <w:tc>
          <w:tcPr>
            <w:tcW w:w="977" w:type="dxa"/>
            <w:tcBorders>
              <w:top w:val="nil"/>
              <w:left w:val="nil"/>
              <w:bottom w:val="nil"/>
              <w:right w:val="nil"/>
            </w:tcBorders>
            <w:shd w:val="clear" w:color="auto" w:fill="auto"/>
            <w:noWrap/>
            <w:vAlign w:val="bottom"/>
            <w:hideMark/>
          </w:tcPr>
          <w:p w14:paraId="632F7042"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-0.0009</w:t>
            </w:r>
          </w:p>
        </w:tc>
        <w:tc>
          <w:tcPr>
            <w:tcW w:w="977" w:type="dxa"/>
            <w:tcBorders>
              <w:top w:val="nil"/>
              <w:left w:val="nil"/>
              <w:bottom w:val="nil"/>
              <w:right w:val="nil"/>
            </w:tcBorders>
            <w:shd w:val="clear" w:color="auto" w:fill="auto"/>
            <w:noWrap/>
            <w:vAlign w:val="bottom"/>
            <w:hideMark/>
          </w:tcPr>
          <w:p w14:paraId="2DF29095"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0.044389</w:t>
            </w:r>
          </w:p>
        </w:tc>
        <w:tc>
          <w:tcPr>
            <w:tcW w:w="977" w:type="dxa"/>
            <w:tcBorders>
              <w:top w:val="nil"/>
              <w:left w:val="nil"/>
              <w:bottom w:val="nil"/>
              <w:right w:val="nil"/>
            </w:tcBorders>
            <w:shd w:val="clear" w:color="auto" w:fill="auto"/>
            <w:noWrap/>
            <w:vAlign w:val="bottom"/>
            <w:hideMark/>
          </w:tcPr>
          <w:p w14:paraId="4DA18097"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0.043046</w:t>
            </w:r>
          </w:p>
        </w:tc>
        <w:tc>
          <w:tcPr>
            <w:tcW w:w="977" w:type="dxa"/>
            <w:tcBorders>
              <w:top w:val="nil"/>
              <w:left w:val="nil"/>
              <w:bottom w:val="nil"/>
              <w:right w:val="nil"/>
            </w:tcBorders>
            <w:shd w:val="clear" w:color="auto" w:fill="auto"/>
            <w:noWrap/>
            <w:vAlign w:val="bottom"/>
            <w:hideMark/>
          </w:tcPr>
          <w:p w14:paraId="47CF003D"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0.035124</w:t>
            </w:r>
          </w:p>
        </w:tc>
        <w:tc>
          <w:tcPr>
            <w:tcW w:w="1199" w:type="dxa"/>
            <w:tcBorders>
              <w:top w:val="nil"/>
              <w:left w:val="single" w:sz="4" w:space="0" w:color="auto"/>
              <w:bottom w:val="nil"/>
              <w:right w:val="nil"/>
            </w:tcBorders>
            <w:shd w:val="clear" w:color="auto" w:fill="auto"/>
            <w:noWrap/>
            <w:vAlign w:val="bottom"/>
            <w:hideMark/>
          </w:tcPr>
          <w:p w14:paraId="6B4906C3"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c>
          <w:tcPr>
            <w:tcW w:w="977" w:type="dxa"/>
            <w:tcBorders>
              <w:top w:val="nil"/>
              <w:left w:val="nil"/>
              <w:bottom w:val="nil"/>
              <w:right w:val="nil"/>
            </w:tcBorders>
            <w:shd w:val="clear" w:color="auto" w:fill="auto"/>
            <w:noWrap/>
            <w:vAlign w:val="bottom"/>
            <w:hideMark/>
          </w:tcPr>
          <w:p w14:paraId="6B95688A"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p>
        </w:tc>
        <w:tc>
          <w:tcPr>
            <w:tcW w:w="1149" w:type="dxa"/>
            <w:tcBorders>
              <w:top w:val="nil"/>
              <w:left w:val="nil"/>
              <w:bottom w:val="nil"/>
              <w:right w:val="nil"/>
            </w:tcBorders>
            <w:shd w:val="clear" w:color="auto" w:fill="auto"/>
            <w:noWrap/>
            <w:vAlign w:val="bottom"/>
            <w:hideMark/>
          </w:tcPr>
          <w:p w14:paraId="5DD86028"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50EDB945"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4AE964A2"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single" w:sz="4" w:space="0" w:color="auto"/>
            </w:tcBorders>
            <w:shd w:val="clear" w:color="auto" w:fill="auto"/>
            <w:noWrap/>
            <w:vAlign w:val="bottom"/>
            <w:hideMark/>
          </w:tcPr>
          <w:p w14:paraId="76C66926"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r>
      <w:tr w:rsidR="004958C0" w:rsidRPr="00610838" w14:paraId="3F575C02" w14:textId="77777777" w:rsidTr="004958C0">
        <w:trPr>
          <w:trHeight w:val="300"/>
        </w:trPr>
        <w:tc>
          <w:tcPr>
            <w:tcW w:w="3400" w:type="dxa"/>
            <w:tcBorders>
              <w:top w:val="nil"/>
              <w:left w:val="nil"/>
              <w:bottom w:val="nil"/>
              <w:right w:val="nil"/>
            </w:tcBorders>
            <w:shd w:val="clear" w:color="auto" w:fill="auto"/>
            <w:noWrap/>
            <w:vAlign w:val="bottom"/>
            <w:hideMark/>
          </w:tcPr>
          <w:p w14:paraId="4A8025AF"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Tiller number [1/plant]</w:t>
            </w:r>
          </w:p>
        </w:tc>
        <w:tc>
          <w:tcPr>
            <w:tcW w:w="1403" w:type="dxa"/>
            <w:tcBorders>
              <w:top w:val="nil"/>
              <w:left w:val="single" w:sz="4" w:space="0" w:color="auto"/>
              <w:bottom w:val="nil"/>
              <w:right w:val="nil"/>
            </w:tcBorders>
            <w:shd w:val="clear" w:color="auto" w:fill="auto"/>
            <w:noWrap/>
            <w:vAlign w:val="bottom"/>
            <w:hideMark/>
          </w:tcPr>
          <w:p w14:paraId="31328BD5"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-1.388788142</w:t>
            </w:r>
          </w:p>
        </w:tc>
        <w:tc>
          <w:tcPr>
            <w:tcW w:w="1205" w:type="dxa"/>
            <w:tcBorders>
              <w:top w:val="nil"/>
              <w:left w:val="nil"/>
              <w:bottom w:val="nil"/>
              <w:right w:val="nil"/>
            </w:tcBorders>
            <w:shd w:val="clear" w:color="auto" w:fill="auto"/>
            <w:noWrap/>
            <w:vAlign w:val="bottom"/>
            <w:hideMark/>
          </w:tcPr>
          <w:p w14:paraId="7B2B3B60"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-2.5013038</w:t>
            </w:r>
          </w:p>
        </w:tc>
        <w:tc>
          <w:tcPr>
            <w:tcW w:w="977" w:type="dxa"/>
            <w:tcBorders>
              <w:top w:val="nil"/>
              <w:left w:val="nil"/>
              <w:bottom w:val="nil"/>
              <w:right w:val="nil"/>
            </w:tcBorders>
            <w:shd w:val="clear" w:color="auto" w:fill="auto"/>
            <w:noWrap/>
            <w:vAlign w:val="bottom"/>
            <w:hideMark/>
          </w:tcPr>
          <w:p w14:paraId="4491B947"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-0.27627</w:t>
            </w:r>
          </w:p>
        </w:tc>
        <w:tc>
          <w:tcPr>
            <w:tcW w:w="977" w:type="dxa"/>
            <w:tcBorders>
              <w:top w:val="nil"/>
              <w:left w:val="nil"/>
              <w:bottom w:val="nil"/>
              <w:right w:val="nil"/>
            </w:tcBorders>
            <w:shd w:val="clear" w:color="auto" w:fill="auto"/>
            <w:noWrap/>
            <w:vAlign w:val="bottom"/>
            <w:hideMark/>
          </w:tcPr>
          <w:p w14:paraId="257DA5BF"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2.651002</w:t>
            </w:r>
          </w:p>
        </w:tc>
        <w:tc>
          <w:tcPr>
            <w:tcW w:w="977" w:type="dxa"/>
            <w:tcBorders>
              <w:top w:val="nil"/>
              <w:left w:val="nil"/>
              <w:bottom w:val="nil"/>
              <w:right w:val="nil"/>
            </w:tcBorders>
            <w:shd w:val="clear" w:color="auto" w:fill="auto"/>
            <w:noWrap/>
            <w:vAlign w:val="bottom"/>
            <w:hideMark/>
          </w:tcPr>
          <w:p w14:paraId="604C58C4"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2.588242</w:t>
            </w:r>
          </w:p>
        </w:tc>
        <w:tc>
          <w:tcPr>
            <w:tcW w:w="977" w:type="dxa"/>
            <w:tcBorders>
              <w:top w:val="nil"/>
              <w:left w:val="nil"/>
              <w:bottom w:val="nil"/>
              <w:right w:val="nil"/>
            </w:tcBorders>
            <w:shd w:val="clear" w:color="auto" w:fill="auto"/>
            <w:noWrap/>
            <w:vAlign w:val="bottom"/>
            <w:hideMark/>
          </w:tcPr>
          <w:p w14:paraId="6BF642DF"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0.007686</w:t>
            </w:r>
          </w:p>
        </w:tc>
        <w:tc>
          <w:tcPr>
            <w:tcW w:w="1199" w:type="dxa"/>
            <w:tcBorders>
              <w:top w:val="nil"/>
              <w:left w:val="single" w:sz="4" w:space="0" w:color="auto"/>
              <w:bottom w:val="nil"/>
              <w:right w:val="nil"/>
            </w:tcBorders>
            <w:shd w:val="clear" w:color="auto" w:fill="auto"/>
            <w:noWrap/>
            <w:vAlign w:val="bottom"/>
            <w:hideMark/>
          </w:tcPr>
          <w:p w14:paraId="617065E3"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c>
          <w:tcPr>
            <w:tcW w:w="977" w:type="dxa"/>
            <w:tcBorders>
              <w:top w:val="nil"/>
              <w:left w:val="nil"/>
              <w:bottom w:val="nil"/>
              <w:right w:val="nil"/>
            </w:tcBorders>
            <w:shd w:val="clear" w:color="auto" w:fill="auto"/>
            <w:noWrap/>
            <w:vAlign w:val="bottom"/>
            <w:hideMark/>
          </w:tcPr>
          <w:p w14:paraId="30019F7D"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p>
        </w:tc>
        <w:tc>
          <w:tcPr>
            <w:tcW w:w="1149" w:type="dxa"/>
            <w:tcBorders>
              <w:top w:val="nil"/>
              <w:left w:val="nil"/>
              <w:bottom w:val="nil"/>
              <w:right w:val="nil"/>
            </w:tcBorders>
            <w:shd w:val="clear" w:color="auto" w:fill="auto"/>
            <w:noWrap/>
            <w:vAlign w:val="bottom"/>
            <w:hideMark/>
          </w:tcPr>
          <w:p w14:paraId="49505913"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2A75FF80"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0BD7A3ED"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single" w:sz="4" w:space="0" w:color="auto"/>
            </w:tcBorders>
            <w:shd w:val="clear" w:color="auto" w:fill="auto"/>
            <w:noWrap/>
            <w:vAlign w:val="bottom"/>
            <w:hideMark/>
          </w:tcPr>
          <w:p w14:paraId="6AB86714"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r>
      <w:tr w:rsidR="004958C0" w:rsidRPr="00610838" w14:paraId="3C188F08" w14:textId="77777777" w:rsidTr="004958C0">
        <w:trPr>
          <w:trHeight w:val="300"/>
        </w:trPr>
        <w:tc>
          <w:tcPr>
            <w:tcW w:w="3400" w:type="dxa"/>
            <w:tcBorders>
              <w:top w:val="nil"/>
              <w:left w:val="nil"/>
              <w:bottom w:val="nil"/>
              <w:right w:val="nil"/>
            </w:tcBorders>
            <w:shd w:val="clear" w:color="auto" w:fill="auto"/>
            <w:noWrap/>
            <w:vAlign w:val="bottom"/>
            <w:hideMark/>
          </w:tcPr>
          <w:p w14:paraId="1571883A"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Plant height [cm]</w:t>
            </w:r>
          </w:p>
        </w:tc>
        <w:tc>
          <w:tcPr>
            <w:tcW w:w="1403" w:type="dxa"/>
            <w:tcBorders>
              <w:top w:val="nil"/>
              <w:left w:val="single" w:sz="4" w:space="0" w:color="auto"/>
              <w:bottom w:val="nil"/>
              <w:right w:val="nil"/>
            </w:tcBorders>
            <w:shd w:val="clear" w:color="auto" w:fill="auto"/>
            <w:noWrap/>
            <w:vAlign w:val="bottom"/>
            <w:hideMark/>
          </w:tcPr>
          <w:p w14:paraId="3F83E832"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-7.350427168</w:t>
            </w:r>
          </w:p>
        </w:tc>
        <w:tc>
          <w:tcPr>
            <w:tcW w:w="1205" w:type="dxa"/>
            <w:tcBorders>
              <w:top w:val="nil"/>
              <w:left w:val="nil"/>
              <w:bottom w:val="nil"/>
              <w:right w:val="nil"/>
            </w:tcBorders>
            <w:shd w:val="clear" w:color="auto" w:fill="auto"/>
            <w:noWrap/>
            <w:vAlign w:val="bottom"/>
            <w:hideMark/>
          </w:tcPr>
          <w:p w14:paraId="426F98CF"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-12.251316</w:t>
            </w:r>
          </w:p>
        </w:tc>
        <w:tc>
          <w:tcPr>
            <w:tcW w:w="977" w:type="dxa"/>
            <w:tcBorders>
              <w:top w:val="nil"/>
              <w:left w:val="nil"/>
              <w:bottom w:val="nil"/>
              <w:right w:val="nil"/>
            </w:tcBorders>
            <w:shd w:val="clear" w:color="auto" w:fill="auto"/>
            <w:noWrap/>
            <w:vAlign w:val="bottom"/>
            <w:hideMark/>
          </w:tcPr>
          <w:p w14:paraId="4E462473"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-2.44954</w:t>
            </w:r>
          </w:p>
        </w:tc>
        <w:tc>
          <w:tcPr>
            <w:tcW w:w="977" w:type="dxa"/>
            <w:tcBorders>
              <w:top w:val="nil"/>
              <w:left w:val="nil"/>
              <w:bottom w:val="nil"/>
              <w:right w:val="nil"/>
            </w:tcBorders>
            <w:shd w:val="clear" w:color="auto" w:fill="auto"/>
            <w:noWrap/>
            <w:vAlign w:val="bottom"/>
            <w:hideMark/>
          </w:tcPr>
          <w:p w14:paraId="73F13527"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7.186694</w:t>
            </w:r>
          </w:p>
        </w:tc>
        <w:tc>
          <w:tcPr>
            <w:tcW w:w="977" w:type="dxa"/>
            <w:tcBorders>
              <w:top w:val="nil"/>
              <w:left w:val="nil"/>
              <w:bottom w:val="nil"/>
              <w:right w:val="nil"/>
            </w:tcBorders>
            <w:shd w:val="clear" w:color="auto" w:fill="auto"/>
            <w:noWrap/>
            <w:vAlign w:val="bottom"/>
            <w:hideMark/>
          </w:tcPr>
          <w:p w14:paraId="07911028"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7.570277</w:t>
            </w:r>
          </w:p>
        </w:tc>
        <w:tc>
          <w:tcPr>
            <w:tcW w:w="977" w:type="dxa"/>
            <w:tcBorders>
              <w:top w:val="nil"/>
              <w:left w:val="nil"/>
              <w:bottom w:val="nil"/>
              <w:right w:val="nil"/>
            </w:tcBorders>
            <w:shd w:val="clear" w:color="auto" w:fill="auto"/>
            <w:noWrap/>
            <w:vAlign w:val="bottom"/>
            <w:hideMark/>
          </w:tcPr>
          <w:p w14:paraId="63259317"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0.000781</w:t>
            </w:r>
          </w:p>
        </w:tc>
        <w:tc>
          <w:tcPr>
            <w:tcW w:w="1199" w:type="dxa"/>
            <w:tcBorders>
              <w:top w:val="nil"/>
              <w:left w:val="single" w:sz="4" w:space="0" w:color="auto"/>
              <w:bottom w:val="nil"/>
              <w:right w:val="nil"/>
            </w:tcBorders>
            <w:shd w:val="clear" w:color="auto" w:fill="auto"/>
            <w:noWrap/>
            <w:vAlign w:val="bottom"/>
            <w:hideMark/>
          </w:tcPr>
          <w:p w14:paraId="3388BAEA"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c>
          <w:tcPr>
            <w:tcW w:w="977" w:type="dxa"/>
            <w:tcBorders>
              <w:top w:val="nil"/>
              <w:left w:val="nil"/>
              <w:bottom w:val="nil"/>
              <w:right w:val="nil"/>
            </w:tcBorders>
            <w:shd w:val="clear" w:color="auto" w:fill="auto"/>
            <w:noWrap/>
            <w:vAlign w:val="bottom"/>
            <w:hideMark/>
          </w:tcPr>
          <w:p w14:paraId="1F776985"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p>
        </w:tc>
        <w:tc>
          <w:tcPr>
            <w:tcW w:w="1149" w:type="dxa"/>
            <w:tcBorders>
              <w:top w:val="nil"/>
              <w:left w:val="nil"/>
              <w:bottom w:val="nil"/>
              <w:right w:val="nil"/>
            </w:tcBorders>
            <w:shd w:val="clear" w:color="auto" w:fill="auto"/>
            <w:noWrap/>
            <w:vAlign w:val="bottom"/>
            <w:hideMark/>
          </w:tcPr>
          <w:p w14:paraId="4317C3DF"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01C21077"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0CFE5F87"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single" w:sz="4" w:space="0" w:color="auto"/>
            </w:tcBorders>
            <w:shd w:val="clear" w:color="auto" w:fill="auto"/>
            <w:noWrap/>
            <w:vAlign w:val="bottom"/>
            <w:hideMark/>
          </w:tcPr>
          <w:p w14:paraId="15A37DAA"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r>
      <w:tr w:rsidR="004958C0" w:rsidRPr="00610838" w14:paraId="0AE1344D" w14:textId="77777777" w:rsidTr="004958C0">
        <w:trPr>
          <w:trHeight w:val="300"/>
        </w:trPr>
        <w:tc>
          <w:tcPr>
            <w:tcW w:w="3400" w:type="dxa"/>
            <w:tcBorders>
              <w:top w:val="nil"/>
              <w:left w:val="nil"/>
              <w:bottom w:val="nil"/>
              <w:right w:val="nil"/>
            </w:tcBorders>
            <w:shd w:val="clear" w:color="auto" w:fill="auto"/>
            <w:noWrap/>
            <w:vAlign w:val="bottom"/>
            <w:hideMark/>
          </w:tcPr>
          <w:p w14:paraId="1533FDEA"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Total cortical area [mm²]</w:t>
            </w:r>
          </w:p>
        </w:tc>
        <w:tc>
          <w:tcPr>
            <w:tcW w:w="1403" w:type="dxa"/>
            <w:tcBorders>
              <w:top w:val="nil"/>
              <w:left w:val="single" w:sz="4" w:space="0" w:color="auto"/>
              <w:bottom w:val="nil"/>
              <w:right w:val="nil"/>
            </w:tcBorders>
            <w:shd w:val="clear" w:color="auto" w:fill="auto"/>
            <w:noWrap/>
            <w:vAlign w:val="bottom"/>
            <w:hideMark/>
          </w:tcPr>
          <w:p w14:paraId="06A0A745"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-0.035542984</w:t>
            </w:r>
          </w:p>
        </w:tc>
        <w:tc>
          <w:tcPr>
            <w:tcW w:w="1205" w:type="dxa"/>
            <w:tcBorders>
              <w:top w:val="nil"/>
              <w:left w:val="nil"/>
              <w:bottom w:val="nil"/>
              <w:right w:val="nil"/>
            </w:tcBorders>
            <w:shd w:val="clear" w:color="auto" w:fill="auto"/>
            <w:noWrap/>
            <w:vAlign w:val="bottom"/>
            <w:hideMark/>
          </w:tcPr>
          <w:p w14:paraId="5C3DAA74"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-0.0685089</w:t>
            </w:r>
          </w:p>
        </w:tc>
        <w:tc>
          <w:tcPr>
            <w:tcW w:w="977" w:type="dxa"/>
            <w:tcBorders>
              <w:top w:val="nil"/>
              <w:left w:val="nil"/>
              <w:bottom w:val="nil"/>
              <w:right w:val="nil"/>
            </w:tcBorders>
            <w:shd w:val="clear" w:color="auto" w:fill="auto"/>
            <w:noWrap/>
            <w:vAlign w:val="bottom"/>
            <w:hideMark/>
          </w:tcPr>
          <w:p w14:paraId="44C0FA4F"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-0.00258</w:t>
            </w:r>
          </w:p>
        </w:tc>
        <w:tc>
          <w:tcPr>
            <w:tcW w:w="977" w:type="dxa"/>
            <w:tcBorders>
              <w:top w:val="nil"/>
              <w:left w:val="nil"/>
              <w:bottom w:val="nil"/>
              <w:right w:val="nil"/>
            </w:tcBorders>
            <w:shd w:val="clear" w:color="auto" w:fill="auto"/>
            <w:noWrap/>
            <w:vAlign w:val="bottom"/>
            <w:hideMark/>
          </w:tcPr>
          <w:p w14:paraId="3A4F7E31"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0.078625</w:t>
            </w:r>
          </w:p>
        </w:tc>
        <w:tc>
          <w:tcPr>
            <w:tcW w:w="977" w:type="dxa"/>
            <w:tcBorders>
              <w:top w:val="nil"/>
              <w:left w:val="nil"/>
              <w:bottom w:val="nil"/>
              <w:right w:val="nil"/>
            </w:tcBorders>
            <w:shd w:val="clear" w:color="auto" w:fill="auto"/>
            <w:noWrap/>
            <w:vAlign w:val="bottom"/>
            <w:hideMark/>
          </w:tcPr>
          <w:p w14:paraId="16A9014F"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0.087294</w:t>
            </w:r>
          </w:p>
        </w:tc>
        <w:tc>
          <w:tcPr>
            <w:tcW w:w="977" w:type="dxa"/>
            <w:tcBorders>
              <w:top w:val="nil"/>
              <w:left w:val="nil"/>
              <w:bottom w:val="nil"/>
              <w:right w:val="nil"/>
            </w:tcBorders>
            <w:shd w:val="clear" w:color="auto" w:fill="auto"/>
            <w:noWrap/>
            <w:vAlign w:val="bottom"/>
            <w:hideMark/>
          </w:tcPr>
          <w:p w14:paraId="6CA3EF91"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0.028977</w:t>
            </w:r>
          </w:p>
        </w:tc>
        <w:tc>
          <w:tcPr>
            <w:tcW w:w="1199" w:type="dxa"/>
            <w:tcBorders>
              <w:top w:val="nil"/>
              <w:left w:val="single" w:sz="4" w:space="0" w:color="auto"/>
              <w:bottom w:val="nil"/>
              <w:right w:val="nil"/>
            </w:tcBorders>
            <w:shd w:val="clear" w:color="auto" w:fill="auto"/>
            <w:noWrap/>
            <w:vAlign w:val="bottom"/>
            <w:hideMark/>
          </w:tcPr>
          <w:p w14:paraId="682A6C88"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-0.1200043</w:t>
            </w:r>
          </w:p>
        </w:tc>
        <w:tc>
          <w:tcPr>
            <w:tcW w:w="977" w:type="dxa"/>
            <w:tcBorders>
              <w:top w:val="nil"/>
              <w:left w:val="nil"/>
              <w:bottom w:val="nil"/>
              <w:right w:val="nil"/>
            </w:tcBorders>
            <w:shd w:val="clear" w:color="auto" w:fill="auto"/>
            <w:noWrap/>
            <w:vAlign w:val="bottom"/>
            <w:hideMark/>
          </w:tcPr>
          <w:p w14:paraId="3E929C1C"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-0.19235</w:t>
            </w:r>
          </w:p>
        </w:tc>
        <w:tc>
          <w:tcPr>
            <w:tcW w:w="1149" w:type="dxa"/>
            <w:tcBorders>
              <w:top w:val="nil"/>
              <w:left w:val="nil"/>
              <w:bottom w:val="nil"/>
              <w:right w:val="nil"/>
            </w:tcBorders>
            <w:shd w:val="clear" w:color="auto" w:fill="auto"/>
            <w:noWrap/>
            <w:vAlign w:val="bottom"/>
            <w:hideMark/>
          </w:tcPr>
          <w:p w14:paraId="197BBDEF"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-0.0476626</w:t>
            </w:r>
          </w:p>
        </w:tc>
        <w:tc>
          <w:tcPr>
            <w:tcW w:w="977" w:type="dxa"/>
            <w:tcBorders>
              <w:top w:val="nil"/>
              <w:left w:val="nil"/>
              <w:bottom w:val="nil"/>
              <w:right w:val="nil"/>
            </w:tcBorders>
            <w:shd w:val="clear" w:color="auto" w:fill="auto"/>
            <w:noWrap/>
            <w:vAlign w:val="bottom"/>
            <w:hideMark/>
          </w:tcPr>
          <w:p w14:paraId="3B32328C"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0.209659</w:t>
            </w:r>
          </w:p>
        </w:tc>
        <w:tc>
          <w:tcPr>
            <w:tcW w:w="977" w:type="dxa"/>
            <w:tcBorders>
              <w:top w:val="nil"/>
              <w:left w:val="nil"/>
              <w:bottom w:val="nil"/>
              <w:right w:val="nil"/>
            </w:tcBorders>
            <w:shd w:val="clear" w:color="auto" w:fill="auto"/>
            <w:noWrap/>
            <w:vAlign w:val="bottom"/>
            <w:hideMark/>
          </w:tcPr>
          <w:p w14:paraId="0FC9EB98"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0.186318</w:t>
            </w:r>
          </w:p>
        </w:tc>
        <w:tc>
          <w:tcPr>
            <w:tcW w:w="977" w:type="dxa"/>
            <w:tcBorders>
              <w:top w:val="nil"/>
              <w:left w:val="nil"/>
              <w:bottom w:val="nil"/>
              <w:right w:val="single" w:sz="4" w:space="0" w:color="auto"/>
            </w:tcBorders>
            <w:shd w:val="clear" w:color="auto" w:fill="auto"/>
            <w:noWrap/>
            <w:vAlign w:val="bottom"/>
            <w:hideMark/>
          </w:tcPr>
          <w:p w14:paraId="505FEBAD" w14:textId="77777777" w:rsidR="004958C0" w:rsidRPr="00610838" w:rsidRDefault="004958C0" w:rsidP="004958C0">
            <w:pPr>
              <w:spacing w:after="0" w:line="240" w:lineRule="auto"/>
              <w:jc w:val="right"/>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0.000154</w:t>
            </w:r>
          </w:p>
        </w:tc>
      </w:tr>
      <w:tr w:rsidR="004958C0" w:rsidRPr="00610838" w14:paraId="34FE1975" w14:textId="77777777" w:rsidTr="004958C0">
        <w:trPr>
          <w:trHeight w:val="315"/>
        </w:trPr>
        <w:tc>
          <w:tcPr>
            <w:tcW w:w="3400" w:type="dxa"/>
            <w:tcBorders>
              <w:top w:val="nil"/>
              <w:left w:val="nil"/>
              <w:bottom w:val="double" w:sz="6" w:space="0" w:color="auto"/>
              <w:right w:val="single" w:sz="4" w:space="0" w:color="auto"/>
            </w:tcBorders>
            <w:shd w:val="clear" w:color="auto" w:fill="auto"/>
            <w:noWrap/>
            <w:vAlign w:val="bottom"/>
            <w:hideMark/>
          </w:tcPr>
          <w:p w14:paraId="7CA02963" w14:textId="77777777"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Vascular bundle area [mm²]</w:t>
            </w:r>
          </w:p>
        </w:tc>
        <w:tc>
          <w:tcPr>
            <w:tcW w:w="1403" w:type="dxa"/>
            <w:tcBorders>
              <w:top w:val="nil"/>
              <w:left w:val="nil"/>
              <w:bottom w:val="double" w:sz="6" w:space="0" w:color="auto"/>
              <w:right w:val="nil"/>
            </w:tcBorders>
            <w:shd w:val="clear" w:color="auto" w:fill="auto"/>
            <w:noWrap/>
            <w:vAlign w:val="bottom"/>
            <w:hideMark/>
          </w:tcPr>
          <w:p w14:paraId="2760BCBE"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-0.051890668</w:t>
            </w:r>
          </w:p>
        </w:tc>
        <w:tc>
          <w:tcPr>
            <w:tcW w:w="1205" w:type="dxa"/>
            <w:tcBorders>
              <w:top w:val="nil"/>
              <w:left w:val="nil"/>
              <w:bottom w:val="double" w:sz="6" w:space="0" w:color="auto"/>
              <w:right w:val="nil"/>
            </w:tcBorders>
            <w:shd w:val="clear" w:color="auto" w:fill="auto"/>
            <w:noWrap/>
            <w:vAlign w:val="bottom"/>
            <w:hideMark/>
          </w:tcPr>
          <w:p w14:paraId="45358F94"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-0.0983379</w:t>
            </w:r>
          </w:p>
        </w:tc>
        <w:tc>
          <w:tcPr>
            <w:tcW w:w="977" w:type="dxa"/>
            <w:tcBorders>
              <w:top w:val="nil"/>
              <w:left w:val="nil"/>
              <w:bottom w:val="double" w:sz="6" w:space="0" w:color="auto"/>
              <w:right w:val="nil"/>
            </w:tcBorders>
            <w:shd w:val="clear" w:color="auto" w:fill="auto"/>
            <w:noWrap/>
            <w:vAlign w:val="bottom"/>
            <w:hideMark/>
          </w:tcPr>
          <w:p w14:paraId="32D1F057"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-0.00544</w:t>
            </w:r>
          </w:p>
        </w:tc>
        <w:tc>
          <w:tcPr>
            <w:tcW w:w="977" w:type="dxa"/>
            <w:tcBorders>
              <w:top w:val="nil"/>
              <w:left w:val="nil"/>
              <w:bottom w:val="double" w:sz="6" w:space="0" w:color="auto"/>
              <w:right w:val="nil"/>
            </w:tcBorders>
            <w:shd w:val="clear" w:color="auto" w:fill="auto"/>
            <w:noWrap/>
            <w:vAlign w:val="bottom"/>
            <w:hideMark/>
          </w:tcPr>
          <w:p w14:paraId="3AFE0FB3"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0.109936</w:t>
            </w:r>
          </w:p>
        </w:tc>
        <w:tc>
          <w:tcPr>
            <w:tcW w:w="977" w:type="dxa"/>
            <w:tcBorders>
              <w:top w:val="nil"/>
              <w:left w:val="nil"/>
              <w:bottom w:val="double" w:sz="6" w:space="0" w:color="auto"/>
              <w:right w:val="nil"/>
            </w:tcBorders>
            <w:shd w:val="clear" w:color="auto" w:fill="auto"/>
            <w:noWrap/>
            <w:vAlign w:val="bottom"/>
            <w:hideMark/>
          </w:tcPr>
          <w:p w14:paraId="3FAD148D"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0.119866</w:t>
            </w:r>
          </w:p>
        </w:tc>
        <w:tc>
          <w:tcPr>
            <w:tcW w:w="977" w:type="dxa"/>
            <w:tcBorders>
              <w:top w:val="nil"/>
              <w:left w:val="nil"/>
              <w:bottom w:val="double" w:sz="6" w:space="0" w:color="auto"/>
              <w:right w:val="nil"/>
            </w:tcBorders>
            <w:shd w:val="clear" w:color="auto" w:fill="auto"/>
            <w:noWrap/>
            <w:vAlign w:val="bottom"/>
            <w:hideMark/>
          </w:tcPr>
          <w:p w14:paraId="6DFA4CD9" w14:textId="77777777" w:rsidR="004958C0" w:rsidRPr="00610838" w:rsidRDefault="004958C0" w:rsidP="004958C0">
            <w:pPr>
              <w:spacing w:after="0" w:line="240" w:lineRule="auto"/>
              <w:jc w:val="right"/>
              <w:rPr>
                <w:rFonts w:ascii="Calibri" w:eastAsia="Times New Roman" w:hAnsi="Calibri" w:cs="Calibri"/>
                <w:i/>
                <w:iCs/>
                <w:color w:val="4472C4"/>
                <w:sz w:val="20"/>
                <w:szCs w:val="20"/>
                <w:lang w:val="en-GB"/>
              </w:rPr>
            </w:pPr>
            <w:r w:rsidRPr="00610838">
              <w:rPr>
                <w:rFonts w:ascii="Calibri" w:eastAsia="Times New Roman" w:hAnsi="Calibri" w:cs="Calibri"/>
                <w:i/>
                <w:iCs/>
                <w:color w:val="4472C4"/>
                <w:sz w:val="20"/>
                <w:szCs w:val="20"/>
                <w:lang w:val="en-GB"/>
              </w:rPr>
              <w:t>0.021732</w:t>
            </w:r>
          </w:p>
        </w:tc>
        <w:tc>
          <w:tcPr>
            <w:tcW w:w="1199" w:type="dxa"/>
            <w:tcBorders>
              <w:top w:val="nil"/>
              <w:left w:val="single" w:sz="4" w:space="0" w:color="auto"/>
              <w:bottom w:val="double" w:sz="6" w:space="0" w:color="auto"/>
              <w:right w:val="nil"/>
            </w:tcBorders>
            <w:shd w:val="clear" w:color="auto" w:fill="auto"/>
            <w:noWrap/>
            <w:vAlign w:val="bottom"/>
            <w:hideMark/>
          </w:tcPr>
          <w:p w14:paraId="366302B0"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c>
          <w:tcPr>
            <w:tcW w:w="977" w:type="dxa"/>
            <w:tcBorders>
              <w:top w:val="nil"/>
              <w:left w:val="nil"/>
              <w:bottom w:val="double" w:sz="6" w:space="0" w:color="auto"/>
              <w:right w:val="nil"/>
            </w:tcBorders>
            <w:shd w:val="clear" w:color="auto" w:fill="auto"/>
            <w:noWrap/>
            <w:vAlign w:val="bottom"/>
            <w:hideMark/>
          </w:tcPr>
          <w:p w14:paraId="0F6AFC79"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c>
          <w:tcPr>
            <w:tcW w:w="1149" w:type="dxa"/>
            <w:tcBorders>
              <w:top w:val="nil"/>
              <w:left w:val="nil"/>
              <w:bottom w:val="double" w:sz="6" w:space="0" w:color="auto"/>
              <w:right w:val="nil"/>
            </w:tcBorders>
            <w:shd w:val="clear" w:color="auto" w:fill="auto"/>
            <w:noWrap/>
            <w:vAlign w:val="bottom"/>
            <w:hideMark/>
          </w:tcPr>
          <w:p w14:paraId="16645BF7"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c>
          <w:tcPr>
            <w:tcW w:w="977" w:type="dxa"/>
            <w:tcBorders>
              <w:top w:val="nil"/>
              <w:left w:val="nil"/>
              <w:bottom w:val="double" w:sz="6" w:space="0" w:color="auto"/>
              <w:right w:val="nil"/>
            </w:tcBorders>
            <w:shd w:val="clear" w:color="auto" w:fill="auto"/>
            <w:noWrap/>
            <w:vAlign w:val="bottom"/>
            <w:hideMark/>
          </w:tcPr>
          <w:p w14:paraId="2328DA70"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c>
          <w:tcPr>
            <w:tcW w:w="977" w:type="dxa"/>
            <w:tcBorders>
              <w:top w:val="nil"/>
              <w:left w:val="nil"/>
              <w:bottom w:val="double" w:sz="6" w:space="0" w:color="auto"/>
              <w:right w:val="nil"/>
            </w:tcBorders>
            <w:shd w:val="clear" w:color="auto" w:fill="auto"/>
            <w:noWrap/>
            <w:vAlign w:val="bottom"/>
            <w:hideMark/>
          </w:tcPr>
          <w:p w14:paraId="7150CE01"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c>
          <w:tcPr>
            <w:tcW w:w="977" w:type="dxa"/>
            <w:tcBorders>
              <w:top w:val="nil"/>
              <w:left w:val="nil"/>
              <w:bottom w:val="double" w:sz="6" w:space="0" w:color="auto"/>
              <w:right w:val="single" w:sz="4" w:space="0" w:color="auto"/>
            </w:tcBorders>
            <w:shd w:val="clear" w:color="auto" w:fill="auto"/>
            <w:noWrap/>
            <w:vAlign w:val="bottom"/>
            <w:hideMark/>
          </w:tcPr>
          <w:p w14:paraId="43FBFBF7"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r w:rsidRPr="00610838">
              <w:rPr>
                <w:rFonts w:ascii="Calibri" w:eastAsia="Times New Roman" w:hAnsi="Calibri" w:cs="Calibri"/>
                <w:i/>
                <w:iCs/>
                <w:color w:val="44546A"/>
                <w:sz w:val="20"/>
                <w:szCs w:val="20"/>
                <w:lang w:val="en-GB"/>
              </w:rPr>
              <w:t> </w:t>
            </w:r>
          </w:p>
        </w:tc>
      </w:tr>
      <w:tr w:rsidR="004958C0" w:rsidRPr="00127896" w14:paraId="0798417A" w14:textId="77777777" w:rsidTr="004958C0">
        <w:trPr>
          <w:trHeight w:val="315"/>
        </w:trPr>
        <w:tc>
          <w:tcPr>
            <w:tcW w:w="3400" w:type="dxa"/>
            <w:tcBorders>
              <w:top w:val="nil"/>
              <w:left w:val="nil"/>
              <w:bottom w:val="nil"/>
              <w:right w:val="nil"/>
            </w:tcBorders>
            <w:shd w:val="clear" w:color="auto" w:fill="auto"/>
            <w:noWrap/>
            <w:vAlign w:val="bottom"/>
            <w:hideMark/>
          </w:tcPr>
          <w:p w14:paraId="13237878" w14:textId="77777777" w:rsidR="004958C0" w:rsidRPr="00610838" w:rsidRDefault="004958C0" w:rsidP="004958C0">
            <w:pPr>
              <w:spacing w:after="0" w:line="240" w:lineRule="auto"/>
              <w:rPr>
                <w:rFonts w:ascii="Calibri" w:eastAsia="Times New Roman" w:hAnsi="Calibri" w:cs="Calibri"/>
                <w:i/>
                <w:iCs/>
                <w:color w:val="44546A"/>
                <w:sz w:val="20"/>
                <w:szCs w:val="20"/>
                <w:lang w:val="en-GB"/>
              </w:rPr>
            </w:pPr>
          </w:p>
        </w:tc>
        <w:tc>
          <w:tcPr>
            <w:tcW w:w="7715" w:type="dxa"/>
            <w:gridSpan w:val="7"/>
            <w:tcBorders>
              <w:top w:val="nil"/>
              <w:left w:val="nil"/>
              <w:bottom w:val="nil"/>
              <w:right w:val="nil"/>
            </w:tcBorders>
            <w:shd w:val="clear" w:color="auto" w:fill="auto"/>
            <w:noWrap/>
            <w:vAlign w:val="bottom"/>
            <w:hideMark/>
          </w:tcPr>
          <w:p w14:paraId="52D15AB3" w14:textId="740986D6" w:rsidR="004958C0" w:rsidRPr="00610838" w:rsidRDefault="004958C0" w:rsidP="004958C0">
            <w:pPr>
              <w:spacing w:after="0" w:line="240" w:lineRule="auto"/>
              <w:rPr>
                <w:rFonts w:ascii="Calibri" w:eastAsia="Times New Roman" w:hAnsi="Calibri" w:cs="Calibri"/>
                <w:color w:val="000000"/>
                <w:sz w:val="20"/>
                <w:szCs w:val="20"/>
                <w:lang w:val="en-GB"/>
              </w:rPr>
            </w:pPr>
            <w:r w:rsidRPr="00610838">
              <w:rPr>
                <w:rFonts w:ascii="Calibri" w:eastAsia="Times New Roman" w:hAnsi="Calibri" w:cs="Calibri"/>
                <w:color w:val="000000"/>
                <w:sz w:val="20"/>
                <w:szCs w:val="20"/>
                <w:lang w:val="en-GB"/>
              </w:rPr>
              <w:t xml:space="preserve">* Organic always as first value - negative values are related to smaller in </w:t>
            </w:r>
            <w:r w:rsidR="00030FA5">
              <w:rPr>
                <w:rFonts w:ascii="Calibri" w:eastAsia="Times New Roman" w:hAnsi="Calibri" w:cs="Calibri"/>
                <w:color w:val="000000"/>
                <w:sz w:val="20"/>
                <w:szCs w:val="20"/>
                <w:lang w:val="en-GB"/>
              </w:rPr>
              <w:t>o</w:t>
            </w:r>
            <w:r w:rsidRPr="00610838">
              <w:rPr>
                <w:rFonts w:ascii="Calibri" w:eastAsia="Times New Roman" w:hAnsi="Calibri" w:cs="Calibri"/>
                <w:color w:val="000000"/>
                <w:sz w:val="20"/>
                <w:szCs w:val="20"/>
                <w:lang w:val="en-GB"/>
              </w:rPr>
              <w:t>rganic</w:t>
            </w:r>
          </w:p>
        </w:tc>
        <w:tc>
          <w:tcPr>
            <w:tcW w:w="977" w:type="dxa"/>
            <w:tcBorders>
              <w:top w:val="nil"/>
              <w:left w:val="nil"/>
              <w:bottom w:val="nil"/>
              <w:right w:val="nil"/>
            </w:tcBorders>
            <w:shd w:val="clear" w:color="auto" w:fill="auto"/>
            <w:noWrap/>
            <w:vAlign w:val="bottom"/>
            <w:hideMark/>
          </w:tcPr>
          <w:p w14:paraId="44916D54" w14:textId="77777777" w:rsidR="004958C0" w:rsidRPr="00610838" w:rsidRDefault="004958C0" w:rsidP="004958C0">
            <w:pPr>
              <w:spacing w:after="0" w:line="240" w:lineRule="auto"/>
              <w:rPr>
                <w:rFonts w:ascii="Calibri" w:eastAsia="Times New Roman" w:hAnsi="Calibri" w:cs="Calibri"/>
                <w:color w:val="000000"/>
                <w:sz w:val="20"/>
                <w:szCs w:val="20"/>
                <w:lang w:val="en-GB"/>
              </w:rPr>
            </w:pPr>
          </w:p>
        </w:tc>
        <w:tc>
          <w:tcPr>
            <w:tcW w:w="1149" w:type="dxa"/>
            <w:tcBorders>
              <w:top w:val="nil"/>
              <w:left w:val="nil"/>
              <w:bottom w:val="nil"/>
              <w:right w:val="nil"/>
            </w:tcBorders>
            <w:shd w:val="clear" w:color="auto" w:fill="auto"/>
            <w:noWrap/>
            <w:vAlign w:val="bottom"/>
            <w:hideMark/>
          </w:tcPr>
          <w:p w14:paraId="1A1C035D"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3FB9C414"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54A3FD12"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c>
          <w:tcPr>
            <w:tcW w:w="977" w:type="dxa"/>
            <w:tcBorders>
              <w:top w:val="nil"/>
              <w:left w:val="nil"/>
              <w:bottom w:val="nil"/>
              <w:right w:val="nil"/>
            </w:tcBorders>
            <w:shd w:val="clear" w:color="auto" w:fill="auto"/>
            <w:noWrap/>
            <w:vAlign w:val="bottom"/>
            <w:hideMark/>
          </w:tcPr>
          <w:p w14:paraId="32307228" w14:textId="77777777" w:rsidR="004958C0" w:rsidRPr="00610838" w:rsidRDefault="004958C0" w:rsidP="004958C0">
            <w:pPr>
              <w:spacing w:after="0" w:line="240" w:lineRule="auto"/>
              <w:rPr>
                <w:rFonts w:ascii="Times New Roman" w:eastAsia="Times New Roman" w:hAnsi="Times New Roman" w:cs="Times New Roman"/>
                <w:sz w:val="20"/>
                <w:szCs w:val="20"/>
                <w:lang w:val="en-GB"/>
              </w:rPr>
            </w:pPr>
          </w:p>
        </w:tc>
      </w:tr>
    </w:tbl>
    <w:p w14:paraId="771489BC" w14:textId="77777777" w:rsidR="004958C0" w:rsidRPr="00610838" w:rsidRDefault="004958C0" w:rsidP="00F10590">
      <w:pPr>
        <w:rPr>
          <w:rFonts w:ascii="Times New Roman" w:hAnsi="Times New Roman" w:cs="Times New Roman"/>
          <w:i/>
          <w:iCs/>
          <w:sz w:val="20"/>
          <w:szCs w:val="20"/>
          <w:lang w:val="en-GB"/>
        </w:rPr>
      </w:pPr>
    </w:p>
    <w:p w14:paraId="69F4D5C6" w14:textId="77777777" w:rsidR="00F10590" w:rsidRPr="00610838" w:rsidRDefault="00F10590" w:rsidP="00F10590">
      <w:pPr>
        <w:rPr>
          <w:rFonts w:ascii="Times New Roman" w:hAnsi="Times New Roman" w:cs="Times New Roman"/>
          <w:i/>
          <w:iCs/>
          <w:sz w:val="20"/>
          <w:szCs w:val="20"/>
          <w:lang w:val="en-GB"/>
        </w:rPr>
        <w:sectPr w:rsidR="00F10590" w:rsidRPr="00610838" w:rsidSect="001E59AF">
          <w:pgSz w:w="16838" w:h="11906" w:orient="landscape"/>
          <w:pgMar w:top="1417" w:right="1417" w:bottom="1417" w:left="1134" w:header="708" w:footer="708" w:gutter="0"/>
          <w:cols w:space="708"/>
          <w:docGrid w:linePitch="360"/>
        </w:sectPr>
      </w:pPr>
    </w:p>
    <w:bookmarkEnd w:id="22"/>
    <w:p w14:paraId="6640EABF" w14:textId="2C86B023" w:rsidR="00356034" w:rsidRPr="00610838" w:rsidRDefault="00356034" w:rsidP="00356034">
      <w:pPr>
        <w:jc w:val="both"/>
        <w:rPr>
          <w:rFonts w:ascii="Times New Roman" w:hAnsi="Times New Roman" w:cs="Times New Roman"/>
          <w:sz w:val="16"/>
          <w:szCs w:val="20"/>
          <w:lang w:val="en-GB"/>
        </w:rPr>
      </w:pPr>
      <w:r w:rsidRPr="00610838">
        <w:rPr>
          <w:rFonts w:ascii="Times New Roman" w:hAnsi="Times New Roman" w:cs="Times New Roman"/>
          <w:b/>
          <w:bCs/>
          <w:sz w:val="20"/>
          <w:szCs w:val="24"/>
          <w:lang w:val="en-GB"/>
        </w:rPr>
        <w:lastRenderedPageBreak/>
        <w:t xml:space="preserve">Supplementary Table </w:t>
      </w:r>
      <w:r>
        <w:rPr>
          <w:rFonts w:ascii="Times New Roman" w:hAnsi="Times New Roman" w:cs="Times New Roman"/>
          <w:b/>
          <w:bCs/>
          <w:sz w:val="20"/>
          <w:szCs w:val="24"/>
          <w:lang w:val="en-GB"/>
        </w:rPr>
        <w:t>5</w:t>
      </w:r>
      <w:r w:rsidRPr="00610838">
        <w:rPr>
          <w:rFonts w:ascii="Times New Roman" w:hAnsi="Times New Roman" w:cs="Times New Roman"/>
          <w:b/>
          <w:bCs/>
          <w:sz w:val="20"/>
          <w:szCs w:val="24"/>
          <w:lang w:val="en-GB"/>
        </w:rPr>
        <w:t>. The allele frequency of the 3</w:t>
      </w:r>
      <w:r w:rsidRPr="00610838">
        <w:rPr>
          <w:rFonts w:ascii="Times New Roman" w:hAnsi="Times New Roman" w:cs="Times New Roman"/>
          <w:b/>
          <w:bCs/>
          <w:sz w:val="20"/>
          <w:szCs w:val="24"/>
          <w:vertAlign w:val="superscript"/>
          <w:lang w:val="en-GB"/>
        </w:rPr>
        <w:t>rd</w:t>
      </w:r>
      <w:r w:rsidRPr="00610838">
        <w:rPr>
          <w:rFonts w:ascii="Times New Roman" w:hAnsi="Times New Roman" w:cs="Times New Roman"/>
          <w:b/>
          <w:bCs/>
          <w:sz w:val="20"/>
          <w:szCs w:val="24"/>
          <w:lang w:val="en-GB"/>
        </w:rPr>
        <w:t xml:space="preserve"> and 23</w:t>
      </w:r>
      <w:r w:rsidRPr="00610838">
        <w:rPr>
          <w:rFonts w:ascii="Times New Roman" w:hAnsi="Times New Roman" w:cs="Times New Roman"/>
          <w:b/>
          <w:bCs/>
          <w:sz w:val="20"/>
          <w:szCs w:val="24"/>
          <w:vertAlign w:val="superscript"/>
          <w:lang w:val="en-GB"/>
        </w:rPr>
        <w:t>rd</w:t>
      </w:r>
      <w:r w:rsidRPr="00610838">
        <w:rPr>
          <w:rFonts w:ascii="Times New Roman" w:hAnsi="Times New Roman" w:cs="Times New Roman"/>
          <w:b/>
          <w:bCs/>
          <w:sz w:val="20"/>
          <w:szCs w:val="24"/>
          <w:lang w:val="en-GB"/>
        </w:rPr>
        <w:t xml:space="preserve"> generation for selected QTL regions identified by meta-analysis. </w:t>
      </w:r>
      <w:r w:rsidRPr="00610838">
        <w:rPr>
          <w:rFonts w:ascii="Times New Roman" w:hAnsi="Times New Roman" w:cs="Times New Roman"/>
          <w:iCs/>
          <w:sz w:val="20"/>
          <w:szCs w:val="24"/>
          <w:lang w:val="en-GB"/>
        </w:rPr>
        <w:t>QTL studies related to fungal resistance genes</w:t>
      </w:r>
      <w:r w:rsidRPr="00610838">
        <w:rPr>
          <w:rFonts w:ascii="Times New Roman" w:hAnsi="Times New Roman" w:cs="Times New Roman"/>
          <w:iCs/>
          <w:sz w:val="20"/>
          <w:szCs w:val="24"/>
          <w:lang w:val="en-GB"/>
        </w:rPr>
        <w:fldChar w:fldCharType="begin" w:fldLock="1"/>
      </w:r>
      <w:r w:rsidRPr="00610838">
        <w:rPr>
          <w:rFonts w:ascii="Times New Roman" w:hAnsi="Times New Roman" w:cs="Times New Roman"/>
          <w:iCs/>
          <w:sz w:val="20"/>
          <w:szCs w:val="24"/>
          <w:lang w:val="en-GB"/>
        </w:rPr>
        <w:instrText>ADDIN CSL_CITATION {"citationItems":[{"id":"ITEM-1","itemData":{"DOI":"10.1007/s00122-005-2049-x","ISSN":"00405752","abstract":"The objective of this study was to map new resistance genes against powdery mildew (Blumeria graminis f. sp. hordei L.), leaf rust (Puccinia hordei L.) and scald [Rhynchosporium secalis (Oud.) J. Davis] in the advanced backcross doubled haploid (BC2DH) population S42 derived from a cross between the spring barley cultivar 'Scarlett' and the wild barley accession ISR42-8 (Hordeum vulgare ssp. spontaneum). Using field data of disease severity recorded in eight environments under natural infestation and genotype data of 98 SSR loci, we detected nine QTL for powdery mildew, six QTL for leaf rust resistance and three QTL for scald resistance. The presence of the exotic QTL alleles reduced disease symptoms by a maximum of 51.5, 37.6 and 16.5% for powdery mildew, leaf rust and scald, respectively. Some of the detected QTL may correspond to previously identified qualitative (i.e. Mla) and to quantitative resistance genes. Others may be newly identified resistance genes. For the majority of resistance QTL (61.0%) the wild barley contributed the favourable allele demonstrating the usefulness of wild barley in the quest for resistant cultivars. © Springer-Verlag 2005.","author":[{"dropping-particle":"","family":"Korff","given":"M.","non-dropping-particle":"Von","parse-names":false,"suffix":""},{"dropping-particle":"","family":"Wang","given":"H.","non-dropping-particle":"","parse-names":false,"suffix":""},{"dropping-particle":"","family":"Léon","given":"J.","non-dropping-particle":"","parse-names":false,"suffix":""},{"dropping-particle":"","family":"Pillen","given":"K.","non-dropping-particle":"","parse-names":false,"suffix":""}],"container-title":"Theoretical and Applied Genetics","id":"ITEM-1","issue":"3","issued":{"date-parts":[["2005"]]},"page":"583-590","title":"AB-QTL analysis in spring barley. I. Detection of resistance genes against powdery mildew, leaf rust and scald introgressed from wild barley","type":"article-journal","volume":"111"},"uris":["http://www.mendeley.com/documents/?uuid=b89bf3d5-422b-4b2c-becd-3ac9dde796d5"]},{"id":"ITEM-2","itemData":{"DOI":"10.1007/s10681-017-2103-1","ISSN":"15735060","abstract":"Fusarium graminearum is a devastating fungal pathogen that causes significant yield and quality losses in cereals. We utilized a diversity set of barley (140 genotypes) to explore vital resistance alleles against this aggressive pathogen. The resistance assessment was carried out on spikes and leaves via artificial inoculations under control conditions. The phenotypic data was subjected to genome-wide association analysis using a genetic map based on DArT and SNP markers. This analysis revealed eleven and nine marker trait associations for leaf disease scoring (LDS) and spike disease scoring (SDS), respectively. The strongest QTL for LDS was found on chromosome 1H where a minor allele of wild origin decreased disease symptoms by 78%. The major QTL allele for SDS was linked with marker locus SCRI_RS174710 on chromosome 5H. In addition, four favorable epistatic interactions effects were found in decreasing disease symptoms. Overall, three QTL were common for LDS and SDS, which indicates a partial genetic relatedness of these resistances in barley. The QTL alleles for LDS and SDS will help to establish organ specific resistances in cultivated barley.","author":[{"dropping-particle":"","family":"Bedawy","given":"Ismail M.A.","non-dropping-particle":"","parse-names":false,"suffix":""},{"dropping-particle":"","family":"Dehne","given":"Heinz Wilhelm","non-dropping-particle":"","parse-names":false,"suffix":""},{"dropping-particle":"","family":"Léon","given":"Jens","non-dropping-particle":"","parse-names":false,"suffix":""},{"dropping-particle":"","family":"Naz","given":"Ali Ahmad","non-dropping-particle":"","parse-names":false,"suffix":""}],"container-title":"Euphytica","id":"ITEM-2","issue":"1","issued":{"date-parts":[["2018"]]},"title":"Mining the global diversity of barley for Fusarium resistance using leaf and spike inoculations","type":"article-journal","volume":"214"},"uris":["http://www.mendeley.com/documents/?uuid=0e52c517-3fed-474f-8f57-bbdf83f64914"]},{"id":"ITEM-3","itemData":{"DOI":"10.1007/s11032-013-9966-1","ISSN":"13803743","abstract":"Barley yellow dwarf disease (BYD) is transmitted by aphids and is caused by different strains of Barley yellow dwarf virus (BYDV) and Cereal yellow dwarf virus (CYDV). Economically it is one of the most important diseases of cereals worldwide. Besides chemical control of the vector, growing of tolerant/resistant cultivars is an effective way of protecting crops against BYD. The Ryd3 gene in barley (Hordeum vulgare L.) confers tolerance to BYDV-PAV and BYDV-MAV and the locus was previously mapped on the short arm of barley chromosome 6H near the centromere. We applied a strategy for high-resolution mapping and marker saturation at the Ryd3 locus by exploiting recent genomic tools available in barley. In a population of 3,210 F2 plants, 14 tightly linked markers were identified, including 10 that co-segregated with Ryd3. The centromeric region where Ryd3 is located suffers suppressed recombination or reduced recombination rate, suggesting potential problems in achieving (1) map-based cloning of Ryd3 and (2) marker selection of the resistance in breeding programmes without the introduction of undesirable traits via linkage drag. © 2013 Springer Science+Business Media Dordrecht.","author":[{"dropping-particle":"","family":"Lüpken","given":"Thomas","non-dropping-particle":"","parse-names":false,"suffix":""},{"dropping-particle":"","family":"Stein","given":"Nils","non-dropping-particle":"","parse-names":false,"suffix":""},{"dropping-particle":"","family":"Perovic","given":"Dragan","non-dropping-particle":"","parse-names":false,"suffix":""},{"dropping-particle":"","family":"Habekuß","given":"Antje","non-dropping-particle":"","parse-names":false,"suffix":""},{"dropping-particle":"","family":"Serfling","given":"Albrecht","non-dropping-particle":"","parse-names":false,"suffix":""},{"dropping-particle":"","family":"Krämer","given":"Ilona","non-dropping-particle":"","parse-names":false,"suffix":""},{"dropping-particle":"","family":"Hähnel","given":"Urs","non-dropping-particle":"","parse-names":false,"suffix":""},{"dropping-particle":"","family":"Steuernagel","given":"Burkhard","non-dropping-particle":"","parse-names":false,"suffix":""},{"dropping-particle":"","family":"Scholz","given":"Uwe","non-dropping-particle":"","parse-names":false,"suffix":""},{"dropping-particle":"","family":"Ariyadasa","given":"Ruvini","non-dropping-particle":"","parse-names":false,"suffix":""},{"dropping-particle":"","family":"Martis","given":"Mihaela","non-dropping-particle":"","parse-names":false,"suffix":""},{"dropping-particle":"","family":"Mayer","given":"Klaus","non-dropping-particle":"","parse-names":false,"suffix":""},{"dropping-particle":"","family":"Niks","given":"Rients E.","non-dropping-particle":"","parse-names":false,"suffix":""},{"dropping-particle":"","family":"Collins","given":"Nicholas C.","non-dropping-particle":"","parse-names":false,"suffix":""},{"dropping-particle":"","family":"Friedt","given":"Wolfgang","non-dropping-particle":"","parse-names":false,"suffix":""},{"dropping-particle":"","family":"Ordon","given":"Frank","non-dropping-particle":"","parse-names":false,"suffix":""}],"container-title":"Molecular Breeding","id":"ITEM-3","issue":"2","issued":{"date-parts":[["2014"]]},"page":"477-488","title":"High-resolution mapping of the barley Ryd3 locus controlling tolerance to BYDV","type":"article-journal","volume":"33"},"uris":["http://www.mendeley.com/documents/?uuid=daeaad57-f7f7-4a19-acee-ee6db54eb9cb"]},{"id":"ITEM-4","itemData":{"DOI":"10.1007/978-94-007-4682-4_23","author":[{"dropping-particle":"","family":"Dragan","given":"Perovic","non-dropping-particle":"","parse-names":false,"suffix":""},{"dropping-particle":"","family":"Kopahnke","given":"Doris","non-dropping-particle":"","parse-names":false,"suffix":""},{"dropping-particle":"","family":"Steffenson","given":"Brian J.","non-dropping-particle":"","parse-names":false,"suffix":""},{"dropping-particle":"","family":"Förster","given":"Jutta","non-dropping-particle":"","parse-names":false,"suffix":""},{"dropping-particle":"","family":"König","given":"Janine","non-dropping-particle":"","parse-names":false,"suffix":""},{"dropping-particle":"","family":"Kilian","given":"Benjamin","non-dropping-particle":"","parse-names":false,"suffix":""},{"dropping-particle":"","family":"Plieske","given":"Jörg","non-dropping-particle":"","parse-names":false,"suffix":""},{"dropping-particle":"","family":"Durstewitz","given":"Gregor","non-dropping-particle":"","parse-names":false,"suffix":""},{"dropping-particle":"","family":"Korzun","given":"Viktor","non-dropping-particle":"","parse-names":false,"suffix":""},{"dropping-particle":"","family":"Kraemer","given":"Ilona","non-dropping-particle":"","parse-names":false,"suffix":""},{"dropping-particle":"","family":"Habekuss","given":"Antje","non-dropping-particle":"","parse-names":false,"suffix":""},{"dropping-particle":"","family":"Johnston","given":"Paul","non-dropping-particle":"","parse-names":false,"suffix":""},{"dropping-particle":"","family":"Pickering","given":"Richrad","non-dropping-particle":"","parse-names":false,"suffix":""},{"dropping-particle":"","family":"Ordon","given":"Frank","non-dropping-particle":"","parse-names":false,"suffix":""}],"container-title":"Advance in Barley Sciences","id":"ITEM-4","issued":{"date-parts":[["2013"]]},"page":"269-284","publisher":"Springer Netherlands","publisher-place":"Dordrecht","title":"Genetic Fine Mapping of a Novel Leaf Rust Resistance Gene and a Barley Yellow Dwarf Virus Tolerance (BYDV) Introgressed from Hordeum bulbosum by the Use of the 9K iSelect Chip","type":"chapter"},"uris":["http://www.mendeley.com/documents/?uuid=0bfe7773-2701-3861-a2a3-28ac63231350"]}],"mendeley":{"formattedCitation":"&lt;sup&gt;10–13&lt;/sup&gt;","plainTextFormattedCitation":"10–13","previouslyFormattedCitation":"&lt;sup&gt;10–13&lt;/sup&gt;"},"properties":{"noteIndex":0},"schema":"https://github.com/citation-style-language/schema/raw/master/csl-citation.json"}</w:instrText>
      </w:r>
      <w:r w:rsidRPr="00610838">
        <w:rPr>
          <w:rFonts w:ascii="Times New Roman" w:hAnsi="Times New Roman" w:cs="Times New Roman"/>
          <w:iCs/>
          <w:sz w:val="20"/>
          <w:szCs w:val="24"/>
          <w:lang w:val="en-GB"/>
        </w:rPr>
        <w:fldChar w:fldCharType="separate"/>
      </w:r>
      <w:r w:rsidRPr="00610838">
        <w:rPr>
          <w:rFonts w:ascii="Times New Roman" w:hAnsi="Times New Roman" w:cs="Times New Roman"/>
          <w:iCs/>
          <w:noProof/>
          <w:sz w:val="20"/>
          <w:szCs w:val="24"/>
          <w:vertAlign w:val="superscript"/>
          <w:lang w:val="en-GB"/>
        </w:rPr>
        <w:t>10–13</w:t>
      </w:r>
      <w:r w:rsidRPr="00610838">
        <w:rPr>
          <w:rFonts w:ascii="Times New Roman" w:hAnsi="Times New Roman" w:cs="Times New Roman"/>
          <w:iCs/>
          <w:sz w:val="20"/>
          <w:szCs w:val="24"/>
          <w:lang w:val="en-GB"/>
        </w:rPr>
        <w:fldChar w:fldCharType="end"/>
      </w:r>
      <w:r w:rsidRPr="00610838">
        <w:rPr>
          <w:rFonts w:ascii="Times New Roman" w:hAnsi="Times New Roman" w:cs="Times New Roman"/>
          <w:iCs/>
          <w:sz w:val="20"/>
          <w:szCs w:val="24"/>
          <w:lang w:val="en-GB"/>
        </w:rPr>
        <w:t>, grain yield</w:t>
      </w:r>
      <w:r w:rsidRPr="00610838">
        <w:rPr>
          <w:rFonts w:ascii="Times New Roman" w:hAnsi="Times New Roman" w:cs="Times New Roman"/>
          <w:iCs/>
          <w:sz w:val="20"/>
          <w:szCs w:val="24"/>
          <w:lang w:val="en-GB"/>
        </w:rPr>
        <w:fldChar w:fldCharType="begin" w:fldLock="1"/>
      </w:r>
      <w:r w:rsidRPr="00610838">
        <w:rPr>
          <w:rFonts w:ascii="Times New Roman" w:hAnsi="Times New Roman" w:cs="Times New Roman"/>
          <w:iCs/>
          <w:sz w:val="20"/>
          <w:szCs w:val="24"/>
          <w:lang w:val="en-GB"/>
        </w:rPr>
        <w:instrText>ADDIN CSL_CITATION {"citationItems":[{"id":"ITEM-1","itemData":{"DOI":"10.1534/g3.111.000182","ISSN":"21601836","abstract":"Genetically well-characterized mapping populations are a key tool for rapid and precise localization of quantitative trait loci (QTL) and subsequent identification of the underlying genes. In this study, a set of 73 introgression lines (S42ILs) originating from a cross between the spring barley cultivar Scarlett (Hordeum vulgare ssp. vulgare) and the wild barley accession ISR42-8 (H. v. ssp. spontaneum) was subjected to high-resolution genotyping with an Illumina 1536-SNP array. The array enabled a precise localization of the wild barley introgressions in the elite barley background. Based on 636 informative SNPs, the S42IL set represents 87.3% of the wild barley genome, where each line contains on average 3.3% of the donor genome. Furthermore, segregating high-resolution mapping populations (S42IL-HRs) were developed for 70 S42ILs in order to facilitate QTL fine-mapping and cloning. As a case study, we used the developed genetic resources to rapidly identify and fine-map the novel locus thresh-1 on chromosome 1H that controls grain threshability. Here, the recessive wild barley allele confers a difficult to thresh phenotype, suggesting that thresh-1 played an important role during barley domestication. Using a S42IL-HR population, thresh-1 was fine-mapped within a 4.3cM interval that was predicted to contain candidate genes involved in regulation of plant cell wall composition. The set of wild barley introgression lines and derived high-resolution populations are ideal tools to speed up the process of mapping and further dissecting QTL, which ultimately clears the way for isolating the genes behind QTL effects. © 2011 Schmalenbach et al.","author":[{"dropping-particle":"","family":"Schmalenbach","given":"Inga","non-dropping-particle":"","parse-names":false,"suffix":""},{"dropping-particle":"","family":"March","given":"Timothy J.","non-dropping-particle":"","parse-names":false,"suffix":""},{"dropping-particle":"","family":"Pillen","given":"Klaus","non-dropping-particle":"","parse-names":false,"suffix":""},{"dropping-particle":"","family":"Bringezu","given":"Thomas","non-dropping-particle":"","parse-names":false,"suffix":""},{"dropping-particle":"","family":"Waugh","given":"Robbie","non-dropping-particle":"","parse-names":false,"suffix":""}],"container-title":"G3: Genes, Genomes, Genetics","id":"ITEM-1","issue":"3","issued":{"date-parts":[["2011"]]},"page":"187-196","title":"High-resolution genotyping of wild barley introgression lines and fine-mapping of the threshability locus thresh-1 using the illumina goldengate assay","type":"article-journal","volume":"1"},"uris":["http://www.mendeley.com/documents/?uuid=c763d5c7-ff0d-485c-bdf7-4e92148bc635"]},{"id":"ITEM-2","itemData":{"DOI":"10.1007/s00122-016-2807-y","ISSN":"00405752","PMID":"27734096","abstract":"Key message: Awn length was mapped using a multiparent population derived from cv. Morex and four wild accessions. One QTL was fine mapped and candidate genes were identified in NILs by RNA-seq. Abstract: Barley awns are photosynthetically active and contribute to grain yield. Awn length is variable among both wild and cultivated barley genotypes and many mutants with alterations in awn length have been identified. Here, we used a multiparent mapping population derived from cv. Morex and four genetically diverse wild barley lines to detect quantitative trait loci (QTLs) for awn length. Twelve QTLs, distributed over the barley genome, were identified with the most significant one located on chromosome arm 7HL (QTL AL7.1). The effect of AL7.1 was confirmed using near isogenic lines (NILs) and fine-mapped in two independent heterogeneous inbred families to a &lt; 0.9 cM interval. With exception of a small effect on grain width, no other traits such as plant height or flowering time were affected by AL7.1. Variant calling on transcripts obtained from RNA sequencing reads in NILs was used to narrow down the list of candidate genes located in the interval. This data may be used for further characterization and unravelling of the mechanisms underlying natural variation in awn length.","author":[{"dropping-particle":"","family":"Liller","given":"Corinna B.","non-dropping-particle":"","parse-names":false,"suffix":""},{"dropping-particle":"","family":"Walla","given":"Agatha","non-dropping-particle":"","parse-names":false,"suffix":""},{"dropping-particle":"","family":"Boer","given":"Martin P.","non-dropping-particle":"","parse-names":false,"suffix":""},{"dropping-particle":"","family":"Hedley","given":"Pete","non-dropping-particle":"","parse-names":false,"suffix":""},{"dropping-particle":"","family":"Macaulay","given":"Malcolm","non-dropping-particle":"","parse-names":false,"suffix":""},{"dropping-particle":"","family":"Effgen","given":"Sieglinde","non-dropping-particle":"","parse-names":false,"suffix":""},{"dropping-particle":"","family":"Korff","given":"Maria","non-dropping-particle":"von","parse-names":false,"suffix":""},{"dropping-particle":"","family":"Esse","given":"G. Wilma","non-dropping-particle":"van","parse-names":false,"suffix":""},{"dropping-particle":"","family":"Koornneef","given":"Maarten","non-dropping-particle":"","parse-names":false,"suffix":""}],"container-title":"Theoretical and Applied Genetics","id":"ITEM-2","issue":"2","issued":{"date-parts":[["2017"]]},"page":"269-281","publisher":"Springer Berlin Heidelberg","title":"Fine mapping of a major QTL for awn length in barley using a multiparent mapping population","type":"article-journal","volume":"130"},"uris":["http://www.mendeley.com/documents/?uuid=c1c3a6db-cd2a-4342-b90d-95eb32789b92"]},{"id":"ITEM-3","itemData":{"DOI":"10.1007/s00122-004-1710-0","ISBN":"0012200417","ISSN":"00405752","abstract":"Wild relatives of barley disperse their seeds at maturity by means of their brittle rachis. In cultivated barley, brittleness of the rachis was lost during domestication. Nonbrittle rachis of occidental barley lines is controlled by a single gene (btr1) on chromosome 3H. However, nonbrittle rachis of oriental barley lines is controlled by a major gene (btr2) on chromosome 3H and two quantitative trait loci on chromosomes 5HL and 7H. This result suggests multiple mutations of the genes involved in the formation of brittle rachis in oriental lines. The btr1 and btr2 loci did not recombine in the mapping population analyzed. This result agrees with the theory of tight linkage between the two loci. A high-density amplified fragment-length polymorphism (AFLP) map of the btr1/btr2 region was constructed, providing an average density of 0.08 cM/locus. A phylogenetic tree based on the AFLPs showed clear separation of occidental and oriental barley lines. Thus, barley consists of at least two lineages as far as revealed by molecular markers linked to nonbrittle rachis genes. © Springer-Verlag 2004.","author":[{"dropping-particle":"","family":"Komatsuda","given":"T.","non-dropping-particle":"","parse-names":false,"suffix":""},{"dropping-particle":"","family":"Maxim","given":"P.","non-dropping-particle":"","parse-names":false,"suffix":""},{"dropping-particle":"","family":"Senthil","given":"N.","non-dropping-particle":"","parse-names":false,"suffix":""},{"dropping-particle":"","family":"Mano","given":"Y.","non-dropping-particle":"","parse-names":false,"suffix":""}],"container-title":"Theoretical and Applied Genetics","id":"ITEM-3","issue":"5","issued":{"date-parts":[["2004"]]},"page":"986-995","title":"High-density AFLP map of nonbrittle rachis 1 (btr1) and 2 (btr2) genes in barley (Hordeum vulgare L.)","type":"article-journal","volume":"109"},"uris":["http://www.mendeley.com/documents/?uuid=5b9a7833-665b-40ea-bc02-80de8c94e4ec"]},{"id":"ITEM-4","itemData":{"DOI":"10.1007/s00122-018-3243-y","ISBN":"0123456789","ISSN":"00405752","abstract":"Key message: A major grain length QTL on chromosome 5H was fine mapped from 180.5 to 1.7 Mb. Abstract: Quantitative trait loci (QTLs) mapping has been used extensively in barley to detect QTLs that underlie complex traits such as grain size. In the present study, we utilised 312 double haploid lines derived from a cross between two Australian malting varieties, Vlamingh and Buloke, to dissect the genetic control of a number of grain size characteristics. Digital image analysis was used to measure grain size characteristics including length, width, thickness and plumpness which are important traits influencing barley yield and grain physical quality. Using data from four independent environments and molecular marker genotype data, we identified 23 significant QTLs for these four traits, ten of which were consensus QTLs and identified in two or more environments. A QTL region on chromosome 5H designated qGL5H that was associated with grain size was fine mapped to a 1.7 Mb interval. qGL5H was able to explain 21.6% of phenotypic variation for grain length within the population. This major QTL is an appropriate candidate for further genetic dissection.","author":[{"dropping-particle":"","family":"Watt","given":"Calum","non-dropping-particle":"","parse-names":false,"suffix":""},{"dropping-particle":"","family":"Zhou","given":"Gaofeng","non-dropping-particle":"","parse-names":false,"suffix":""},{"dropping-particle":"","family":"McFawn","given":"Lee Anne","non-dropping-particle":"","parse-names":false,"suffix":""},{"dropping-particle":"","family":"Chalmers","given":"Kenneth James","non-dropping-particle":"","parse-names":false,"suffix":""},{"dropping-particle":"","family":"Li","given":"Chengdao","non-dropping-particle":"","parse-names":false,"suffix":""}],"container-title":"Theoretical and Applied Genetics","id":"ITEM-4","issue":"4","issued":{"date-parts":[["2019"]]},"page":"883-893","publisher":"Springer Berlin Heidelberg","title":"Fine mapping of qGL5H, a major grain length locus in barley (Hordeum vulgare L.)","type":"article-journal","volume":"132"},"uris":["http://www.mendeley.com/documents/?uuid=ffe3bc22-703a-4345-b643-cdc9cb81a9a8"]}],"mendeley":{"formattedCitation":"&lt;sup&gt;14–17&lt;/sup&gt;","plainTextFormattedCitation":"14–17","previouslyFormattedCitation":"&lt;sup&gt;14–17&lt;/sup&gt;"},"properties":{"noteIndex":0},"schema":"https://github.com/citation-style-language/schema/raw/master/csl-citation.json"}</w:instrText>
      </w:r>
      <w:r w:rsidRPr="00610838">
        <w:rPr>
          <w:rFonts w:ascii="Times New Roman" w:hAnsi="Times New Roman" w:cs="Times New Roman"/>
          <w:iCs/>
          <w:sz w:val="20"/>
          <w:szCs w:val="24"/>
          <w:lang w:val="en-GB"/>
        </w:rPr>
        <w:fldChar w:fldCharType="separate"/>
      </w:r>
      <w:r w:rsidRPr="00610838">
        <w:rPr>
          <w:rFonts w:ascii="Times New Roman" w:hAnsi="Times New Roman" w:cs="Times New Roman"/>
          <w:iCs/>
          <w:noProof/>
          <w:sz w:val="20"/>
          <w:szCs w:val="24"/>
          <w:vertAlign w:val="superscript"/>
          <w:lang w:val="en-GB"/>
        </w:rPr>
        <w:t>14–17</w:t>
      </w:r>
      <w:r w:rsidRPr="00610838">
        <w:rPr>
          <w:rFonts w:ascii="Times New Roman" w:hAnsi="Times New Roman" w:cs="Times New Roman"/>
          <w:iCs/>
          <w:sz w:val="20"/>
          <w:szCs w:val="24"/>
          <w:lang w:val="en-GB"/>
        </w:rPr>
        <w:fldChar w:fldCharType="end"/>
      </w:r>
      <w:r w:rsidRPr="00610838">
        <w:rPr>
          <w:rFonts w:ascii="Times New Roman" w:hAnsi="Times New Roman" w:cs="Times New Roman"/>
          <w:iCs/>
          <w:sz w:val="20"/>
          <w:szCs w:val="24"/>
          <w:lang w:val="en-GB"/>
        </w:rPr>
        <w:t xml:space="preserve">, nutrient uptake and translocation </w:t>
      </w:r>
      <w:r w:rsidRPr="00610838">
        <w:rPr>
          <w:rFonts w:ascii="Times New Roman" w:hAnsi="Times New Roman" w:cs="Times New Roman"/>
          <w:iCs/>
          <w:sz w:val="20"/>
          <w:szCs w:val="24"/>
          <w:lang w:val="en-GB"/>
        </w:rPr>
        <w:fldChar w:fldCharType="begin" w:fldLock="1"/>
      </w:r>
      <w:r w:rsidRPr="00610838">
        <w:rPr>
          <w:rFonts w:ascii="Times New Roman" w:hAnsi="Times New Roman" w:cs="Times New Roman"/>
          <w:iCs/>
          <w:sz w:val="20"/>
          <w:szCs w:val="24"/>
          <w:lang w:val="en-GB"/>
        </w:rPr>
        <w:instrText>ADDIN CSL_CITATION {"citationItems":[{"id":"ITEM-1","itemData":{"URL":"https://webblast.ipk-gatersleben.de/barley_ibsc/downloads/","id":"ITEM-1","issued":{"date-parts":[["0"]]},"title":"Barley Gene Function Annotation","type":"webpage"},"uris":["http://www.mendeley.com/documents/?uuid=6460d627-3cf2-4f2a-a388-fd04a2ef0d5d"]},{"id":"ITEM-2","itemData":{"author":[{"dropping-particle":"","family":"Takahashi","given":"Ryuichi","non-dropping-particle":"","parse-names":false,"suffix":""},{"dropping-particle":"","family":"Bashir","given":"Khurram","non-dropping-particle":"","parse-names":false,"suffix":""},{"dropping-particle":"","family":"Ishimaru","given":"Yasuhiro","non-dropping-particle":"","parse-names":false,"suffix":""},{"dropping-particle":"","family":"Nishizawa","given":"Naoko K","non-dropping-particle":"","parse-names":false,"suffix":""},{"dropping-particle":"","family":"Nakanishi","given":"Hiromi","non-dropping-particle":"","parse-names":false,"suffix":""}],"id":"ITEM-2","issue":"December","issued":{"date-parts":[["2012"]]},"page":"1605-1607","title":"Takahashi ('12) - The role of heavy-metal ATPases, HMAs, in zinc","type":"article-journal"},"uris":["http://www.mendeley.com/documents/?uuid=54b29104-b205-401c-a320-19c8634a07f1"]}],"mendeley":{"formattedCitation":"&lt;sup&gt;18,19&lt;/sup&gt;","plainTextFormattedCitation":"18,19","previouslyFormattedCitation":"&lt;sup&gt;18,19&lt;/sup&gt;"},"properties":{"noteIndex":0},"schema":"https://github.com/citation-style-language/schema/raw/master/csl-citation.json"}</w:instrText>
      </w:r>
      <w:r w:rsidRPr="00610838">
        <w:rPr>
          <w:rFonts w:ascii="Times New Roman" w:hAnsi="Times New Roman" w:cs="Times New Roman"/>
          <w:iCs/>
          <w:sz w:val="20"/>
          <w:szCs w:val="24"/>
          <w:lang w:val="en-GB"/>
        </w:rPr>
        <w:fldChar w:fldCharType="separate"/>
      </w:r>
      <w:r w:rsidRPr="00610838">
        <w:rPr>
          <w:rFonts w:ascii="Times New Roman" w:hAnsi="Times New Roman" w:cs="Times New Roman"/>
          <w:iCs/>
          <w:noProof/>
          <w:sz w:val="20"/>
          <w:szCs w:val="24"/>
          <w:vertAlign w:val="superscript"/>
          <w:lang w:val="en-GB"/>
        </w:rPr>
        <w:t>18,19</w:t>
      </w:r>
      <w:r w:rsidRPr="00610838">
        <w:rPr>
          <w:rFonts w:ascii="Times New Roman" w:hAnsi="Times New Roman" w:cs="Times New Roman"/>
          <w:iCs/>
          <w:sz w:val="20"/>
          <w:szCs w:val="24"/>
          <w:lang w:val="en-GB"/>
        </w:rPr>
        <w:fldChar w:fldCharType="end"/>
      </w:r>
      <w:r w:rsidRPr="00610838">
        <w:rPr>
          <w:rFonts w:ascii="Times New Roman" w:hAnsi="Times New Roman" w:cs="Times New Roman"/>
          <w:iCs/>
          <w:sz w:val="20"/>
          <w:szCs w:val="24"/>
          <w:lang w:val="en-GB"/>
        </w:rPr>
        <w:t>, upper body yield physiology, such as flowering, dormancy or dwarfing genes</w:t>
      </w:r>
      <w:r w:rsidRPr="00610838">
        <w:rPr>
          <w:rFonts w:ascii="Times New Roman" w:hAnsi="Times New Roman" w:cs="Times New Roman"/>
          <w:iCs/>
          <w:sz w:val="20"/>
          <w:szCs w:val="24"/>
          <w:lang w:val="en-GB"/>
        </w:rPr>
        <w:fldChar w:fldCharType="begin" w:fldLock="1"/>
      </w:r>
      <w:r w:rsidRPr="00610838">
        <w:rPr>
          <w:rFonts w:ascii="Times New Roman" w:hAnsi="Times New Roman" w:cs="Times New Roman"/>
          <w:iCs/>
          <w:sz w:val="20"/>
          <w:szCs w:val="24"/>
          <w:lang w:val="en-GB"/>
        </w:rPr>
        <w:instrText>ADDIN CSL_CITATION {"citationItems":[{"id":"ITEM-1","itemData":{"DOI":"10.3390/ijms19030795","ISSN":"14220067","abstract":"The development and growth of plant organs is regulated by phytohormones, which constitute an important area of plant science. The last decade has seen a rapid increase in the unravelling of the pathways by which phytohormones exert their influence. Phytohormones function as signalling molecules that interact through a complex network to control development traits. They integrate metabolic and developmental events and regulate plant responses to biotic and abiotic stress factors. As such, they influence the yield and quality of crops. Recent studies on barley have emphasised the importance of phytohormones in promoting agronomically important traits such as tillering, plant height, leaf blade area and spike/spikelet development. Understanding the mechanisms of how phytohormones interact may help to modify barley architecture and thereby improve its adaptation and yield. To achieve this goal, extensive functional validation analyses are necessary to better understand the complex dynamics of phytohormone interactions and phytohormone networks that underlie the biological processes. The present review summarises the current knowledge on the crosstalk between phytohormones and their roles in barley development. Furthermore, an overview of how phytohormone modulation may help to improve barley plant architecture is also provided.","author":[{"dropping-particle":"","family":"Marzec","given":"Marek","non-dropping-particle":"","parse-names":false,"suffix":""},{"dropping-particle":"","family":"Alqudah","given":"Ahmad M.","non-dropping-particle":"","parse-names":false,"suffix":""}],"container-title":"International Journal of Molecular Sciences","id":"ITEM-1","issue":"3","issued":{"date-parts":[["2018"]]},"page":"1-12","title":"Key hormonal components regulate agronomically important traits in barley","type":"article-journal","volume":"19"},"uris":["http://www.mendeley.com/documents/?uuid=e9b35f90-717e-4211-8e6a-69e732622e3d"]},{"id":"ITEM-2","itemData":{"DOI":"10.3389/fgene.2016.00117","ISSN":"16648021","abstract":"Plant stature in temperate cereals is predominantly controlled by tillering and plant height as complex agronomic traits, representing important determinants of grain yield. This study was designed to reveal the genetic basis of tillering at five developmental stages and plant heightat harvest in 218 worldwide spring barley (Hordeum vulgare L.) accessions under greenhouse conditions. The accessions were structured based on row-type classes [two- vs. six-rowed] and photoperiod response [photoperiod-sensitive (Ppd-H1) vs. reduced photoperiod sensitivity(ppd-H1)]. Phenotypic analyses of both factors revealed profoundbetween group effects on tiller development. To further verify the row-type effect on the studied traits, Six-rowed spike 1 (vrs1) mutants and their two-rowed progenitors were examined for tiller number per plant and plant height. Here, wild-type (Vrs1) plants were significantly taller and had more tillers than mutants suggesting a negative pleiotropic effect of this row-type locus on both traits. Our genome-wide association scans further revealed highly significant associations, thereby establishing a link between the genetic control of row-type, heading time, tillering, and plant height. We further show that associations for tillering and plant height are co-localized with chromosomal segments harboring known plant stature-related phytohormone and sugar-related genes. This work demonstrates the feasibility of the GWAS approach for identifying putative candidate genes for improving plant architecture.","author":[{"dropping-particle":"","family":"Alqudah","given":"Ahmad M.","non-dropping-particle":"","parse-names":false,"suffix":""},{"dropping-particle":"","family":"Koppolu","given":"Ravi","non-dropping-particle":"","parse-names":false,"suffix":""},{"dropping-particle":"","family":"Wolde","given":"Gizaw M.","non-dropping-particle":"","parse-names":false,"suffix":""},{"dropping-particle":"","family":"Graner","given":"Andreas","non-dropping-particle":"","parse-names":false,"suffix":""},{"dropping-particle":"","family":"Schnurbusch","given":"Thorsten","non-dropping-particle":"","parse-names":false,"suffix":""}],"container-title":"Frontiers in Genetics","id":"ITEM-2","issue":"JUN","issued":{"date-parts":[["2016","6","24"]]},"page":"117","publisher":"Frontiers Research Foundation","title":"The genetic architecture of barley plant stature","type":"article-journal","volume":"7"},"uris":["http://www.mendeley.com/documents/?uuid=2b05307d-49aa-3602-81f0-46c36966065d"]},{"id":"ITEM-3","itemData":{"DOI":"10.1104/pp.18.00236","ISSN":"15322548","PMID":"30213796","abstract":"In many angiosperm plants, FLOWERING LOCUS T (FT)-like genes have duplicated and functionally diverged to control different reproductive traits or stages. Barley (Hordeum vulgare) carries several FT-like genes, the functions of which are not well understood. We characterized the role of HvFT3 in the vegetative and reproductive development of barley. Overexpression of HvFT3 accelerated the initiation of spikelet primordia and the early reproductive development of spring barley independently of the photoperiod. However, HvFT3 overexpression did not accelerate floral development, and inflorescences aborted under short days, suggesting that HvFT3 controls spikelet initiation but not floral development. Analysis of a nonfunctional HvFT3 allele supported the specific effects of this gene on spikelet initiation independent of the photoperiod. HvFT3 caused the up-regulation of the winter and spring alleles of the vernalization gene VERNALIZATION1 (VRN-H1) in nonvernalized plants and was therefore dominant over the repressive effects of the vernalization pathway. Global transcriptome analysis in developing main shoot apices of the transgenic lines showed that HvFT3 modified the expression of genes involved in hormone synthesis and response, of floral homeotic genes, and of barley row-type genes SIX-ROWED-SPIKE1 (VRS1), SIX-ROWED-SPIKE4 (VRS4), and INTERMEDIUM C. Understanding the specific functions of individual FT-like genes will allow modification of individual phases of preanthesis development and thereby adaptation to different environments and improved yield.","author":[{"dropping-particle":"","family":"Mulki","given":"Muhammad Aman","non-dropping-particle":"","parse-names":false,"suffix":""},{"dropping-particle":"","family":"Bi","given":"Xiaojing","non-dropping-particle":"","parse-names":false,"suffix":""},{"dropping-particle":"","family":"Korff","given":"Maria","non-dropping-particle":"von","parse-names":false,"suffix":""}],"container-title":"Plant Physiology","id":"ITEM-3","issue":"3","issued":{"date-parts":[["2018"]]},"page":"1170-1186","title":"Flowering locus T3 controls spikelet initiation but not floral development","type":"article-journal","volume":"178"},"uris":["http://www.mendeley.com/documents/?uuid=48afcea1-15bc-4322-80b7-6f67ccb4703e"]},{"id":"ITEM-4","itemData":{"URL":"https://webblast.ipk-gatersleben.de/barley_ibsc/downloads/","id":"ITEM-4","issued":{"date-parts":[["0"]]},"title":"Barley Gene Function Annotation","type":"webpage"},"uris":["http://www.mendeley.com/documents/?uuid=6460d627-3cf2-4f2a-a388-fd04a2ef0d5d"]},{"id":"ITEM-5","itemData":{"DOI":"10.1104/pp.112.204503","ISSN":"00320889","abstract":"Strigolactones (SLs) control lateral branching in diverse species by regulating transcription factors orthologous to Teosinte branched1 (Tb1). In maize (Zea mays), however, selection for a strong central stalk during domestication is attributed primarily to the Tb1 locus, leaving the architectural roles of SLs unclear. To determine how this signaling network is altered in maize, we first examined effects of a knockout mutation in an essential SL biosynthetic gene that encodes CAROTENOID CLEAVAGE DIOXYGENASE8 (CCD8), then tested interactions between SL signaling and Tb1. Comparative genome analysis revealed that maize depends on a single CCD8 gene (ZmCCD8), unlike other panicoid grasses that have multiple CCD8 paralogs. Function of ZmCCD8 was confirmed by transgenic complementation of Arabidopsis (Arabidopsis thaliana) max4 (ccd8) and by phenotypic rescue of the maize mutant (zmccd8::Ds) using a synthetic SL (GR24). Analysis of the zmccd8 mutant revealed a modest increase in branching that contrasted with prominent pleiotropic changes that include (1) marked reduction in stem diameter, (2) reduced elongation of internodes (independent of carbon supply), and (3) a pronounced delay in development of the centrally important, nodal system of adventitious roots. Analysis of the tb1 zmccd8 double mutant revealed that Tb1 functions in an SL-independent subnetwork that is not required for the other diverse roles of SL in development. Our findings indicate that in maize, uncoupling of the Tb1 subnetwork from SL signaling has profoundly altered the balance between conserved roles of SLs in branching and diverse aspects of plant architecture. © 2012 American Society of Plant Biologists.","author":[{"dropping-particle":"","family":"Guan","given":"Jiahn Chou","non-dropping-particle":"","parse-names":false,"suffix":""},{"dropping-particle":"","family":"Koch","given":"Karen E.","non-dropping-particle":"","parse-names":false,"suffix":""},{"dropping-particle":"","family":"Suzuki","given":"Masaharu","non-dropping-particle":"","parse-names":false,"suffix":""},{"dropping-particle":"","family":"Wu","given":"Shan","non-dropping-particle":"","parse-names":false,"suffix":""},{"dropping-particle":"","family":"Latshaw","given":"Susan","non-dropping-particle":"","parse-names":false,"suffix":""},{"dropping-particle":"","family":"Petruff","given":"Tanya","non-dropping-particle":"","parse-names":false,"suffix":""},{"dropping-particle":"","family":"Goulet","given":"Charles","non-dropping-particle":"","parse-names":false,"suffix":""},{"dropping-particle":"","family":"Klee","given":"Harry J.","non-dropping-particle":"","parse-names":false,"suffix":""},{"dropping-particle":"","family":"McCarty","given":"Donald R.","non-dropping-particle":"","parse-names":false,"suffix":""}],"container-title":"Plant Physiology","id":"ITEM-5","issue":"3","issued":{"date-parts":[["2012"]]},"page":"1303-1317","title":"Diverse roles of strigolactone signaling in maize architecture and the uncoupling of a branching-specific subnetwork","type":"article-journal","volume":"160"},"uris":["http://www.mendeley.com/documents/?uuid=9cbbde38-5b5b-497d-88a6-6a4dd3e56db2"]},{"id":"ITEM-6","itemData":{"DOI":"10.1186/s12870-016-0964-4","ISSN":"14712229","PMID":"28086794","abstract":"Background: The dwarfing gene sdw1 has been widely used throughout the world to develop commercial barley varieties. There are at least four different alleles at the sdw1 locus. Results: Mutations in the gibberellin 20-oxidase gene (HvGA20ox2) resulted in multiple alleles at the sdw1 locus. The sdw1.d allele from Diamant is due to a 7-bp deletion in exon 1, while the sdw1.c allele from Abed Denso has 1-bp deletion and a 4-bp insertion in the 5' untranslated region. The sdw1.a allele from Jotun resulted from a total deletion of the HvGA20ox2 gene. The structural changes result in lower gene expression in sdw1.d and lack of expression in sdw1.a. There are three HvGA20ox genes in the barley genome. The partial or total loss of function of the HvGA20ox2 gene could be compensated by enhanced expression of its homolog HvGA20ox1and HvGA20ox3. A diagnostic molecular marker was developed to differentiate between the wild-type, sdw1.d and sdw1.a alleles and another molecular marker for differentiation of sdw1.c and sdw1.a. The markers were further tested in 197 barley varieties, out of which 28 had the sdw1.d allele and two varieties the sdw1.a allele. To date, the sdw1.d and sdw1.a alleles have only been detected in the modern barley varieties and lines. Conclusions: The results provided further proof that the gibberellin 20-oxidase gene (HvGA20ox2) is the functional gene of the barley sdw1 mutants. Different deletions resulted in different functional alleles for different breeding purposes. Truncated protein could maintain partial function. Partial or total loss of function of the HvGA20ox2 gene could be compensated by enhanced expression of its homolog HvGA20ox1 and HvGA20ox3.","author":[{"dropping-particle":"","family":"Xu","given":"Yanhao","non-dropping-particle":"","parse-names":false,"suffix":""},{"dropping-particle":"","family":"Jia","given":"Qiaojun","non-dropping-particle":"","parse-names":false,"suffix":""},{"dropping-particle":"","family":"Zhou","given":"Gaofeng","non-dropping-particle":"","parse-names":false,"suffix":""},{"dropping-particle":"","family":"Zhang","given":"Xiao Qi","non-dropping-particle":"","parse-names":false,"suffix":""},{"dropping-particle":"","family":"Angessa","given":"Tefera","non-dropping-particle":"","parse-names":false,"suffix":""},{"dropping-particle":"","family":"Broughton","given":"Sue","non-dropping-particle":"","parse-names":false,"suffix":""},{"dropping-particle":"","family":"Yan","given":"George","non-dropping-particle":"","parse-names":false,"suffix":""},{"dropping-particle":"","family":"Zhang","given":"Wenying","non-dropping-particle":"","parse-names":false,"suffix":""},{"dropping-particle":"","family":"Li","given":"Chengdao","non-dropping-particle":"","parse-names":false,"suffix":""}],"container-title":"BMC Plant Biology","id":"ITEM-6","issue":"1","issued":{"date-parts":[["2017"]]},"page":"1-10","publisher":"BMC Plant Biology","title":"Characterization of the sdw1 semi-dwarf gene in barley","type":"article-journal","volume":"17"},"uris":["http://www.mendeley.com/documents/?uuid=20ae8361-c301-49d4-b792-47ff9c75d720"]},{"id":"ITEM-7","itemData":{"DOI":"10.1023/B:PLAN.0000038261.21060.47","ISSN":"01674412","abstract":"A rice (Oryza sativa L.) semi-dwarf cultivar, Tan-Ginbozu (d35 Tan-Ginbozu), contributed to the increase in crop productivity in Japan in the 1950s. Previous studies suggested that the semi-dwarf stature of d35 Tan-Ginbozu is caused by a defective early step of gibberellin biosynthesis, which is catalyzed by ent-kaurene oxidase (KO). To study the molecular characteristics of d35 Tan-Ginbozu, we isolated 5 KO-like (KOL) genes from the rice genome, which encoded proteins highly homologous to Arabidopsis and pumpkin KOs. The genes (OsKOL1 to 5) were arranged as tandem repeats in the same direction within a 120 kb sequence. Expression analysis revealed that OsKOL2 and OsKOL4 were actively transcribed in various organs, while OsKOL1 and OsKOL5 were expressed only at low levels; OsKOL3 may be a pseudogene. Sequence analysis and complementation experiments demonstrated that OsKOL2 corresponds to D35. Homozygote with null alleles of D35 showed a severe dwarf phenotype; therefore, d35 Tan-Ginbozu is a weak allele of D35. Introduction of OsKOL4 into d35 Tan-Ginbozu did not rescue its dwarf phenotype, indicating that OsKOL4 is not involved in GA biosynthesis. OsKOL4 and OsKOL5 are likely to take part in phytoalexin biosynthesis, because their expression was promoted by UV irradiation and/or elicitor treatment. Comparing d35 Tan-Ginbozu with other high yielding cultivars, we discuss strategies to produce culm architectures suitable for high crop yield by decreasing GA levels.","author":[{"dropping-particle":"","family":"Itoh","given":"Hironori","non-dropping-particle":"","parse-names":false,"suffix":""},{"dropping-particle":"","family":"Tatsumi","given":"Tomoko","non-dropping-particle":"","parse-names":false,"suffix":""},{"dropping-particle":"","family":"Sakamoto","given":"Tomoaki","non-dropping-particle":"","parse-names":false,"suffix":""},{"dropping-particle":"","family":"Otomo","given":"Kazuko","non-dropping-particle":"","parse-names":false,"suffix":""},{"dropping-particle":"","family":"Toyomasu","given":"Tomonobu","non-dropping-particle":"","parse-names":false,"suffix":""},{"dropping-particle":"","family":"Kitano","given":"Hidemi","non-dropping-particle":"","parse-names":false,"suffix":""},{"dropping-particle":"","family":"Ashikari","given":"Motoyuki","non-dropping-particle":"","parse-names":false,"suffix":""},{"dropping-particle":"","family":"Ichihara","given":"Shigeyuki","non-dropping-particle":"","parse-names":false,"suffix":""},{"dropping-particle":"","family":"Matsuoka","given":"Makoto","non-dropping-particle":"","parse-names":false,"suffix":""}],"container-title":"Plant Molecular Biology","id":"ITEM-7","issue":"4","issued":{"date-parts":[["2004"]]},"page":"533-547","title":"A rice semi-dwarf gene, Tan-Ginbozu (D35), encodes the gibberellin biosynthesis enzyme, ent-kaurene oxidase","type":"article-journal","volume":"54"},"uris":["http://www.mendeley.com/documents/?uuid=fc65afc5-b395-444b-9763-563f85a310e3"]},{"id":"ITEM-8","itemData":{"DOI":"10.1007/s00122-010-1276-y","ISSN":"00405752","PMID":"20155245","abstract":"The control of flowering time has important impacts on crop yield. The variation in response to day length (photoperiod) and low temperature (vernalization) has been selected in barley to provide adaptation to different environments and farming practices. As a further step towards unraveling the genetic mechanisms underlying flowering time control in barley, we investigated the allelic variation of ten known or putative photoperiod and vernalization pathway genes between two genotypes, the spring barley elite cultivar 'Scarlett' (Hordeum vulgare ssp. vulgare) and the wild barley accession 'ISR42-8' (Hordeum vulgare ssp. spontaneum). The genes studied are Ppd-H1, VRN-H1, VRN-H2, VRN-H3, HvCO1, HvCO2, HvGI, HvFT2, HvFT3 and HvFT4. 'Scarlett' and 'ISR42-8' are the parents of the BC2DH advanced backcross population S42 and a set of wild barley introgression lines (S42ILs). The latter are derived from S42 after backcrossing and marker-assisted selection. The genotypes and phenotypes in S42 and S42ILs were utilized to determine the genetic map location of the candidate genes and to test if these genes may exert quantitative trait locus (QTL) effects on flowering time, yield and yield-related traits in the two populations studied. By sequencing the characteristic regions of the genes and genotyping with diagnostic markers, the contrasting allelic constitutions of four known flowering regulation genes were identified as ppd-H1, Vrn-H1, vrn-H2 and vrn-H3 in 'Scarlett' and as Ppd-H1, vrn-H1, Vrn-H2 and a novel allele of VRN-H3 in 'ISR42-8'. All candidate genes could be placed on a barley simple sequence repeat (SSR) map. Seven candidate genes (Ppd-H1, VRN-H2, VRN-H3, HvGI, HvFT2, HvFT3 and HvFT4) were associated with flowering time QTLs in population S42. Four exotic alleles (Ppd-H1, Vrn-H2, vrn-H3 and HvCO1) possibly exhibited significant effects on flowering time in S42ILs. In both populations, the QTL showing the strongest effect corresponded to Ppd-H1. Here, the exotic allele was associated with a reduction of number of days until flowering by 8.0 and 12.7%, respectively. Our data suggest that Ppd-H1, Vrn-H2 and Vrn-H3 may also exert pleiotropic effects on yield and yield-related traits. © 2010 The Author(s).","author":[{"dropping-particle":"","family":"Wang","given":"Gongwei","non-dropping-particle":"","parse-names":false,"suffix":""},{"dropping-particle":"","family":"Schmalenbach","given":"Inga","non-dropping-particle":"","parse-names":false,"suffix":""},{"dropping-particle":"","family":"Korff","given":"Maria","non-dropping-particle":"von","parse-names":false,"suffix":""},{"dropping-particle":"","family":"Léon","given":"Jens","non-dropping-particle":"","parse-names":false,"suffix":""},{"dropping-particle":"","family":"Kilian","given":"Benjamin","non-dropping-particle":"","parse-names":false,"suffix":""},{"dropping-particle":"","family":"Rode","given":"Jeannette","non-dropping-particle":"","parse-names":false,"suffix":""},{"dropping-particle":"","family":"Pillen","given":"Klaus","non-dropping-particle":"","parse-names":false,"suffix":""}],"container-title":"Theoretical and Applied Genetics","id":"ITEM-8","issue":"8","issued":{"date-parts":[["2010","2","13"]]},"page":"1559-1574","publisher":"Springer","title":"Association of barley photoperiod and vernalization genes with QTLs for flowering time and agronomic traits in a BC2DH population and a set of wild barley introgression lines","type":"article-journal","volume":"120"},"uris":["http://www.mendeley.com/documents/?uuid=c60a022a-6430-3919-9b79-17dc450af098"]},{"id":"ITEM-9","itemData":{"DOI":"10.1093/jxb/erz477","ISSN":"14602431","abstract":"Flowering time is a complex trait and has a key role in crop yield and adaptation to environmental stressors such as heat and drought. This study aimed to better understand the interconnected dynamics of epistasis and environment and look for novel regulators. We investigated 534 spring barley MAGIC DH lines for flowering time at various environments. Analysis of quantitative trait loci (QTLs), epistatic interactions, QTL × environment (Q×E) interactions, and epistasis × environment (E×E) interactions were performed with single SNP and haplotype approaches. In total, 18 QTLs and 2420 epistatic interactions were detected, including intervals harboring major genes such as Ppd-H1, Vrn-H1, Vrn-H3, and denso/sdw1. Epistatic interactions found in field and semi-controlled conditions were distinctive. Q×E and E×E interactions revealed that temperature influenced flowering time by triggering different interactions between known and newly detected regulators. A novel flowering-delaying QTL allele was identified on chromosome 1H (named 'HvHeading') and was shown to be engaged in epistatic and environment interactions. Results suggest that investigating epistasis, environment, and their interactions, rather than only single QTLs, is an effective approach for detecting novel regulators. We assume that barley can adapt flowering time to the environment via alternative routes within the pathway.","author":[{"dropping-particle":"","family":"Afsharyan","given":"Nazanin P.","non-dropping-particle":"","parse-names":false,"suffix":""},{"dropping-particle":"","family":"Sannemann","given":"Wiebke","non-dropping-particle":"","parse-names":false,"suffix":""},{"dropping-particle":"","family":"Léon","given":"Jens","non-dropping-particle":"","parse-names":false,"suffix":""},{"dropping-particle":"","family":"Ballvora","given":"Agim","non-dropping-particle":"","parse-names":false,"suffix":""}],"container-title":"Journal of Experimental Botany","id":"ITEM-9","issue":"3","issued":{"date-parts":[["2020","1","23"]]},"page":"893-906","publisher":"Oxford University Press","title":"Effect of epistasis and environment on flowering time in barley reveals a novel flowering-delaying QTL allele","type":"article-journal","volume":"71"},"uris":["http://www.mendeley.com/documents/?uuid=dc6d1de6-a1e9-367d-a3f8-7bcc5e210e68"]},{"id":"ITEM-10","itemData":{"DOI":"10.1126/science.1094305","ISSN":"00368075","PMID":"15016992","abstract":"Plants with a winter growth habit flower earlier when exposed for several weeks to cold temperatures, a process called vernalization. We report here the positional cloning of the wheat vernalization gene VRN2, a dominant repressor of flowering that is down-regulated by vernalization. Loss of function of VRN2, whether by natural mutations or deletions, resulted in spring lines, which do not require vernalization to flower. Reduction of the RNA level of VRN2 by RNA interference accelerated the flowering time of transgenic winter-wheat plants by more than a month.","author":[{"dropping-particle":"","family":"Yan","given":"Liuling","non-dropping-particle":"","parse-names":false,"suffix":""},{"dropping-particle":"","family":"Loukoianov","given":"Artem","non-dropping-particle":"","parse-names":false,"suffix":""},{"dropping-particle":"","family":"Blechl","given":"Ann","non-dropping-particle":"","parse-names":false,"suffix":""},{"dropping-particle":"","family":"Tranquilli","given":"Gabriela","non-dropping-particle":"","parse-names":false,"suffix":""},{"dropping-particle":"","family":"Ramakrishna","given":"Wusirika","non-dropping-particle":"","parse-names":false,"suffix":""},{"dropping-particle":"","family":"SanMiguel","given":"Phillip","non-dropping-particle":"","parse-names":false,"suffix":""},{"dropping-particle":"","family":"Bennetzen","given":"Jeffrey L.","non-dropping-particle":"","parse-names":false,"suffix":""},{"dropping-particle":"","family":"Echenique","given":"Viviana","non-dropping-particle":"","parse-names":false,"suffix":""},{"dropping-particle":"","family":"Dubcovsky","given":"Jorge","non-dropping-particle":"","parse-names":false,"suffix":""}],"container-title":"Science","id":"ITEM-10","issue":"5664","issued":{"date-parts":[["2004","3","12"]]},"page":"1640-1644","publisher":"Science","title":"The Wheat VRN2 Gene Is a Flowering Repressor Down-Regulated by Vernalization","type":"article-journal","volume":"303"},"uris":["http://www.mendeley.com/documents/?uuid=7ed10051-1015-3d53-b89e-4473222cf5fa"]},{"id":"ITEM-11","itemData":{"DOI":"10.1038/ncomms11625","ISSN":"20411723","PMID":"27188711","abstract":"Dormancy allows wild barley grains to survive dry summers in the Near East. After domestication, barley was selected for shorter dormancy periods. Here we isolate the major seed dormancy gene qsd1 from wild barley, which encodes an alanine aminotransferase (AlaAT). The seed dormancy gene is expressed specifically in the embryo. The AlaAT isoenzymes encoded by the long and short dormancy alleles differ in a single amino acid residue. The reduced dormancy allele Qsd1 evolved from barleys that were first domesticated in the southern Levant and had the long dormancy qsd1 allele that can be traced back to wild barleys. The reduced dormancy mutation likely contributed to the enhanced performance of barley in industrial applications such as beer and whisky production, which involve controlled germination. In contrast, the long dormancy allele might be used to control pre-harvest sprouting in higher rainfall areas to enhance global adaptation of barley.","author":[{"dropping-particle":"","family":"Sato","given":"Kazuhiro","non-dropping-particle":"","parse-names":false,"suffix":""},{"dropping-particle":"","family":"Yamane","given":"Miki","non-dropping-particle":"","parse-names":false,"suffix":""},{"dropping-particle":"","family":"Yamaji","given":"Nami","non-dropping-particle":"","parse-names":false,"suffix":""},{"dropping-particle":"","family":"Kanamori","given":"Hiroyuki","non-dropping-particle":"","parse-names":false,"suffix":""},{"dropping-particle":"","family":"Tagiri","given":"Akemi","non-dropping-particle":"","parse-names":false,"suffix":""},{"dropping-particle":"","family":"Schwerdt","given":"Julian G.","non-dropping-particle":"","parse-names":false,"suffix":""},{"dropping-particle":"","family":"Fincher","given":"Geoffrey B.","non-dropping-particle":"","parse-names":false,"suffix":""},{"dropping-particle":"","family":"Matsumoto","given":"Takashi","non-dropping-particle":"","parse-names":false,"suffix":""},{"dropping-particle":"","family":"Takeda","given":"Kazuyoshi","non-dropping-particle":"","parse-names":false,"suffix":""},{"dropping-particle":"","family":"Komatsuda","given":"Takao","non-dropping-particle":"","parse-names":false,"suffix":""}],"container-title":"Nature Communications","id":"ITEM-11","issue":"1","issued":{"date-parts":[["2016","5","18"]]},"page":"1-9","publisher":"Nature Publishing Group","title":"Alanine aminotransferase controls seed dormancy in barley","type":"article-journal","volume":"7"},"uris":["http://www.mendeley.com/documents/?uuid=adb06912-ffb2-391f-886d-9596666a89a7"]}],"mendeley":{"formattedCitation":"&lt;sup&gt;18,20–29&lt;/sup&gt;","plainTextFormattedCitation":"18,20–29","previouslyFormattedCitation":"&lt;sup&gt;18,20–29&lt;/sup&gt;"},"properties":{"noteIndex":0},"schema":"https://github.com/citation-style-language/schema/raw/master/csl-citation.json"}</w:instrText>
      </w:r>
      <w:r w:rsidRPr="00610838">
        <w:rPr>
          <w:rFonts w:ascii="Times New Roman" w:hAnsi="Times New Roman" w:cs="Times New Roman"/>
          <w:iCs/>
          <w:sz w:val="20"/>
          <w:szCs w:val="24"/>
          <w:lang w:val="en-GB"/>
        </w:rPr>
        <w:fldChar w:fldCharType="separate"/>
      </w:r>
      <w:r w:rsidRPr="00610838">
        <w:rPr>
          <w:rFonts w:ascii="Times New Roman" w:hAnsi="Times New Roman" w:cs="Times New Roman"/>
          <w:iCs/>
          <w:noProof/>
          <w:sz w:val="20"/>
          <w:szCs w:val="24"/>
          <w:vertAlign w:val="superscript"/>
          <w:lang w:val="en-GB"/>
        </w:rPr>
        <w:t>18,20–29</w:t>
      </w:r>
      <w:r w:rsidRPr="00610838">
        <w:rPr>
          <w:rFonts w:ascii="Times New Roman" w:hAnsi="Times New Roman" w:cs="Times New Roman"/>
          <w:iCs/>
          <w:sz w:val="20"/>
          <w:szCs w:val="24"/>
          <w:lang w:val="en-GB"/>
        </w:rPr>
        <w:fldChar w:fldCharType="end"/>
      </w:r>
      <w:r w:rsidRPr="00610838">
        <w:rPr>
          <w:rFonts w:ascii="Times New Roman" w:hAnsi="Times New Roman" w:cs="Times New Roman"/>
          <w:iCs/>
          <w:sz w:val="20"/>
          <w:szCs w:val="24"/>
          <w:lang w:val="en-GB"/>
        </w:rPr>
        <w:t>, root associated traits</w:t>
      </w:r>
      <w:r w:rsidRPr="00610838">
        <w:rPr>
          <w:rFonts w:ascii="Times New Roman" w:hAnsi="Times New Roman" w:cs="Times New Roman"/>
          <w:iCs/>
          <w:sz w:val="20"/>
          <w:szCs w:val="24"/>
          <w:lang w:val="en-GB"/>
        </w:rPr>
        <w:fldChar w:fldCharType="begin" w:fldLock="1"/>
      </w:r>
      <w:r w:rsidRPr="00610838">
        <w:rPr>
          <w:rFonts w:ascii="Times New Roman" w:hAnsi="Times New Roman" w:cs="Times New Roman"/>
          <w:iCs/>
          <w:sz w:val="20"/>
          <w:szCs w:val="24"/>
          <w:lang w:val="en-GB"/>
        </w:rPr>
        <w:instrText>ADDIN CSL_CITATION {"citationItems":[{"id":"ITEM-1","itemData":{"DOI":"10.1186/s12863-014-0107-6","ISSN":"14712156","abstract":"Background: Root is the prime organ that sucks water and nutrients from deep layer of soil. Wild barley diversity exhibits remarkable variation in root system architecture that seems crucial in its adaptation to abiotic stresses like drought. In the present study, we performed quantitative trait locus (QTL) mapping of root and related shoot traits under control and drought conditions using a population of wild barley introgression lines (ILs). This population (S42IL) comprising of genome-wide introgressions of wild barley accession ISR42-8 in the cultivar Scarlett background. Here, we aimed to detect novel QTL alleles for improved root and related shoot features and to introduce them in modern cultivars. Results: The cultivar Scarlett and wild barley accession ISR42-8 revealed significant variation of root and related shoot traits. ISR42-8 showed a higher performance in root system attributes like root dry weight (RDW), root volume (RV), root length (RL) and tiller number per plant (TIL) than Scarlett. Whereas, Scarlett exhibited erect type growth habit (GH) as compared to spreading growth habit in ISR42-8. The S42IL population revealed significant and wide range of variation for the investigated traits. Strong positive correlations were found among the root related traits whereas GH revealed negative correlation with root and shoot traits. The trait-wise comparison of phenotypic data with the ILs genetic map revealed six, eight, five, five and four QTL for RL, RDW, RV, TIL and GH, respectively. These QTL were linked to one or several traits simultaneously and localized to 15 regions across all chromosomes. Among these, beneficial QTL alleles of wild origin for RL, RDW, RV, TIL and GH, have been fixed in the cultivar Scarlett background. Conclusions: The present study revealed 15 chromosomal regions where the exotic QTL alleles showed improvement for root and related shoot traits. These data suggest that wild barley accession ISR42-8 bears alleles different from those of Scarlett. Hence, the utility of genome-wide wild barley introgression lines is desirable to test the performance of individual exotic alleles in the elite gene pool as well as to transfer them in the cultivated germplasm.","author":[{"dropping-particle":"","family":"Naz","given":"Ali Ahmad","non-dropping-particle":"","parse-names":false,"suffix":""},{"dropping-particle":"","family":"Arifuzzaman","given":"Md","non-dropping-particle":"","parse-names":false,"suffix":""},{"dropping-particle":"","family":"Muzammil","given":"Shumaila","non-dropping-particle":"","parse-names":false,"suffix":""},{"dropping-particle":"","family":"Pillen","given":"Klaus","non-dropping-particle":"","parse-names":false,"suffix":""},{"dropping-particle":"","family":"Léon","given":"Jens","non-dropping-particle":"","parse-names":false,"suffix":""}],"container-title":"BMC Genetics","id":"ITEM-1","issue":"1","issued":{"date-parts":[["2014"]]},"page":"1-12","title":"Wild barley introgression lines revealed novel QTL alleles for root and related shoot traits in the cultivated barley (Hordeum vulgare L.)","type":"article-journal","volume":"15"},"uris":["http://www.mendeley.com/documents/?uuid=72144ab5-08f9-4df9-84a1-aafcfe9210a7"]},{"id":"ITEM-2","itemData":{"DOI":"10.3389/fpls.2016.01061","ISSN":"1664462X","abstract":"The fibrous root system is a visible sign of ecological adaptation among barley natural populations. In the present study, we utilized rich barley diversity to dissect the genetic basis of root system variation and its link with shoot attributes under well-water and drought conditions. Genome-wide association mapping of phenotype data using a dense genetic map (5892 SNP markers) revealed 17 putative QTL for root and shoot traits. Among these, at 14 loci the preeminence of exotic QTL alleles resulted in trait improvements. The most promising QTL were quantified using haplotype analysis at local and global genome levels. The strongest QTL was found on chromosome 1H which accounted for root dry weight and tiller number simultaneously. Candidate gene analysis across the targeted region detected a crucial amino acid substitution mutation in the conserved domain of a WRKY29 transcription factor among genotypes bearing major and minor QTL alleles. Similarly, the drought inducible QTL QRdw.5H (5H, 95.0 cM) seems to underlie 37 amino acid deletion and substitution mutations in the conserved domain of two related genes CBF10B and CBF10A, respectively. The identification and further characterization of these candidate genes will be essential to decipher genetics behind developmental and natural adaptation mechanisms of barley.","author":[{"dropping-particle":"","family":"Reinert","given":"Stephan","non-dropping-particle":"","parse-names":false,"suffix":""},{"dropping-particle":"","family":"Kortz","given":"Annika","non-dropping-particle":"","parse-names":false,"suffix":""},{"dropping-particle":"","family":"Léon","given":"Jens","non-dropping-particle":"","parse-names":false,"suffix":""},{"dropping-particle":"","family":"Naz","given":"Ali A.","non-dropping-particle":"","parse-names":false,"suffix":""}],"container-title":"Frontiers in Plant Science","id":"ITEM-2","issue":"2016JULY","issued":{"date-parts":[["2016"]]},"title":"Genome-wide association mapping in the global diversity set reveals new QTL controlling root system and related shoot variation in barley","type":"article-journal","volume":"7"},"uris":["http://www.mendeley.com/documents/?uuid=f0927149-8a05-470b-a96b-dfe4384dfd66"]},{"id":"ITEM-3","itemData":{"DOI":"10.1111/pce.13683","ISSN":"13653040","abstract":"Roots perform vital roles for adaptation and productivity under water-deficit stress, even though their specific functions are poorly understood. In this study, the genetic control of the nodal-root architectural and anatomical response to water deficit were investigated among diverse spring barley accessions. Water deficit induced substantial variations in the nodal root traits. The cortical, stele, and total root cross-sectional areas of the main-shoot nodal roots decreased under water deficit, but increased in the tiller nodal roots. Root xylem density and arrested nodal roots increased under water deficit, with the formation of root suberization/lignification and large cortical aerenchyma. Genome-wide association study implicated 11 QTL intervals in the architectural and anatomical nodal root response to water deficit. Among them, three and four QTL intervals had strong effects across seasons and on both root architectural and anatomical traits, respectively. Genome-wide epistasis analysis revealed 44 epistatically interacting SNP loci. Further analyses showed that these QTL intervals contain important candidate genes, including ZIFL2, MATE, and PPIB, whose functions are shown to be related to the root adaptive response to water deprivation in plants. These results give novel insight into the genetic architectures of barley nodal root response to soil water deficit stress in the fields, and thus offer useful resources for root-targeted marker-assisted selection.","author":[{"dropping-particle":"","family":"Oyiga","given":"Benedict C.","non-dropping-particle":"","parse-names":false,"suffix":""},{"dropping-particle":"","family":"Palczak","given":"Janina","non-dropping-particle":"","parse-names":false,"suffix":""},{"dropping-particle":"","family":"Wojciechowski","given":"Tobias","non-dropping-particle":"","parse-names":false,"suffix":""},{"dropping-particle":"","family":"Lynch","given":"Jonathan P.","non-dropping-particle":"","parse-names":false,"suffix":""},{"dropping-particle":"","family":"Naz","given":"Ali A.","non-dropping-particle":"","parse-names":false,"suffix":""},{"dropping-particle":"","family":"Léon","given":"Jens","non-dropping-particle":"","parse-names":false,"suffix":""},{"dropping-particle":"","family":"Ballvora","given":"Agim","non-dropping-particle":"","parse-names":false,"suffix":""}],"container-title":"Plant Cell and Environment","id":"ITEM-3","issue":"3","issued":{"date-parts":[["2020"]]},"page":"692-711","title":"Genetic components of root architecture and anatomy adjustments to water-deficit stress in spring barley","type":"article-journal","volume":"43"},"uris":["http://www.mendeley.com/documents/?uuid=f0303c20-96e5-412b-ac34-0836333ca95f"]}],"mendeley":{"formattedCitation":"&lt;sup&gt;30–32&lt;/sup&gt;","plainTextFormattedCitation":"30–32","previouslyFormattedCitation":"&lt;sup&gt;30–32&lt;/sup&gt;"},"properties":{"noteIndex":0},"schema":"https://github.com/citation-style-language/schema/raw/master/csl-citation.json"}</w:instrText>
      </w:r>
      <w:r w:rsidRPr="00610838">
        <w:rPr>
          <w:rFonts w:ascii="Times New Roman" w:hAnsi="Times New Roman" w:cs="Times New Roman"/>
          <w:iCs/>
          <w:sz w:val="20"/>
          <w:szCs w:val="24"/>
          <w:lang w:val="en-GB"/>
        </w:rPr>
        <w:fldChar w:fldCharType="separate"/>
      </w:r>
      <w:r w:rsidRPr="00610838">
        <w:rPr>
          <w:rFonts w:ascii="Times New Roman" w:hAnsi="Times New Roman" w:cs="Times New Roman"/>
          <w:iCs/>
          <w:noProof/>
          <w:sz w:val="20"/>
          <w:szCs w:val="24"/>
          <w:vertAlign w:val="superscript"/>
          <w:lang w:val="en-GB"/>
        </w:rPr>
        <w:t>30–32</w:t>
      </w:r>
      <w:r w:rsidRPr="00610838">
        <w:rPr>
          <w:rFonts w:ascii="Times New Roman" w:hAnsi="Times New Roman" w:cs="Times New Roman"/>
          <w:iCs/>
          <w:sz w:val="20"/>
          <w:szCs w:val="24"/>
          <w:lang w:val="en-GB"/>
        </w:rPr>
        <w:fldChar w:fldCharType="end"/>
      </w:r>
      <w:r w:rsidRPr="00610838">
        <w:rPr>
          <w:rFonts w:ascii="Times New Roman" w:hAnsi="Times New Roman" w:cs="Times New Roman"/>
          <w:iCs/>
          <w:sz w:val="20"/>
          <w:szCs w:val="24"/>
          <w:lang w:val="en-GB"/>
        </w:rPr>
        <w:t xml:space="preserve"> and drought resistance</w:t>
      </w:r>
      <w:r w:rsidRPr="00610838">
        <w:rPr>
          <w:rFonts w:ascii="Times New Roman" w:hAnsi="Times New Roman" w:cs="Times New Roman"/>
          <w:iCs/>
          <w:sz w:val="20"/>
          <w:szCs w:val="24"/>
          <w:lang w:val="en-GB"/>
        </w:rPr>
        <w:fldChar w:fldCharType="begin" w:fldLock="1"/>
      </w:r>
      <w:r w:rsidRPr="00610838">
        <w:rPr>
          <w:rFonts w:ascii="Times New Roman" w:hAnsi="Times New Roman" w:cs="Times New Roman"/>
          <w:iCs/>
          <w:sz w:val="20"/>
          <w:szCs w:val="24"/>
          <w:lang w:val="en-GB"/>
        </w:rPr>
        <w:instrText>ADDIN CSL_CITATION {"citationItems":[{"id":"ITEM-1","itemData":{"DOI":"10.1104/pp.18.00169","ISSN":"15322548","abstract":"Water scarcity is a critical threat to global crop production. Here, we used the natural diversity of barley (Hordeum vulgare) to dissect the genetic control of proline (Pro) mediated drought stress adaptation. Genetic mapping and positional cloning of a major drought-inducible quantitative trait locus (QPro.S42-1H) revealed unique allelic variation in pyrroline-5-carboxylate synthase (P5cs1) between the cultivated cultivar Scarlett (ssp. vulgare) and the wild barley accession ISR42-8 (ssp. spontaneum). The putative causative mutations were located in the promoter of P5cs1 across the DNA binding motifs for abscisic acid-responsive element binding transcription factors. Introgression line (IL) S42IL-143 carrying the wild allele of P5cs1 showed significant up-regulation of P5cs1 expression compared to Scarlett, which was consistent with variation in Pro accumulation under drought. Next, we transiently expressed promoter::reporter constructs of ISR42-8 and Scarlett alleles in Arabidopsis (Arabidopsis thaliana) mesophyll protoplasts. GUS expression analysis showed a significantly higher activation of the ISR42-8 promoter compared to Scarlett upon abscisic acid treatment. Notably, the ISR42-8 promoter activity was impaired in protoplasts isolated from the loss-of-function abf1abf2abf3abf4 quadruple mutant. A series of phenotypic evaluations demonstrated that S42IL-143 maintained leaf water content and photosynthetic activity longer than Scarlett under drought. These findings suggest that the ancestral variant of P5cs1 has the potential for drought tolerance and understanding drought physiology of barley and related crops.","author":[{"dropping-particle":"","family":"Muzammil","given":"Shumaila","non-dropping-particle":"","parse-names":false,"suffix":""},{"dropping-particle":"","family":"Shrestha","given":"Asis","non-dropping-particle":"","parse-names":false,"suffix":""},{"dropping-particle":"","family":"Dadshani","given":"Said","non-dropping-particle":"","parse-names":false,"suffix":""},{"dropping-particle":"","family":"Pillen","given":"Klaus","non-dropping-particle":"","parse-names":false,"suffix":""},{"dropping-particle":"","family":"Siddique","given":"Shahid","non-dropping-particle":"","parse-names":false,"suffix":""},{"dropping-particle":"","family":"Léon","given":"Jens","non-dropping-particle":"","parse-names":false,"suffix":""},{"dropping-particle":"","family":"Naz","given":"Ali Ahmad","non-dropping-particle":"","parse-names":false,"suffix":""}],"container-title":"Plant physiology","id":"ITEM-1","issue":"2","issued":{"date-parts":[["2018"]]},"page":"771-782","title":"An Ancestral Allele of Pyrroline-5-carboxylate synthase1 Promotes Proline Accumulation and Drought Adaptation in Cultivated Barley","type":"article-journal","volume":"178"},"uris":["http://www.mendeley.com/documents/?uuid=6415f06a-b20b-4b82-b1e5-9ab42b04e45b"]},{"id":"ITEM-2","itemData":{"URL":"https://webblast.ipk-gatersleben.de/barley_ibsc/downloads/","id":"ITEM-2","issued":{"date-parts":[["0"]]},"title":"Barley Gene Function Annotation","type":"webpage"},"uris":["http://www.mendeley.com/documents/?uuid=6460d627-3cf2-4f2a-a388-fd04a2ef0d5d"]},{"id":"ITEM-3","itemData":{"DOI":"10.1371/journal.pone.0097047","ISSN":"19326203","abstract":"Drought is one of the most severe stresses, endangering crop yields worldwide. In order to select drought tolerant genotypes, access to exotic germplasm and efficient phenotyping protocols are needed. In this study the high-throughput phenotyping platform \"The Plant Accelerator\", Adelaide, Australia, was used to screen a set of 47 juvenile (six week old) wild barley introgression lines (S42ILs) for drought stress responses. The kinetics of growth development was evaluated under early drought stress and well watered treatments. High correlation (r = 0.98) between image based biomass estimates and actual biomass was demonstrated, and the suitability of the system to accurately and non-destructively estimate biomass was validated. Subsequently, quantitative trait loci (QTL) were located, which contributed to the genetic control of growth under drought stress. In total, 44 QTL for eleven out of 14 investigated traits were mapped, which for example controlled growth rate and water use efficiency. The correspondence of those QTL with QTL previously identified in field trials is shown. For instance, six out of eight QTL controlling plant height were also found in previous field and glasshouse studies with the same introgression lines. This indicates that phenotyping juvenile plants may assist in predicting adult plant performance. In addition, favorable wild barley alleles for growth and biomass parameters were detected, for instance, a QTL that increased biomass by approximately 36%. In particular, introgression line S42IL-121 revealed improved growth under drought stress compared to the control Scarlett. The introgression line showed a similar behavior in previous field experiments, indicating that S42IL-121 may be an attractive donor for breeding of drought tolerant barley cultivars. © 2014 Honsdorf et al.","author":[{"dropping-particle":"","family":"Honsdorf","given":"Nora","non-dropping-particle":"","parse-names":false,"suffix":""},{"dropping-particle":"","family":"March","given":"Timothy John","non-dropping-particle":"","parse-names":false,"suffix":""},{"dropping-particle":"","family":"Berger","given":"Bettina","non-dropping-particle":"","parse-names":false,"suffix":""},{"dropping-particle":"","family":"Tester","given":"Mark","non-dropping-particle":"","parse-names":false,"suffix":""},{"dropping-particle":"","family":"Pillen","given":"Klaus","non-dropping-particle":"","parse-names":false,"suffix":""}],"container-title":"PLoS ONE","id":"ITEM-3","issue":"5","issued":{"date-parts":[["2014"]]},"title":"High-throughput phenotyping to detect drought tolerance QTL in wild barley introgression lines","type":"article-journal","volume":"9"},"uris":["http://www.mendeley.com/documents/?uuid=7a715c1b-1324-4d6c-86ca-50a8affd35e7"]},{"id":"ITEM-4","itemData":{"abstract":"In the years 2002-2003, 323 BC2DH individuals of double haploid (DH) spring barley population were genotyped with SSRs markers. The BC2DH lines were evaluated in greenhouse trials for drought and heat tolerance. Altogether 13 parameters for the determination of drought tolerance and 12 parameters for the investigation of heat tolerance were examined. There were two treatments for the drought experiment, 50% field capacity (FC) level for drought stress and at 100% FC level for the control. We used two treatments for the heat experiment (normal climate and in greenhouse). The traits measured were: relative leaf water content, osmotic adjustment, heading date, number of spikes per plant, number of kernels per spike, number of leaves per main tiller, flag leaf area, first leaf area, second leaf area, carbon isotope discrimination (for the drought experiment), yield, biomass and harvest index. The traits were compared to determine the presence of alleles from the wild barley parent by means of the AB-QTL-analysis. The 97 mapped SSRs covered 1013 cM of the barley genome; the mean SSR density is equal to 11.1 cM. Polymorphic SSRs revealed 54 putative QTLs in two groups. The first had 20 putative QTLs for the drought experiment and the second 34 putative QTLs for the heat experiment. Altogether, 30 (55.5%) favorable allele effects of the Hsp alleles were detected for both drought and heat experiment. 14 (70.0%) favorable effects were detected for drought tolerance. These traits, osmotic adjustment, yield, biomass, relative leaf water content, carbon isotope discrimination, number of leaves per main tiller and flag leaf area were controlled by 7, 3, 3, 3, 2, 1 and 1 QTL respectively, in the drought experiment. Most of the favorable Hsp alleles were located on chromosomes 1H, 5H and 7H (2, 8 and 3 respectively). Under drought stress first leaf area was positively and strongly correlated with flag leaf area. Positive correlations were expressed by second leaf area with flag leaf area and first leaf area. Yield was positively correlated with harvest index, number of spikes per plant and number of kernels per spike. Biomass showed correlations with number of spikes per plant, number of leaves per main tiller, flag leaf area, first leaf area, second leaf area and yield. 16 (47.0%) favorable effects of the Hsp alleles were detected for heat tolerance. Flag leaf area, osmotic adjustment, yield, harvest index, biomass, first leaf area, relative leaf water content, numbe…","author":[{"dropping-particle":"","family":"Mohammed","given":"Khalaf Ali Hamam","non-dropping-particle":"","parse-names":false,"suffix":""},{"dropping-particle":"","family":"Léon","given":"J","non-dropping-particle":"","parse-names":false,"suffix":""}],"container-title":"Dissertation University of Bonn","id":"ITEM-4","issued":{"date-parts":[["2004"]]},"page":"150","title":"Improving crop varieties of spring barley for drought and heat tolerance with AB-QTL-analysis","type":"article-journal"},"uris":["http://www.mendeley.com/documents/?uuid=0988fd8e-4ea9-4d7e-a402-e5ea164f93b9"]}],"mendeley":{"formattedCitation":"&lt;sup&gt;18,33–35&lt;/sup&gt;","plainTextFormattedCitation":"18,33–35","previouslyFormattedCitation":"&lt;sup&gt;18,33–35&lt;/sup&gt;"},"properties":{"noteIndex":0},"schema":"https://github.com/citation-style-language/schema/raw/master/csl-citation.json"}</w:instrText>
      </w:r>
      <w:r w:rsidRPr="00610838">
        <w:rPr>
          <w:rFonts w:ascii="Times New Roman" w:hAnsi="Times New Roman" w:cs="Times New Roman"/>
          <w:iCs/>
          <w:sz w:val="20"/>
          <w:szCs w:val="24"/>
          <w:lang w:val="en-GB"/>
        </w:rPr>
        <w:fldChar w:fldCharType="separate"/>
      </w:r>
      <w:r w:rsidRPr="00610838">
        <w:rPr>
          <w:rFonts w:ascii="Times New Roman" w:hAnsi="Times New Roman" w:cs="Times New Roman"/>
          <w:iCs/>
          <w:noProof/>
          <w:sz w:val="20"/>
          <w:szCs w:val="24"/>
          <w:vertAlign w:val="superscript"/>
          <w:lang w:val="en-GB"/>
        </w:rPr>
        <w:t>18,33–35</w:t>
      </w:r>
      <w:r w:rsidRPr="00610838">
        <w:rPr>
          <w:rFonts w:ascii="Times New Roman" w:hAnsi="Times New Roman" w:cs="Times New Roman"/>
          <w:iCs/>
          <w:sz w:val="20"/>
          <w:szCs w:val="24"/>
          <w:lang w:val="en-GB"/>
        </w:rPr>
        <w:fldChar w:fldCharType="end"/>
      </w:r>
      <w:r w:rsidRPr="00610838">
        <w:rPr>
          <w:rFonts w:ascii="Times New Roman" w:hAnsi="Times New Roman" w:cs="Times New Roman"/>
          <w:iCs/>
          <w:sz w:val="20"/>
          <w:szCs w:val="24"/>
          <w:lang w:val="en-GB"/>
        </w:rPr>
        <w:t xml:space="preserve"> were identified and classified by colour. Besides the QTL name, the position, map source, category, reference publication of the QTL, actual trait and crossing background are reported. This information is linked to the wild type allele frequency of the F</w:t>
      </w:r>
      <w:r w:rsidRPr="00610838">
        <w:rPr>
          <w:rFonts w:ascii="Times New Roman" w:hAnsi="Times New Roman" w:cs="Times New Roman"/>
          <w:iCs/>
          <w:sz w:val="20"/>
          <w:szCs w:val="24"/>
          <w:vertAlign w:val="subscript"/>
          <w:lang w:val="en-GB"/>
        </w:rPr>
        <w:t>3</w:t>
      </w:r>
      <w:r w:rsidRPr="00610838">
        <w:rPr>
          <w:rFonts w:ascii="Times New Roman" w:hAnsi="Times New Roman" w:cs="Times New Roman"/>
          <w:iCs/>
          <w:sz w:val="20"/>
          <w:szCs w:val="24"/>
          <w:lang w:val="en-GB"/>
        </w:rPr>
        <w:t xml:space="preserve"> and the F</w:t>
      </w:r>
      <w:r w:rsidRPr="00610838">
        <w:rPr>
          <w:rFonts w:ascii="Times New Roman" w:hAnsi="Times New Roman" w:cs="Times New Roman"/>
          <w:iCs/>
          <w:sz w:val="20"/>
          <w:szCs w:val="24"/>
          <w:vertAlign w:val="subscript"/>
          <w:lang w:val="en-GB"/>
        </w:rPr>
        <w:t>23</w:t>
      </w:r>
      <w:r w:rsidRPr="00610838">
        <w:rPr>
          <w:rFonts w:ascii="Times New Roman" w:hAnsi="Times New Roman" w:cs="Times New Roman"/>
          <w:iCs/>
          <w:sz w:val="20"/>
          <w:szCs w:val="24"/>
          <w:lang w:val="en-GB"/>
        </w:rPr>
        <w:t xml:space="preserve"> generations of both the organic and conventional systems for the region of the QTL. In general, a specified QTL region was regarded as relevant and listed in the table if a significant variation of the generations or environments was observed in the pooled sample data.</w:t>
      </w:r>
      <w:r w:rsidRPr="00610838">
        <w:rPr>
          <w:rFonts w:ascii="Times New Roman" w:hAnsi="Times New Roman" w:cs="Times New Roman"/>
          <w:sz w:val="16"/>
          <w:szCs w:val="20"/>
          <w:lang w:val="en-GB"/>
        </w:rPr>
        <w:t xml:space="preserve"> </w:t>
      </w:r>
    </w:p>
    <w:p w14:paraId="637A856A" w14:textId="77777777" w:rsidR="00356034" w:rsidRPr="00610838" w:rsidRDefault="00356034" w:rsidP="00356034">
      <w:pPr>
        <w:jc w:val="center"/>
        <w:rPr>
          <w:rFonts w:ascii="Times New Roman" w:hAnsi="Times New Roman" w:cs="Times New Roman"/>
          <w:sz w:val="20"/>
          <w:szCs w:val="20"/>
          <w:lang w:val="en-GB"/>
        </w:rPr>
      </w:pPr>
      <w:r w:rsidRPr="00610838">
        <w:rPr>
          <w:rFonts w:ascii="Times New Roman" w:hAnsi="Times New Roman" w:cs="Times New Roman"/>
          <w:sz w:val="20"/>
          <w:szCs w:val="20"/>
          <w:lang w:val="en-GB"/>
        </w:rPr>
        <w:t>[See the Excel file]</w:t>
      </w:r>
    </w:p>
    <w:p w14:paraId="26780ABE" w14:textId="77777777" w:rsidR="00356034" w:rsidRDefault="00356034" w:rsidP="002B3B13">
      <w:pPr>
        <w:jc w:val="both"/>
        <w:rPr>
          <w:rFonts w:ascii="Times New Roman" w:hAnsi="Times New Roman" w:cs="Times New Roman"/>
          <w:b/>
          <w:bCs/>
          <w:sz w:val="20"/>
          <w:szCs w:val="24"/>
          <w:lang w:val="en-GB"/>
        </w:rPr>
      </w:pPr>
    </w:p>
    <w:p w14:paraId="3AF40DBF" w14:textId="0D94DED6" w:rsidR="002B3B13" w:rsidRPr="00610838" w:rsidRDefault="002B3B13" w:rsidP="002B3B13">
      <w:pPr>
        <w:jc w:val="both"/>
        <w:rPr>
          <w:rFonts w:ascii="Times New Roman" w:hAnsi="Times New Roman" w:cs="Times New Roman"/>
          <w:iCs/>
          <w:sz w:val="20"/>
          <w:szCs w:val="24"/>
          <w:lang w:val="en-GB"/>
        </w:rPr>
      </w:pPr>
      <w:r w:rsidRPr="00610838">
        <w:rPr>
          <w:rFonts w:ascii="Times New Roman" w:hAnsi="Times New Roman" w:cs="Times New Roman"/>
          <w:b/>
          <w:bCs/>
          <w:sz w:val="20"/>
          <w:szCs w:val="24"/>
          <w:lang w:val="en-GB"/>
        </w:rPr>
        <w:t xml:space="preserve">Supplementary Table </w:t>
      </w:r>
      <w:r w:rsidR="00356034">
        <w:rPr>
          <w:rFonts w:ascii="Times New Roman" w:hAnsi="Times New Roman" w:cs="Times New Roman"/>
          <w:b/>
          <w:bCs/>
          <w:sz w:val="20"/>
          <w:szCs w:val="24"/>
          <w:lang w:val="en-GB"/>
        </w:rPr>
        <w:t>6</w:t>
      </w:r>
      <w:r w:rsidRPr="00610838">
        <w:rPr>
          <w:rFonts w:ascii="Times New Roman" w:hAnsi="Times New Roman" w:cs="Times New Roman"/>
          <w:b/>
          <w:bCs/>
          <w:sz w:val="20"/>
          <w:szCs w:val="24"/>
          <w:lang w:val="en-GB"/>
        </w:rPr>
        <w:t xml:space="preserve">. Identified candidate genes related to the QTL region of Table 3. </w:t>
      </w:r>
      <w:r w:rsidRPr="00610838">
        <w:rPr>
          <w:rFonts w:ascii="Times New Roman" w:hAnsi="Times New Roman" w:cs="Times New Roman"/>
          <w:iCs/>
          <w:sz w:val="20"/>
          <w:szCs w:val="24"/>
          <w:lang w:val="en-GB"/>
        </w:rPr>
        <w:t>Besides the associated QTL, the structural variation observed on amino acid and / or DNA level are reported as well as the function of this gene, the gene name in the reference, the wild type allele frequency for the 23</w:t>
      </w:r>
      <w:r w:rsidRPr="00610838">
        <w:rPr>
          <w:rFonts w:ascii="Times New Roman" w:hAnsi="Times New Roman" w:cs="Times New Roman"/>
          <w:iCs/>
          <w:sz w:val="20"/>
          <w:szCs w:val="24"/>
          <w:vertAlign w:val="superscript"/>
          <w:lang w:val="en-GB"/>
        </w:rPr>
        <w:t>rd</w:t>
      </w:r>
      <w:r w:rsidRPr="00610838">
        <w:rPr>
          <w:rFonts w:ascii="Times New Roman" w:hAnsi="Times New Roman" w:cs="Times New Roman"/>
          <w:iCs/>
          <w:sz w:val="20"/>
          <w:szCs w:val="24"/>
          <w:lang w:val="en-GB"/>
        </w:rPr>
        <w:t xml:space="preserve"> generation in conventional (</w:t>
      </w:r>
      <w:proofErr w:type="spellStart"/>
      <w:r w:rsidRPr="00610838">
        <w:rPr>
          <w:rFonts w:ascii="Times New Roman" w:hAnsi="Times New Roman" w:cs="Times New Roman"/>
          <w:iCs/>
          <w:sz w:val="20"/>
          <w:szCs w:val="24"/>
          <w:lang w:val="en-GB"/>
        </w:rPr>
        <w:t>wtAFcon</w:t>
      </w:r>
      <w:proofErr w:type="spellEnd"/>
      <w:r w:rsidRPr="00610838">
        <w:rPr>
          <w:rFonts w:ascii="Times New Roman" w:hAnsi="Times New Roman" w:cs="Times New Roman"/>
          <w:iCs/>
          <w:sz w:val="20"/>
          <w:szCs w:val="24"/>
          <w:lang w:val="en-GB"/>
        </w:rPr>
        <w:t xml:space="preserve"> F23) and organic system are shown. Furthermore, the wild type allele frequency of the third generation, the SNP count and read count of the haplotype and the information of preliminary stop codons are reported.</w:t>
      </w:r>
    </w:p>
    <w:p w14:paraId="3FC03200" w14:textId="77777777" w:rsidR="002B3B13" w:rsidRPr="00610838" w:rsidRDefault="002B3B13" w:rsidP="002B3B13">
      <w:pPr>
        <w:jc w:val="center"/>
        <w:rPr>
          <w:rFonts w:ascii="Times New Roman" w:hAnsi="Times New Roman" w:cs="Times New Roman"/>
          <w:sz w:val="20"/>
          <w:szCs w:val="20"/>
          <w:lang w:val="en-GB"/>
        </w:rPr>
      </w:pPr>
      <w:r w:rsidRPr="00610838">
        <w:rPr>
          <w:rFonts w:ascii="Times New Roman" w:hAnsi="Times New Roman" w:cs="Times New Roman"/>
          <w:sz w:val="20"/>
          <w:szCs w:val="20"/>
          <w:lang w:val="en-GB"/>
        </w:rPr>
        <w:t xml:space="preserve"> [See the Excel file]</w:t>
      </w:r>
    </w:p>
    <w:p w14:paraId="7B1C71F7" w14:textId="77777777" w:rsidR="00F10590" w:rsidRPr="00610838" w:rsidRDefault="00F10590" w:rsidP="00356034">
      <w:pPr>
        <w:rPr>
          <w:rFonts w:ascii="Times New Roman" w:hAnsi="Times New Roman" w:cs="Times New Roman"/>
          <w:sz w:val="20"/>
          <w:szCs w:val="20"/>
          <w:lang w:val="en-GB"/>
        </w:rPr>
      </w:pPr>
    </w:p>
    <w:p w14:paraId="512D992B" w14:textId="2335709D" w:rsidR="00E23A1C" w:rsidRPr="00610838" w:rsidRDefault="00E23A1C" w:rsidP="00E23A1C">
      <w:pPr>
        <w:rPr>
          <w:rFonts w:ascii="Times New Roman" w:hAnsi="Times New Roman" w:cs="Times New Roman"/>
          <w:iCs/>
          <w:sz w:val="20"/>
          <w:szCs w:val="20"/>
          <w:lang w:val="en-GB"/>
        </w:rPr>
      </w:pPr>
      <w:r w:rsidRPr="00610838">
        <w:rPr>
          <w:rFonts w:ascii="Times New Roman" w:hAnsi="Times New Roman" w:cs="Times New Roman"/>
          <w:b/>
          <w:bCs/>
          <w:sz w:val="20"/>
          <w:szCs w:val="20"/>
          <w:lang w:val="en-GB"/>
        </w:rPr>
        <w:t xml:space="preserve">Supplementary Table </w:t>
      </w:r>
      <w:r w:rsidR="0022643E">
        <w:rPr>
          <w:rFonts w:ascii="Times New Roman" w:hAnsi="Times New Roman" w:cs="Times New Roman"/>
          <w:b/>
          <w:bCs/>
          <w:sz w:val="20"/>
          <w:szCs w:val="20"/>
          <w:lang w:val="en-GB"/>
        </w:rPr>
        <w:t>7</w:t>
      </w:r>
      <w:r w:rsidRPr="00610838">
        <w:rPr>
          <w:rFonts w:ascii="Times New Roman" w:hAnsi="Times New Roman" w:cs="Times New Roman"/>
          <w:b/>
          <w:bCs/>
          <w:sz w:val="20"/>
          <w:szCs w:val="20"/>
          <w:lang w:val="en-GB"/>
        </w:rPr>
        <w:t xml:space="preserve">: Field experiment trail layout (A) and treatment (B) of organically and conventionally farmed </w:t>
      </w:r>
      <w:r w:rsidRPr="00FD7388">
        <w:rPr>
          <w:rFonts w:ascii="Times New Roman" w:hAnsi="Times New Roman" w:cs="Times New Roman"/>
          <w:b/>
          <w:bCs/>
          <w:sz w:val="20"/>
          <w:szCs w:val="20"/>
          <w:lang w:val="en-GB"/>
        </w:rPr>
        <w:t xml:space="preserve">environments. </w:t>
      </w:r>
      <w:r w:rsidRPr="00FD7388">
        <w:rPr>
          <w:rFonts w:ascii="Times New Roman" w:hAnsi="Times New Roman" w:cs="Times New Roman"/>
          <w:b/>
          <w:iCs/>
          <w:sz w:val="20"/>
          <w:szCs w:val="20"/>
          <w:lang w:val="en-GB"/>
        </w:rPr>
        <w:t>A</w:t>
      </w:r>
      <w:r w:rsidRPr="00FD7388">
        <w:rPr>
          <w:rFonts w:ascii="Times New Roman" w:hAnsi="Times New Roman" w:cs="Times New Roman"/>
          <w:iCs/>
          <w:sz w:val="20"/>
          <w:szCs w:val="20"/>
          <w:lang w:val="en-GB"/>
        </w:rPr>
        <w:t xml:space="preserve"> – Crop rotation of organic and conventional farming. The spring barley populations of interest are illustrated in blue and rotate to the right in their blocks in the next year. The conventional farming system consists of a three-crop rotation, the organic farming system of seven crops. The barley populations always remained in their row, while the conventional population rotates in the first to third column, and the organic population in the fourth to tenth column. </w:t>
      </w:r>
      <w:r w:rsidRPr="00FD7388">
        <w:rPr>
          <w:rFonts w:ascii="Times New Roman" w:hAnsi="Times New Roman" w:cs="Times New Roman"/>
          <w:b/>
          <w:iCs/>
          <w:sz w:val="20"/>
          <w:szCs w:val="20"/>
          <w:lang w:val="en-GB"/>
        </w:rPr>
        <w:t>B</w:t>
      </w:r>
      <w:r w:rsidRPr="00FD7388">
        <w:rPr>
          <w:rFonts w:ascii="Times New Roman" w:hAnsi="Times New Roman" w:cs="Times New Roman"/>
          <w:iCs/>
          <w:sz w:val="20"/>
          <w:szCs w:val="20"/>
          <w:lang w:val="en-GB"/>
        </w:rPr>
        <w:t xml:space="preserve"> – treatments in both environments; </w:t>
      </w:r>
      <w:bookmarkStart w:id="23" w:name="_Hlk58939312"/>
      <w:r w:rsidRPr="00FD7388">
        <w:rPr>
          <w:rFonts w:ascii="Times New Roman" w:hAnsi="Times New Roman" w:cs="Times New Roman"/>
          <w:iCs/>
          <w:sz w:val="20"/>
          <w:szCs w:val="20"/>
          <w:lang w:val="en-GB"/>
        </w:rPr>
        <w:t xml:space="preserve">[WW – winter wheat, SB – spring barley, </w:t>
      </w:r>
      <w:proofErr w:type="spellStart"/>
      <w:r w:rsidRPr="00FD7388">
        <w:rPr>
          <w:rFonts w:ascii="Times New Roman" w:hAnsi="Times New Roman" w:cs="Times New Roman"/>
          <w:iCs/>
          <w:sz w:val="20"/>
          <w:szCs w:val="20"/>
          <w:lang w:val="en-GB"/>
        </w:rPr>
        <w:t>WRa</w:t>
      </w:r>
      <w:proofErr w:type="spellEnd"/>
      <w:r w:rsidRPr="00FD7388">
        <w:rPr>
          <w:rFonts w:ascii="Times New Roman" w:hAnsi="Times New Roman" w:cs="Times New Roman"/>
          <w:iCs/>
          <w:sz w:val="20"/>
          <w:szCs w:val="20"/>
          <w:lang w:val="en-GB"/>
        </w:rPr>
        <w:t xml:space="preserve"> – winter rape seed, Pot – Potato, AB – common bean, WR – winter rye,</w:t>
      </w:r>
      <w:r w:rsidRPr="00610838">
        <w:rPr>
          <w:rFonts w:ascii="Times New Roman" w:hAnsi="Times New Roman" w:cs="Times New Roman"/>
          <w:iCs/>
          <w:sz w:val="20"/>
          <w:szCs w:val="20"/>
          <w:lang w:val="en-GB"/>
        </w:rPr>
        <w:t xml:space="preserve"> OAT – spring oat]</w:t>
      </w:r>
      <w:bookmarkEnd w:id="23"/>
    </w:p>
    <w:tbl>
      <w:tblPr>
        <w:tblpPr w:leftFromText="180" w:rightFromText="180" w:vertAnchor="text" w:horzAnchor="page" w:tblpX="1" w:tblpY="-23"/>
        <w:tblW w:w="22903" w:type="dxa"/>
        <w:tblLook w:val="04A0" w:firstRow="1" w:lastRow="0" w:firstColumn="1" w:lastColumn="0" w:noHBand="0" w:noVBand="1"/>
      </w:tblPr>
      <w:tblGrid>
        <w:gridCol w:w="316"/>
        <w:gridCol w:w="198"/>
        <w:gridCol w:w="143"/>
        <w:gridCol w:w="829"/>
        <w:gridCol w:w="178"/>
        <w:gridCol w:w="69"/>
        <w:gridCol w:w="888"/>
        <w:gridCol w:w="70"/>
        <w:gridCol w:w="878"/>
        <w:gridCol w:w="80"/>
        <w:gridCol w:w="123"/>
        <w:gridCol w:w="547"/>
        <w:gridCol w:w="80"/>
        <w:gridCol w:w="670"/>
        <w:gridCol w:w="750"/>
        <w:gridCol w:w="503"/>
        <w:gridCol w:w="127"/>
        <w:gridCol w:w="725"/>
        <w:gridCol w:w="108"/>
        <w:gridCol w:w="37"/>
        <w:gridCol w:w="923"/>
        <w:gridCol w:w="960"/>
        <w:gridCol w:w="960"/>
        <w:gridCol w:w="960"/>
        <w:gridCol w:w="482"/>
        <w:gridCol w:w="1453"/>
        <w:gridCol w:w="945"/>
        <w:gridCol w:w="2950"/>
        <w:gridCol w:w="3348"/>
        <w:gridCol w:w="1755"/>
        <w:gridCol w:w="848"/>
      </w:tblGrid>
      <w:tr w:rsidR="00127896" w:rsidRPr="00610838" w14:paraId="25D527EC" w14:textId="77777777" w:rsidTr="00127896">
        <w:trPr>
          <w:trHeight w:val="540"/>
        </w:trPr>
        <w:tc>
          <w:tcPr>
            <w:tcW w:w="316" w:type="dxa"/>
            <w:tcBorders>
              <w:top w:val="nil"/>
              <w:left w:val="single" w:sz="12" w:space="0" w:color="4C4C4C"/>
              <w:bottom w:val="nil"/>
              <w:right w:val="nil"/>
            </w:tcBorders>
            <w:shd w:val="clear" w:color="auto" w:fill="auto"/>
            <w:vAlign w:val="center"/>
            <w:hideMark/>
          </w:tcPr>
          <w:p w14:paraId="42DCF045" w14:textId="77777777" w:rsidR="00127896" w:rsidRPr="00610838" w:rsidRDefault="00127896" w:rsidP="00127896">
            <w:pPr>
              <w:spacing w:after="0" w:line="240" w:lineRule="auto"/>
              <w:rPr>
                <w:rFonts w:ascii="Times New Roman" w:eastAsia="Times New Roman" w:hAnsi="Times New Roman" w:cs="Times New Roman"/>
                <w:color w:val="000000"/>
                <w:sz w:val="40"/>
                <w:szCs w:val="40"/>
                <w:lang w:val="en-GB"/>
              </w:rPr>
            </w:pPr>
            <w:bookmarkStart w:id="24" w:name="_Hlk54769935"/>
            <w:bookmarkEnd w:id="18"/>
            <w:r w:rsidRPr="00610838">
              <w:rPr>
                <w:rFonts w:ascii="Times New Roman" w:eastAsia="Times New Roman" w:hAnsi="Times New Roman" w:cs="Times New Roman"/>
                <w:color w:val="000000"/>
                <w:sz w:val="40"/>
                <w:szCs w:val="40"/>
                <w:lang w:val="en-GB"/>
              </w:rPr>
              <w:lastRenderedPageBreak/>
              <w:t> </w:t>
            </w:r>
          </w:p>
        </w:tc>
        <w:tc>
          <w:tcPr>
            <w:tcW w:w="1348" w:type="dxa"/>
            <w:gridSpan w:val="4"/>
            <w:tcBorders>
              <w:top w:val="nil"/>
              <w:left w:val="nil"/>
              <w:bottom w:val="nil"/>
              <w:right w:val="nil"/>
            </w:tcBorders>
            <w:shd w:val="clear" w:color="auto" w:fill="auto"/>
            <w:vAlign w:val="center"/>
            <w:hideMark/>
          </w:tcPr>
          <w:p w14:paraId="30FA6926" w14:textId="77777777" w:rsidR="00127896" w:rsidRPr="00610838" w:rsidRDefault="00127896" w:rsidP="00127896">
            <w:pPr>
              <w:spacing w:after="0" w:line="240" w:lineRule="auto"/>
              <w:rPr>
                <w:rFonts w:ascii="Times New Roman" w:eastAsia="Times New Roman" w:hAnsi="Times New Roman" w:cs="Times New Roman"/>
                <w:i/>
                <w:color w:val="000000"/>
                <w:sz w:val="40"/>
                <w:szCs w:val="40"/>
                <w:lang w:val="en-GB"/>
              </w:rPr>
            </w:pPr>
            <w:r w:rsidRPr="00610838">
              <w:rPr>
                <w:rFonts w:ascii="Times New Roman" w:eastAsia="Times New Roman" w:hAnsi="Times New Roman" w:cs="Times New Roman"/>
                <w:color w:val="000000"/>
                <w:sz w:val="40"/>
                <w:szCs w:val="40"/>
                <w:lang w:val="en-GB"/>
              </w:rPr>
              <w:t xml:space="preserve"> </w:t>
            </w:r>
            <w:r w:rsidRPr="00610838">
              <w:rPr>
                <w:rFonts w:ascii="Times New Roman" w:eastAsia="Times New Roman" w:hAnsi="Times New Roman" w:cs="Times New Roman"/>
                <w:i/>
                <w:color w:val="000000"/>
                <w:sz w:val="36"/>
                <w:szCs w:val="40"/>
                <w:lang w:val="en-GB"/>
              </w:rPr>
              <w:t xml:space="preserve"> </w:t>
            </w:r>
            <w:r w:rsidRPr="00610838">
              <w:rPr>
                <w:rFonts w:ascii="Times New Roman" w:eastAsia="Times New Roman" w:hAnsi="Times New Roman" w:cs="Times New Roman"/>
                <w:i/>
                <w:color w:val="000000"/>
                <w:sz w:val="32"/>
                <w:szCs w:val="40"/>
                <w:lang w:val="en-GB"/>
              </w:rPr>
              <w:t>A</w:t>
            </w:r>
          </w:p>
        </w:tc>
        <w:tc>
          <w:tcPr>
            <w:tcW w:w="957" w:type="dxa"/>
            <w:gridSpan w:val="2"/>
            <w:tcBorders>
              <w:top w:val="nil"/>
              <w:left w:val="single" w:sz="12" w:space="0" w:color="4C4C4C"/>
              <w:bottom w:val="nil"/>
              <w:right w:val="single" w:sz="12" w:space="0" w:color="4C4C4C"/>
            </w:tcBorders>
            <w:shd w:val="clear" w:color="auto" w:fill="auto"/>
            <w:vAlign w:val="center"/>
          </w:tcPr>
          <w:p w14:paraId="11A0A7BB" w14:textId="77777777" w:rsidR="00127896" w:rsidRPr="00610838" w:rsidRDefault="00127896" w:rsidP="00127896">
            <w:pPr>
              <w:spacing w:after="0" w:line="240" w:lineRule="auto"/>
              <w:rPr>
                <w:rFonts w:ascii="Times New Roman" w:eastAsia="Times New Roman" w:hAnsi="Times New Roman" w:cs="Times New Roman"/>
                <w:color w:val="000000"/>
                <w:sz w:val="20"/>
                <w:szCs w:val="20"/>
                <w:lang w:val="en-GB"/>
              </w:rPr>
            </w:pPr>
          </w:p>
        </w:tc>
        <w:tc>
          <w:tcPr>
            <w:tcW w:w="948" w:type="dxa"/>
            <w:gridSpan w:val="2"/>
            <w:tcBorders>
              <w:top w:val="nil"/>
              <w:left w:val="nil"/>
              <w:bottom w:val="nil"/>
              <w:right w:val="nil"/>
            </w:tcBorders>
            <w:shd w:val="clear" w:color="auto" w:fill="auto"/>
            <w:vAlign w:val="center"/>
            <w:hideMark/>
          </w:tcPr>
          <w:p w14:paraId="5B4F6B00" w14:textId="77777777" w:rsidR="00127896" w:rsidRPr="00610838" w:rsidRDefault="00127896" w:rsidP="00127896">
            <w:pPr>
              <w:spacing w:after="0" w:line="240" w:lineRule="auto"/>
              <w:rPr>
                <w:rFonts w:ascii="Times New Roman" w:eastAsia="Times New Roman" w:hAnsi="Times New Roman" w:cs="Times New Roman"/>
                <w:color w:val="000000"/>
                <w:sz w:val="20"/>
                <w:szCs w:val="20"/>
                <w:lang w:val="en-GB"/>
              </w:rPr>
            </w:pPr>
          </w:p>
        </w:tc>
        <w:tc>
          <w:tcPr>
            <w:tcW w:w="750" w:type="dxa"/>
            <w:gridSpan w:val="3"/>
            <w:tcBorders>
              <w:top w:val="nil"/>
              <w:left w:val="nil"/>
              <w:bottom w:val="nil"/>
              <w:right w:val="nil"/>
            </w:tcBorders>
            <w:shd w:val="clear" w:color="auto" w:fill="auto"/>
            <w:vAlign w:val="center"/>
            <w:hideMark/>
          </w:tcPr>
          <w:p w14:paraId="10C8D670"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750" w:type="dxa"/>
            <w:gridSpan w:val="2"/>
            <w:tcBorders>
              <w:top w:val="nil"/>
              <w:left w:val="nil"/>
              <w:bottom w:val="nil"/>
              <w:right w:val="nil"/>
            </w:tcBorders>
          </w:tcPr>
          <w:p w14:paraId="03D74EB3"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750" w:type="dxa"/>
            <w:tcBorders>
              <w:top w:val="nil"/>
              <w:left w:val="nil"/>
              <w:bottom w:val="nil"/>
              <w:right w:val="nil"/>
            </w:tcBorders>
            <w:shd w:val="clear" w:color="auto" w:fill="auto"/>
            <w:vAlign w:val="center"/>
            <w:hideMark/>
          </w:tcPr>
          <w:p w14:paraId="75F2CB7E"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630" w:type="dxa"/>
            <w:gridSpan w:val="2"/>
            <w:tcBorders>
              <w:top w:val="nil"/>
              <w:left w:val="nil"/>
              <w:bottom w:val="nil"/>
              <w:right w:val="nil"/>
            </w:tcBorders>
            <w:shd w:val="clear" w:color="auto" w:fill="auto"/>
            <w:vAlign w:val="center"/>
            <w:hideMark/>
          </w:tcPr>
          <w:p w14:paraId="7E758FE3"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870" w:type="dxa"/>
            <w:gridSpan w:val="3"/>
            <w:tcBorders>
              <w:top w:val="nil"/>
              <w:left w:val="nil"/>
              <w:bottom w:val="nil"/>
              <w:right w:val="nil"/>
            </w:tcBorders>
            <w:shd w:val="clear" w:color="auto" w:fill="auto"/>
            <w:vAlign w:val="center"/>
            <w:hideMark/>
          </w:tcPr>
          <w:p w14:paraId="7F1E060D"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633" w:type="dxa"/>
            <w:gridSpan w:val="8"/>
            <w:tcBorders>
              <w:top w:val="nil"/>
              <w:left w:val="nil"/>
              <w:bottom w:val="nil"/>
              <w:right w:val="nil"/>
            </w:tcBorders>
            <w:shd w:val="clear" w:color="auto" w:fill="auto"/>
            <w:vAlign w:val="center"/>
            <w:hideMark/>
          </w:tcPr>
          <w:p w14:paraId="3DDB140A"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3348" w:type="dxa"/>
            <w:tcBorders>
              <w:top w:val="nil"/>
              <w:left w:val="single" w:sz="12" w:space="0" w:color="4C4C4C"/>
              <w:bottom w:val="nil"/>
              <w:right w:val="single" w:sz="12" w:space="0" w:color="4C4C4C"/>
            </w:tcBorders>
            <w:shd w:val="clear" w:color="auto" w:fill="auto"/>
            <w:vAlign w:val="center"/>
            <w:hideMark/>
          </w:tcPr>
          <w:p w14:paraId="189C8C17" w14:textId="77777777" w:rsidR="00127896" w:rsidRPr="00610838" w:rsidRDefault="00127896" w:rsidP="00127896">
            <w:pPr>
              <w:spacing w:after="0" w:line="240" w:lineRule="auto"/>
              <w:rPr>
                <w:rFonts w:ascii="Times New Roman" w:eastAsia="Times New Roman" w:hAnsi="Times New Roman" w:cs="Times New Roman"/>
                <w:color w:val="000000"/>
                <w:sz w:val="20"/>
                <w:szCs w:val="20"/>
                <w:lang w:val="en-GB"/>
              </w:rPr>
            </w:pPr>
            <w:r w:rsidRPr="00610838">
              <w:rPr>
                <w:rFonts w:ascii="Times New Roman" w:eastAsia="Times New Roman" w:hAnsi="Times New Roman" w:cs="Times New Roman"/>
                <w:color w:val="000000"/>
                <w:sz w:val="20"/>
                <w:szCs w:val="20"/>
                <w:lang w:val="en-GB"/>
              </w:rPr>
              <w:t> </w:t>
            </w:r>
          </w:p>
        </w:tc>
        <w:tc>
          <w:tcPr>
            <w:tcW w:w="1755" w:type="dxa"/>
            <w:tcBorders>
              <w:top w:val="nil"/>
              <w:left w:val="nil"/>
              <w:bottom w:val="nil"/>
              <w:right w:val="nil"/>
            </w:tcBorders>
            <w:shd w:val="clear" w:color="auto" w:fill="auto"/>
            <w:vAlign w:val="center"/>
            <w:hideMark/>
          </w:tcPr>
          <w:p w14:paraId="48B71AA2" w14:textId="77777777" w:rsidR="00127896" w:rsidRPr="00610838" w:rsidRDefault="00127896" w:rsidP="00127896">
            <w:pPr>
              <w:spacing w:after="0" w:line="240" w:lineRule="auto"/>
              <w:rPr>
                <w:rFonts w:ascii="Times New Roman" w:eastAsia="Times New Roman" w:hAnsi="Times New Roman" w:cs="Times New Roman"/>
                <w:color w:val="000000"/>
                <w:sz w:val="20"/>
                <w:szCs w:val="20"/>
                <w:lang w:val="en-GB"/>
              </w:rPr>
            </w:pPr>
            <w:r w:rsidRPr="00610838">
              <w:rPr>
                <w:rFonts w:ascii="Times New Roman" w:eastAsia="Times New Roman" w:hAnsi="Times New Roman" w:cs="Times New Roman"/>
                <w:color w:val="000000"/>
                <w:sz w:val="20"/>
                <w:szCs w:val="20"/>
                <w:lang w:val="en-GB"/>
              </w:rPr>
              <w:t> </w:t>
            </w:r>
          </w:p>
        </w:tc>
        <w:tc>
          <w:tcPr>
            <w:tcW w:w="848" w:type="dxa"/>
            <w:tcBorders>
              <w:top w:val="nil"/>
              <w:left w:val="nil"/>
              <w:bottom w:val="nil"/>
              <w:right w:val="nil"/>
            </w:tcBorders>
            <w:shd w:val="clear" w:color="auto" w:fill="auto"/>
            <w:vAlign w:val="center"/>
            <w:hideMark/>
          </w:tcPr>
          <w:p w14:paraId="33858F3F" w14:textId="77777777" w:rsidR="00127896" w:rsidRPr="00610838" w:rsidRDefault="00127896" w:rsidP="00127896">
            <w:pPr>
              <w:spacing w:after="0" w:line="240" w:lineRule="auto"/>
              <w:rPr>
                <w:rFonts w:ascii="Times New Roman" w:eastAsia="Times New Roman" w:hAnsi="Times New Roman" w:cs="Times New Roman"/>
                <w:color w:val="000000"/>
                <w:sz w:val="20"/>
                <w:szCs w:val="20"/>
                <w:lang w:val="en-GB"/>
              </w:rPr>
            </w:pPr>
          </w:p>
        </w:tc>
      </w:tr>
      <w:tr w:rsidR="00127896" w:rsidRPr="00610838" w14:paraId="4AB278EA" w14:textId="77777777" w:rsidTr="00127896">
        <w:trPr>
          <w:gridBefore w:val="3"/>
          <w:gridAfter w:val="7"/>
          <w:wBefore w:w="657" w:type="dxa"/>
          <w:wAfter w:w="11781" w:type="dxa"/>
          <w:trHeight w:val="390"/>
        </w:trPr>
        <w:tc>
          <w:tcPr>
            <w:tcW w:w="2992" w:type="dxa"/>
            <w:gridSpan w:val="7"/>
            <w:tcBorders>
              <w:top w:val="single" w:sz="8" w:space="0" w:color="4C4C4C"/>
              <w:left w:val="single" w:sz="12" w:space="0" w:color="4C4C4C"/>
              <w:bottom w:val="single" w:sz="8" w:space="0" w:color="4C4C4C"/>
              <w:right w:val="single" w:sz="12" w:space="0" w:color="4C4C4C"/>
            </w:tcBorders>
            <w:shd w:val="clear" w:color="auto" w:fill="auto"/>
            <w:vAlign w:val="center"/>
            <w:hideMark/>
          </w:tcPr>
          <w:p w14:paraId="7D695FDF"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8"/>
                <w:szCs w:val="28"/>
                <w:lang w:val="en-GB"/>
              </w:rPr>
            </w:pPr>
            <w:r w:rsidRPr="00610838">
              <w:rPr>
                <w:rFonts w:ascii="Times New Roman" w:eastAsia="Times New Roman" w:hAnsi="Times New Roman" w:cs="Times New Roman"/>
                <w:b/>
                <w:bCs/>
                <w:color w:val="000000"/>
                <w:sz w:val="28"/>
                <w:szCs w:val="28"/>
                <w:lang w:val="en-GB"/>
              </w:rPr>
              <w:t>conventional</w:t>
            </w:r>
          </w:p>
        </w:tc>
        <w:tc>
          <w:tcPr>
            <w:tcW w:w="750" w:type="dxa"/>
            <w:gridSpan w:val="3"/>
            <w:tcBorders>
              <w:top w:val="single" w:sz="8" w:space="0" w:color="4C4C4C"/>
              <w:left w:val="nil"/>
              <w:bottom w:val="single" w:sz="8" w:space="0" w:color="4C4C4C"/>
              <w:right w:val="nil"/>
            </w:tcBorders>
          </w:tcPr>
          <w:p w14:paraId="4E8FF7BB"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8"/>
                <w:szCs w:val="28"/>
                <w:lang w:val="en-GB"/>
              </w:rPr>
            </w:pPr>
          </w:p>
        </w:tc>
        <w:tc>
          <w:tcPr>
            <w:tcW w:w="6723" w:type="dxa"/>
            <w:gridSpan w:val="11"/>
            <w:tcBorders>
              <w:top w:val="single" w:sz="8" w:space="0" w:color="4C4C4C"/>
              <w:left w:val="nil"/>
              <w:bottom w:val="single" w:sz="8" w:space="0" w:color="4C4C4C"/>
              <w:right w:val="single" w:sz="12" w:space="0" w:color="4C4C4C"/>
            </w:tcBorders>
            <w:shd w:val="clear" w:color="auto" w:fill="auto"/>
            <w:vAlign w:val="center"/>
            <w:hideMark/>
          </w:tcPr>
          <w:p w14:paraId="041F9562"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8"/>
                <w:szCs w:val="28"/>
                <w:lang w:val="en-GB"/>
              </w:rPr>
            </w:pPr>
            <w:r w:rsidRPr="00610838">
              <w:rPr>
                <w:rFonts w:ascii="Times New Roman" w:eastAsia="Times New Roman" w:hAnsi="Times New Roman" w:cs="Times New Roman"/>
                <w:b/>
                <w:bCs/>
                <w:color w:val="000000"/>
                <w:sz w:val="28"/>
                <w:szCs w:val="28"/>
                <w:lang w:val="en-GB"/>
              </w:rPr>
              <w:t>organic</w:t>
            </w:r>
          </w:p>
        </w:tc>
      </w:tr>
      <w:tr w:rsidR="00127896" w:rsidRPr="00610838" w14:paraId="20BF13EC" w14:textId="77777777" w:rsidTr="00127896">
        <w:trPr>
          <w:gridBefore w:val="3"/>
          <w:gridAfter w:val="7"/>
          <w:wBefore w:w="657" w:type="dxa"/>
          <w:wAfter w:w="11781" w:type="dxa"/>
          <w:trHeight w:val="330"/>
        </w:trPr>
        <w:tc>
          <w:tcPr>
            <w:tcW w:w="2992" w:type="dxa"/>
            <w:gridSpan w:val="7"/>
            <w:tcBorders>
              <w:top w:val="single" w:sz="8" w:space="0" w:color="4C4C4C"/>
              <w:left w:val="single" w:sz="12" w:space="0" w:color="4C4C4C"/>
              <w:bottom w:val="single" w:sz="8" w:space="0" w:color="4C4C4C"/>
              <w:right w:val="single" w:sz="12" w:space="0" w:color="4C4C4C"/>
            </w:tcBorders>
            <w:shd w:val="clear" w:color="auto" w:fill="auto"/>
            <w:vAlign w:val="center"/>
            <w:hideMark/>
          </w:tcPr>
          <w:p w14:paraId="3BD57835"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 </w:t>
            </w:r>
          </w:p>
        </w:tc>
        <w:tc>
          <w:tcPr>
            <w:tcW w:w="750" w:type="dxa"/>
            <w:gridSpan w:val="3"/>
            <w:tcBorders>
              <w:top w:val="nil"/>
              <w:left w:val="nil"/>
              <w:bottom w:val="single" w:sz="8" w:space="0" w:color="4C4C4C"/>
              <w:right w:val="nil"/>
            </w:tcBorders>
          </w:tcPr>
          <w:p w14:paraId="077162DF" w14:textId="77777777" w:rsidR="00127896" w:rsidRPr="00610838" w:rsidRDefault="00127896" w:rsidP="00127896">
            <w:pPr>
              <w:spacing w:after="0" w:line="240" w:lineRule="auto"/>
              <w:rPr>
                <w:rFonts w:ascii="Times New Roman" w:eastAsia="Times New Roman" w:hAnsi="Times New Roman" w:cs="Times New Roman"/>
                <w:color w:val="000000"/>
                <w:sz w:val="20"/>
                <w:szCs w:val="20"/>
                <w:lang w:val="en-GB"/>
              </w:rPr>
            </w:pPr>
          </w:p>
        </w:tc>
        <w:tc>
          <w:tcPr>
            <w:tcW w:w="670" w:type="dxa"/>
            <w:tcBorders>
              <w:top w:val="nil"/>
              <w:left w:val="nil"/>
              <w:bottom w:val="single" w:sz="8" w:space="0" w:color="4C4C4C"/>
              <w:right w:val="nil"/>
            </w:tcBorders>
            <w:shd w:val="clear" w:color="auto" w:fill="auto"/>
            <w:vAlign w:val="center"/>
            <w:hideMark/>
          </w:tcPr>
          <w:p w14:paraId="23EAC1C8" w14:textId="77777777" w:rsidR="00127896" w:rsidRPr="00610838" w:rsidRDefault="00127896" w:rsidP="00127896">
            <w:pPr>
              <w:spacing w:after="0" w:line="240" w:lineRule="auto"/>
              <w:rPr>
                <w:rFonts w:ascii="Times New Roman" w:eastAsia="Times New Roman" w:hAnsi="Times New Roman" w:cs="Times New Roman"/>
                <w:color w:val="000000"/>
                <w:sz w:val="20"/>
                <w:szCs w:val="20"/>
                <w:lang w:val="en-GB"/>
              </w:rPr>
            </w:pPr>
            <w:r w:rsidRPr="00610838">
              <w:rPr>
                <w:rFonts w:ascii="Times New Roman" w:eastAsia="Times New Roman" w:hAnsi="Times New Roman" w:cs="Times New Roman"/>
                <w:color w:val="000000"/>
                <w:sz w:val="20"/>
                <w:szCs w:val="20"/>
                <w:lang w:val="en-GB"/>
              </w:rPr>
              <w:t> </w:t>
            </w:r>
          </w:p>
        </w:tc>
        <w:tc>
          <w:tcPr>
            <w:tcW w:w="1253" w:type="dxa"/>
            <w:gridSpan w:val="2"/>
            <w:tcBorders>
              <w:top w:val="nil"/>
              <w:left w:val="nil"/>
              <w:bottom w:val="single" w:sz="8" w:space="0" w:color="4C4C4C"/>
              <w:right w:val="nil"/>
            </w:tcBorders>
            <w:shd w:val="clear" w:color="auto" w:fill="auto"/>
            <w:vAlign w:val="center"/>
            <w:hideMark/>
          </w:tcPr>
          <w:p w14:paraId="0018D50D" w14:textId="77777777" w:rsidR="00127896" w:rsidRPr="00610838" w:rsidRDefault="00127896" w:rsidP="00127896">
            <w:pPr>
              <w:spacing w:after="0" w:line="240" w:lineRule="auto"/>
              <w:rPr>
                <w:rFonts w:ascii="Times New Roman" w:eastAsia="Times New Roman" w:hAnsi="Times New Roman" w:cs="Times New Roman"/>
                <w:color w:val="000000"/>
                <w:sz w:val="20"/>
                <w:szCs w:val="20"/>
                <w:lang w:val="en-GB"/>
              </w:rPr>
            </w:pPr>
            <w:r w:rsidRPr="00610838">
              <w:rPr>
                <w:rFonts w:ascii="Times New Roman" w:eastAsia="Times New Roman" w:hAnsi="Times New Roman" w:cs="Times New Roman"/>
                <w:color w:val="000000"/>
                <w:sz w:val="20"/>
                <w:szCs w:val="20"/>
                <w:lang w:val="en-GB"/>
              </w:rPr>
              <w:t> </w:t>
            </w:r>
          </w:p>
        </w:tc>
        <w:tc>
          <w:tcPr>
            <w:tcW w:w="960" w:type="dxa"/>
            <w:gridSpan w:val="3"/>
            <w:tcBorders>
              <w:top w:val="nil"/>
              <w:left w:val="nil"/>
              <w:bottom w:val="single" w:sz="8" w:space="0" w:color="4C4C4C"/>
              <w:right w:val="nil"/>
            </w:tcBorders>
            <w:shd w:val="clear" w:color="auto" w:fill="auto"/>
            <w:vAlign w:val="center"/>
            <w:hideMark/>
          </w:tcPr>
          <w:p w14:paraId="53B1FA76" w14:textId="77777777" w:rsidR="00127896" w:rsidRPr="00610838" w:rsidRDefault="00127896" w:rsidP="00127896">
            <w:pPr>
              <w:spacing w:after="0" w:line="240" w:lineRule="auto"/>
              <w:rPr>
                <w:rFonts w:ascii="Times New Roman" w:eastAsia="Times New Roman" w:hAnsi="Times New Roman" w:cs="Times New Roman"/>
                <w:color w:val="000000"/>
                <w:sz w:val="20"/>
                <w:szCs w:val="20"/>
                <w:lang w:val="en-GB"/>
              </w:rPr>
            </w:pPr>
            <w:r w:rsidRPr="00610838">
              <w:rPr>
                <w:rFonts w:ascii="Times New Roman" w:eastAsia="Times New Roman" w:hAnsi="Times New Roman" w:cs="Times New Roman"/>
                <w:color w:val="000000"/>
                <w:sz w:val="20"/>
                <w:szCs w:val="20"/>
                <w:lang w:val="en-GB"/>
              </w:rPr>
              <w:t> </w:t>
            </w:r>
          </w:p>
        </w:tc>
        <w:tc>
          <w:tcPr>
            <w:tcW w:w="960" w:type="dxa"/>
            <w:gridSpan w:val="2"/>
            <w:tcBorders>
              <w:top w:val="nil"/>
              <w:left w:val="nil"/>
              <w:bottom w:val="single" w:sz="8" w:space="0" w:color="4C4C4C"/>
              <w:right w:val="nil"/>
            </w:tcBorders>
            <w:shd w:val="clear" w:color="auto" w:fill="auto"/>
            <w:vAlign w:val="center"/>
            <w:hideMark/>
          </w:tcPr>
          <w:p w14:paraId="6DE2572F" w14:textId="77777777" w:rsidR="00127896" w:rsidRPr="00610838" w:rsidRDefault="00127896" w:rsidP="00127896">
            <w:pPr>
              <w:spacing w:after="0" w:line="240" w:lineRule="auto"/>
              <w:rPr>
                <w:rFonts w:ascii="Times New Roman" w:eastAsia="Times New Roman" w:hAnsi="Times New Roman" w:cs="Times New Roman"/>
                <w:color w:val="000000"/>
                <w:sz w:val="20"/>
                <w:szCs w:val="20"/>
                <w:lang w:val="en-GB"/>
              </w:rPr>
            </w:pPr>
            <w:r w:rsidRPr="00610838">
              <w:rPr>
                <w:rFonts w:ascii="Times New Roman" w:eastAsia="Times New Roman" w:hAnsi="Times New Roman" w:cs="Times New Roman"/>
                <w:color w:val="000000"/>
                <w:sz w:val="20"/>
                <w:szCs w:val="20"/>
                <w:lang w:val="en-GB"/>
              </w:rPr>
              <w:t> </w:t>
            </w:r>
          </w:p>
        </w:tc>
        <w:tc>
          <w:tcPr>
            <w:tcW w:w="960" w:type="dxa"/>
            <w:tcBorders>
              <w:top w:val="nil"/>
              <w:left w:val="nil"/>
              <w:bottom w:val="single" w:sz="8" w:space="0" w:color="4C4C4C"/>
              <w:right w:val="nil"/>
            </w:tcBorders>
            <w:shd w:val="clear" w:color="auto" w:fill="auto"/>
            <w:vAlign w:val="center"/>
            <w:hideMark/>
          </w:tcPr>
          <w:p w14:paraId="1F379725" w14:textId="77777777" w:rsidR="00127896" w:rsidRPr="00610838" w:rsidRDefault="00127896" w:rsidP="00127896">
            <w:pPr>
              <w:spacing w:after="0" w:line="240" w:lineRule="auto"/>
              <w:rPr>
                <w:rFonts w:ascii="Times New Roman" w:eastAsia="Times New Roman" w:hAnsi="Times New Roman" w:cs="Times New Roman"/>
                <w:color w:val="000000"/>
                <w:sz w:val="20"/>
                <w:szCs w:val="20"/>
                <w:lang w:val="en-GB"/>
              </w:rPr>
            </w:pPr>
            <w:r w:rsidRPr="00610838">
              <w:rPr>
                <w:rFonts w:ascii="Times New Roman" w:eastAsia="Times New Roman" w:hAnsi="Times New Roman" w:cs="Times New Roman"/>
                <w:color w:val="000000"/>
                <w:sz w:val="20"/>
                <w:szCs w:val="20"/>
                <w:lang w:val="en-GB"/>
              </w:rPr>
              <w:t> </w:t>
            </w:r>
          </w:p>
        </w:tc>
        <w:tc>
          <w:tcPr>
            <w:tcW w:w="960" w:type="dxa"/>
            <w:tcBorders>
              <w:top w:val="nil"/>
              <w:left w:val="nil"/>
              <w:bottom w:val="single" w:sz="8" w:space="0" w:color="4C4C4C"/>
              <w:right w:val="nil"/>
            </w:tcBorders>
            <w:shd w:val="clear" w:color="auto" w:fill="auto"/>
            <w:vAlign w:val="center"/>
            <w:hideMark/>
          </w:tcPr>
          <w:p w14:paraId="32AE1DAA" w14:textId="77777777" w:rsidR="00127896" w:rsidRPr="00610838" w:rsidRDefault="00127896" w:rsidP="00127896">
            <w:pPr>
              <w:spacing w:after="0" w:line="240" w:lineRule="auto"/>
              <w:rPr>
                <w:rFonts w:ascii="Times New Roman" w:eastAsia="Times New Roman" w:hAnsi="Times New Roman" w:cs="Times New Roman"/>
                <w:color w:val="000000"/>
                <w:sz w:val="20"/>
                <w:szCs w:val="20"/>
                <w:lang w:val="en-GB"/>
              </w:rPr>
            </w:pPr>
            <w:r w:rsidRPr="00610838">
              <w:rPr>
                <w:rFonts w:ascii="Times New Roman" w:eastAsia="Times New Roman" w:hAnsi="Times New Roman" w:cs="Times New Roman"/>
                <w:color w:val="000000"/>
                <w:sz w:val="20"/>
                <w:szCs w:val="20"/>
                <w:lang w:val="en-GB"/>
              </w:rPr>
              <w:t> </w:t>
            </w:r>
          </w:p>
        </w:tc>
        <w:tc>
          <w:tcPr>
            <w:tcW w:w="960" w:type="dxa"/>
            <w:tcBorders>
              <w:top w:val="nil"/>
              <w:left w:val="single" w:sz="12" w:space="0" w:color="4C4C4C"/>
              <w:bottom w:val="single" w:sz="8" w:space="0" w:color="4C4C4C"/>
              <w:right w:val="single" w:sz="12" w:space="0" w:color="4C4C4C"/>
            </w:tcBorders>
            <w:shd w:val="clear" w:color="auto" w:fill="auto"/>
            <w:vAlign w:val="center"/>
            <w:hideMark/>
          </w:tcPr>
          <w:p w14:paraId="5CB4D793" w14:textId="77777777" w:rsidR="00127896" w:rsidRPr="00610838" w:rsidRDefault="00127896" w:rsidP="00127896">
            <w:pPr>
              <w:spacing w:after="0" w:line="240" w:lineRule="auto"/>
              <w:rPr>
                <w:rFonts w:ascii="Times New Roman" w:eastAsia="Times New Roman" w:hAnsi="Times New Roman" w:cs="Times New Roman"/>
                <w:color w:val="000000"/>
                <w:sz w:val="20"/>
                <w:szCs w:val="20"/>
                <w:lang w:val="en-GB"/>
              </w:rPr>
            </w:pPr>
            <w:r w:rsidRPr="00610838">
              <w:rPr>
                <w:rFonts w:ascii="Times New Roman" w:eastAsia="Times New Roman" w:hAnsi="Times New Roman" w:cs="Times New Roman"/>
                <w:color w:val="000000"/>
                <w:sz w:val="20"/>
                <w:szCs w:val="20"/>
                <w:lang w:val="en-GB"/>
              </w:rPr>
              <w:t> </w:t>
            </w:r>
          </w:p>
        </w:tc>
      </w:tr>
      <w:tr w:rsidR="00127896" w:rsidRPr="00610838" w14:paraId="590707EB" w14:textId="77777777" w:rsidTr="00127896">
        <w:trPr>
          <w:gridBefore w:val="3"/>
          <w:gridAfter w:val="7"/>
          <w:wBefore w:w="657" w:type="dxa"/>
          <w:wAfter w:w="11781" w:type="dxa"/>
          <w:trHeight w:val="315"/>
        </w:trPr>
        <w:tc>
          <w:tcPr>
            <w:tcW w:w="2992" w:type="dxa"/>
            <w:gridSpan w:val="7"/>
            <w:tcBorders>
              <w:top w:val="single" w:sz="8" w:space="0" w:color="4C4C4C"/>
              <w:left w:val="single" w:sz="12" w:space="0" w:color="4C4C4C"/>
              <w:bottom w:val="single" w:sz="8" w:space="0" w:color="4C4C4C"/>
              <w:right w:val="single" w:sz="12" w:space="0" w:color="4C4C4C"/>
            </w:tcBorders>
            <w:shd w:val="clear" w:color="auto" w:fill="auto"/>
            <w:vAlign w:val="center"/>
            <w:hideMark/>
          </w:tcPr>
          <w:p w14:paraId="5D6BFF54" w14:textId="77777777" w:rsidR="00127896" w:rsidRPr="00610838" w:rsidRDefault="00127896" w:rsidP="00127896">
            <w:pPr>
              <w:spacing w:after="0" w:line="240" w:lineRule="auto"/>
              <w:jc w:val="center"/>
              <w:rPr>
                <w:rFonts w:ascii="Times New Roman" w:eastAsia="Times New Roman" w:hAnsi="Times New Roman" w:cs="Times New Roman"/>
                <w:color w:val="000000"/>
                <w:lang w:val="en-GB"/>
              </w:rPr>
            </w:pPr>
            <w:r w:rsidRPr="00610838">
              <w:rPr>
                <w:rFonts w:ascii="Times New Roman" w:eastAsia="Times New Roman" w:hAnsi="Times New Roman" w:cs="Times New Roman"/>
                <w:color w:val="000000"/>
                <w:lang w:val="en-GB"/>
              </w:rPr>
              <w:t>3 m border</w:t>
            </w:r>
          </w:p>
        </w:tc>
        <w:tc>
          <w:tcPr>
            <w:tcW w:w="750" w:type="dxa"/>
            <w:gridSpan w:val="3"/>
            <w:tcBorders>
              <w:top w:val="single" w:sz="8" w:space="0" w:color="4C4C4C"/>
              <w:left w:val="nil"/>
              <w:bottom w:val="single" w:sz="8" w:space="0" w:color="4C4C4C"/>
              <w:right w:val="nil"/>
            </w:tcBorders>
          </w:tcPr>
          <w:p w14:paraId="132F1502" w14:textId="77777777" w:rsidR="00127896" w:rsidRPr="00610838" w:rsidRDefault="00127896" w:rsidP="00127896">
            <w:pPr>
              <w:spacing w:after="0" w:line="240" w:lineRule="auto"/>
              <w:jc w:val="center"/>
              <w:rPr>
                <w:rFonts w:ascii="Times New Roman" w:eastAsia="Times New Roman" w:hAnsi="Times New Roman" w:cs="Times New Roman"/>
                <w:color w:val="000000"/>
                <w:sz w:val="20"/>
                <w:szCs w:val="20"/>
                <w:lang w:val="en-GB"/>
              </w:rPr>
            </w:pPr>
          </w:p>
        </w:tc>
        <w:tc>
          <w:tcPr>
            <w:tcW w:w="6723" w:type="dxa"/>
            <w:gridSpan w:val="11"/>
            <w:tcBorders>
              <w:top w:val="single" w:sz="8" w:space="0" w:color="4C4C4C"/>
              <w:left w:val="nil"/>
              <w:bottom w:val="single" w:sz="8" w:space="0" w:color="4C4C4C"/>
              <w:right w:val="single" w:sz="12" w:space="0" w:color="4C4C4C"/>
            </w:tcBorders>
            <w:shd w:val="clear" w:color="auto" w:fill="auto"/>
            <w:vAlign w:val="center"/>
            <w:hideMark/>
          </w:tcPr>
          <w:p w14:paraId="104598E3" w14:textId="77777777" w:rsidR="00127896" w:rsidRPr="00610838" w:rsidRDefault="00127896" w:rsidP="00127896">
            <w:pPr>
              <w:spacing w:after="0" w:line="240" w:lineRule="auto"/>
              <w:jc w:val="center"/>
              <w:rPr>
                <w:rFonts w:ascii="Times New Roman" w:eastAsia="Times New Roman" w:hAnsi="Times New Roman" w:cs="Times New Roman"/>
                <w:color w:val="000000"/>
                <w:sz w:val="20"/>
                <w:szCs w:val="20"/>
                <w:lang w:val="en-GB"/>
              </w:rPr>
            </w:pPr>
            <w:r w:rsidRPr="00610838">
              <w:rPr>
                <w:rFonts w:ascii="Times New Roman" w:eastAsia="Times New Roman" w:hAnsi="Times New Roman" w:cs="Times New Roman"/>
                <w:color w:val="000000"/>
                <w:sz w:val="20"/>
                <w:szCs w:val="20"/>
                <w:lang w:val="en-GB"/>
              </w:rPr>
              <w:t>3 m border</w:t>
            </w:r>
          </w:p>
        </w:tc>
      </w:tr>
      <w:tr w:rsidR="00127896" w:rsidRPr="00610838" w14:paraId="0837573C" w14:textId="77777777" w:rsidTr="00127896">
        <w:trPr>
          <w:gridBefore w:val="3"/>
          <w:gridAfter w:val="7"/>
          <w:wBefore w:w="657" w:type="dxa"/>
          <w:wAfter w:w="11781" w:type="dxa"/>
          <w:trHeight w:val="645"/>
        </w:trPr>
        <w:tc>
          <w:tcPr>
            <w:tcW w:w="1076" w:type="dxa"/>
            <w:gridSpan w:val="3"/>
            <w:tcBorders>
              <w:top w:val="nil"/>
              <w:left w:val="single" w:sz="12" w:space="0" w:color="4C4C4C"/>
              <w:bottom w:val="nil"/>
              <w:right w:val="single" w:sz="8" w:space="0" w:color="4C4C4C"/>
            </w:tcBorders>
            <w:shd w:val="clear" w:color="auto" w:fill="auto"/>
            <w:vAlign w:val="center"/>
            <w:hideMark/>
          </w:tcPr>
          <w:p w14:paraId="7DC798D6"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proofErr w:type="spellStart"/>
            <w:r w:rsidRPr="00610838">
              <w:rPr>
                <w:rFonts w:ascii="Times New Roman" w:eastAsia="Times New Roman" w:hAnsi="Times New Roman" w:cs="Times New Roman"/>
                <w:b/>
                <w:bCs/>
                <w:color w:val="000000"/>
                <w:sz w:val="24"/>
                <w:szCs w:val="24"/>
                <w:lang w:val="en-GB"/>
              </w:rPr>
              <w:t>WRa</w:t>
            </w:r>
            <w:proofErr w:type="spellEnd"/>
            <w:r w:rsidRPr="00610838">
              <w:rPr>
                <w:rFonts w:ascii="Times New Roman" w:eastAsia="Times New Roman" w:hAnsi="Times New Roman" w:cs="Times New Roman"/>
                <w:b/>
                <w:bCs/>
                <w:color w:val="000000"/>
                <w:sz w:val="24"/>
                <w:szCs w:val="24"/>
                <w:lang w:val="en-GB"/>
              </w:rPr>
              <w:t xml:space="preserve">     </w:t>
            </w:r>
          </w:p>
        </w:tc>
        <w:tc>
          <w:tcPr>
            <w:tcW w:w="958" w:type="dxa"/>
            <w:gridSpan w:val="2"/>
            <w:tcBorders>
              <w:top w:val="nil"/>
              <w:left w:val="nil"/>
              <w:bottom w:val="nil"/>
              <w:right w:val="single" w:sz="8" w:space="0" w:color="4C4C4C"/>
            </w:tcBorders>
            <w:shd w:val="clear" w:color="auto" w:fill="auto"/>
            <w:vAlign w:val="center"/>
            <w:hideMark/>
          </w:tcPr>
          <w:p w14:paraId="6D3F3B1B"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 xml:space="preserve">WW                                                                  </w:t>
            </w:r>
          </w:p>
        </w:tc>
        <w:tc>
          <w:tcPr>
            <w:tcW w:w="958" w:type="dxa"/>
            <w:gridSpan w:val="2"/>
            <w:tcBorders>
              <w:top w:val="nil"/>
              <w:left w:val="nil"/>
              <w:bottom w:val="nil"/>
              <w:right w:val="single" w:sz="12" w:space="0" w:color="4C4C4C"/>
            </w:tcBorders>
            <w:shd w:val="clear" w:color="auto" w:fill="auto"/>
            <w:vAlign w:val="center"/>
            <w:hideMark/>
          </w:tcPr>
          <w:p w14:paraId="2DCB7445"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 xml:space="preserve">SB                                                                  </w:t>
            </w:r>
          </w:p>
        </w:tc>
        <w:tc>
          <w:tcPr>
            <w:tcW w:w="750" w:type="dxa"/>
            <w:gridSpan w:val="3"/>
            <w:tcBorders>
              <w:top w:val="nil"/>
              <w:left w:val="nil"/>
              <w:bottom w:val="nil"/>
              <w:right w:val="nil"/>
            </w:tcBorders>
          </w:tcPr>
          <w:p w14:paraId="71383F79"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p>
        </w:tc>
        <w:tc>
          <w:tcPr>
            <w:tcW w:w="670" w:type="dxa"/>
            <w:tcBorders>
              <w:top w:val="nil"/>
              <w:left w:val="nil"/>
              <w:bottom w:val="nil"/>
              <w:right w:val="single" w:sz="8" w:space="0" w:color="4C4C4C"/>
            </w:tcBorders>
            <w:shd w:val="clear" w:color="auto" w:fill="auto"/>
            <w:vAlign w:val="center"/>
            <w:hideMark/>
          </w:tcPr>
          <w:p w14:paraId="15E7FEF1"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AB</w:t>
            </w:r>
          </w:p>
        </w:tc>
        <w:tc>
          <w:tcPr>
            <w:tcW w:w="1253" w:type="dxa"/>
            <w:gridSpan w:val="2"/>
            <w:tcBorders>
              <w:top w:val="nil"/>
              <w:left w:val="nil"/>
              <w:bottom w:val="nil"/>
              <w:right w:val="single" w:sz="8" w:space="0" w:color="4C4C4C"/>
            </w:tcBorders>
            <w:shd w:val="clear" w:color="auto" w:fill="auto"/>
            <w:vAlign w:val="center"/>
            <w:hideMark/>
          </w:tcPr>
          <w:p w14:paraId="002C324E"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proofErr w:type="spellStart"/>
            <w:r w:rsidRPr="00610838">
              <w:rPr>
                <w:rFonts w:ascii="Times New Roman" w:eastAsia="Times New Roman" w:hAnsi="Times New Roman" w:cs="Times New Roman"/>
                <w:b/>
                <w:bCs/>
                <w:color w:val="000000"/>
                <w:sz w:val="24"/>
                <w:szCs w:val="24"/>
                <w:lang w:val="en-GB"/>
              </w:rPr>
              <w:t>WRa</w:t>
            </w:r>
            <w:proofErr w:type="spellEnd"/>
            <w:r w:rsidRPr="00610838">
              <w:rPr>
                <w:rFonts w:ascii="Times New Roman" w:eastAsia="Times New Roman" w:hAnsi="Times New Roman" w:cs="Times New Roman"/>
                <w:b/>
                <w:bCs/>
                <w:color w:val="000000"/>
                <w:sz w:val="24"/>
                <w:szCs w:val="24"/>
                <w:lang w:val="en-GB"/>
              </w:rPr>
              <w:t xml:space="preserve">                                                                  </w:t>
            </w:r>
          </w:p>
        </w:tc>
        <w:tc>
          <w:tcPr>
            <w:tcW w:w="960" w:type="dxa"/>
            <w:gridSpan w:val="3"/>
            <w:tcBorders>
              <w:top w:val="nil"/>
              <w:left w:val="nil"/>
              <w:bottom w:val="nil"/>
              <w:right w:val="single" w:sz="8" w:space="0" w:color="4C4C4C"/>
            </w:tcBorders>
            <w:shd w:val="clear" w:color="auto" w:fill="auto"/>
            <w:vAlign w:val="center"/>
            <w:hideMark/>
          </w:tcPr>
          <w:p w14:paraId="3A928A24"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 xml:space="preserve">SB    </w:t>
            </w:r>
          </w:p>
        </w:tc>
        <w:tc>
          <w:tcPr>
            <w:tcW w:w="960" w:type="dxa"/>
            <w:gridSpan w:val="2"/>
            <w:tcBorders>
              <w:top w:val="nil"/>
              <w:left w:val="nil"/>
              <w:bottom w:val="nil"/>
              <w:right w:val="nil"/>
            </w:tcBorders>
            <w:shd w:val="clear" w:color="auto" w:fill="auto"/>
            <w:vAlign w:val="center"/>
            <w:hideMark/>
          </w:tcPr>
          <w:p w14:paraId="22CA5C93"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Oat</w:t>
            </w:r>
          </w:p>
        </w:tc>
        <w:tc>
          <w:tcPr>
            <w:tcW w:w="960" w:type="dxa"/>
            <w:tcBorders>
              <w:top w:val="nil"/>
              <w:left w:val="single" w:sz="8" w:space="0" w:color="4C4C4C"/>
              <w:bottom w:val="nil"/>
              <w:right w:val="nil"/>
            </w:tcBorders>
            <w:shd w:val="clear" w:color="auto" w:fill="auto"/>
            <w:vAlign w:val="center"/>
            <w:hideMark/>
          </w:tcPr>
          <w:p w14:paraId="484E3EEE"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WR</w:t>
            </w:r>
          </w:p>
        </w:tc>
        <w:tc>
          <w:tcPr>
            <w:tcW w:w="960" w:type="dxa"/>
            <w:tcBorders>
              <w:top w:val="nil"/>
              <w:left w:val="single" w:sz="8" w:space="0" w:color="4C4C4C"/>
              <w:bottom w:val="nil"/>
              <w:right w:val="single" w:sz="8" w:space="0" w:color="4C4C4C"/>
            </w:tcBorders>
            <w:shd w:val="clear" w:color="auto" w:fill="auto"/>
            <w:vAlign w:val="center"/>
            <w:hideMark/>
          </w:tcPr>
          <w:p w14:paraId="7CD10DE5"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 xml:space="preserve">WW     </w:t>
            </w:r>
          </w:p>
        </w:tc>
        <w:tc>
          <w:tcPr>
            <w:tcW w:w="960" w:type="dxa"/>
            <w:tcBorders>
              <w:top w:val="nil"/>
              <w:left w:val="nil"/>
              <w:bottom w:val="single" w:sz="8" w:space="0" w:color="4C4C4C"/>
              <w:right w:val="single" w:sz="12" w:space="0" w:color="4C4C4C"/>
            </w:tcBorders>
            <w:shd w:val="clear" w:color="auto" w:fill="auto"/>
            <w:vAlign w:val="center"/>
            <w:hideMark/>
          </w:tcPr>
          <w:p w14:paraId="7B0EF76F"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Pot</w:t>
            </w:r>
          </w:p>
        </w:tc>
      </w:tr>
      <w:tr w:rsidR="00127896" w:rsidRPr="00610838" w14:paraId="0F0EA020" w14:textId="77777777" w:rsidTr="00127896">
        <w:trPr>
          <w:gridBefore w:val="3"/>
          <w:gridAfter w:val="7"/>
          <w:wBefore w:w="657" w:type="dxa"/>
          <w:wAfter w:w="11781" w:type="dxa"/>
          <w:trHeight w:val="315"/>
        </w:trPr>
        <w:tc>
          <w:tcPr>
            <w:tcW w:w="2992" w:type="dxa"/>
            <w:gridSpan w:val="7"/>
            <w:tcBorders>
              <w:top w:val="single" w:sz="8" w:space="0" w:color="4C4C4C"/>
              <w:left w:val="single" w:sz="12" w:space="0" w:color="4C4C4C"/>
              <w:bottom w:val="single" w:sz="8" w:space="0" w:color="4C4C4C"/>
              <w:right w:val="single" w:sz="12" w:space="0" w:color="4C4C4C"/>
            </w:tcBorders>
            <w:shd w:val="clear" w:color="auto" w:fill="auto"/>
            <w:vAlign w:val="center"/>
            <w:hideMark/>
          </w:tcPr>
          <w:p w14:paraId="4E1A60A7" w14:textId="77777777" w:rsidR="00127896" w:rsidRPr="00610838" w:rsidRDefault="00127896" w:rsidP="00127896">
            <w:pPr>
              <w:spacing w:after="0" w:line="240" w:lineRule="auto"/>
              <w:jc w:val="center"/>
              <w:rPr>
                <w:rFonts w:ascii="Times New Roman" w:eastAsia="Times New Roman" w:hAnsi="Times New Roman" w:cs="Times New Roman"/>
                <w:color w:val="000000"/>
                <w:lang w:val="en-GB"/>
              </w:rPr>
            </w:pPr>
            <w:r w:rsidRPr="00610838">
              <w:rPr>
                <w:rFonts w:ascii="Times New Roman" w:eastAsia="Times New Roman" w:hAnsi="Times New Roman" w:cs="Times New Roman"/>
                <w:color w:val="000000"/>
                <w:lang w:val="en-GB"/>
              </w:rPr>
              <w:t>9 m border</w:t>
            </w:r>
          </w:p>
        </w:tc>
        <w:tc>
          <w:tcPr>
            <w:tcW w:w="750" w:type="dxa"/>
            <w:gridSpan w:val="3"/>
            <w:tcBorders>
              <w:top w:val="single" w:sz="8" w:space="0" w:color="4C4C4C"/>
              <w:left w:val="nil"/>
              <w:bottom w:val="single" w:sz="8" w:space="0" w:color="4C4C4C"/>
              <w:right w:val="nil"/>
            </w:tcBorders>
          </w:tcPr>
          <w:p w14:paraId="64FAC7EC" w14:textId="77777777" w:rsidR="00127896" w:rsidRPr="00610838" w:rsidRDefault="00127896" w:rsidP="00127896">
            <w:pPr>
              <w:spacing w:after="0" w:line="240" w:lineRule="auto"/>
              <w:jc w:val="center"/>
              <w:rPr>
                <w:rFonts w:ascii="Times New Roman" w:eastAsia="Times New Roman" w:hAnsi="Times New Roman" w:cs="Times New Roman"/>
                <w:color w:val="000000"/>
                <w:sz w:val="20"/>
                <w:szCs w:val="20"/>
                <w:lang w:val="en-GB"/>
              </w:rPr>
            </w:pPr>
          </w:p>
        </w:tc>
        <w:tc>
          <w:tcPr>
            <w:tcW w:w="6723" w:type="dxa"/>
            <w:gridSpan w:val="11"/>
            <w:tcBorders>
              <w:top w:val="single" w:sz="8" w:space="0" w:color="4C4C4C"/>
              <w:left w:val="nil"/>
              <w:bottom w:val="single" w:sz="8" w:space="0" w:color="4C4C4C"/>
              <w:right w:val="single" w:sz="12" w:space="0" w:color="4C4C4C"/>
            </w:tcBorders>
            <w:shd w:val="clear" w:color="auto" w:fill="auto"/>
            <w:vAlign w:val="center"/>
            <w:hideMark/>
          </w:tcPr>
          <w:p w14:paraId="03D4A019" w14:textId="77777777" w:rsidR="00127896" w:rsidRPr="00610838" w:rsidRDefault="00127896" w:rsidP="00127896">
            <w:pPr>
              <w:spacing w:after="0" w:line="240" w:lineRule="auto"/>
              <w:jc w:val="center"/>
              <w:rPr>
                <w:rFonts w:ascii="Times New Roman" w:eastAsia="Times New Roman" w:hAnsi="Times New Roman" w:cs="Times New Roman"/>
                <w:color w:val="000000"/>
                <w:sz w:val="20"/>
                <w:szCs w:val="20"/>
                <w:lang w:val="en-GB"/>
              </w:rPr>
            </w:pPr>
            <w:r w:rsidRPr="00610838">
              <w:rPr>
                <w:rFonts w:ascii="Times New Roman" w:eastAsia="Times New Roman" w:hAnsi="Times New Roman" w:cs="Times New Roman"/>
                <w:color w:val="000000"/>
                <w:sz w:val="20"/>
                <w:szCs w:val="20"/>
                <w:lang w:val="en-GB"/>
              </w:rPr>
              <w:t>9 m border</w:t>
            </w:r>
          </w:p>
        </w:tc>
      </w:tr>
      <w:tr w:rsidR="00127896" w:rsidRPr="00610838" w14:paraId="167F3DB2" w14:textId="77777777" w:rsidTr="00127896">
        <w:trPr>
          <w:gridBefore w:val="3"/>
          <w:gridAfter w:val="7"/>
          <w:wBefore w:w="657" w:type="dxa"/>
          <w:wAfter w:w="11781" w:type="dxa"/>
          <w:trHeight w:val="645"/>
        </w:trPr>
        <w:tc>
          <w:tcPr>
            <w:tcW w:w="1076" w:type="dxa"/>
            <w:gridSpan w:val="3"/>
            <w:tcBorders>
              <w:top w:val="nil"/>
              <w:left w:val="single" w:sz="12" w:space="0" w:color="4C4C4C"/>
              <w:bottom w:val="nil"/>
              <w:right w:val="single" w:sz="8" w:space="0" w:color="4C4C4C"/>
            </w:tcBorders>
            <w:shd w:val="clear" w:color="auto" w:fill="auto"/>
            <w:vAlign w:val="center"/>
            <w:hideMark/>
          </w:tcPr>
          <w:p w14:paraId="3F219237"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 xml:space="preserve">SB    </w:t>
            </w:r>
          </w:p>
        </w:tc>
        <w:tc>
          <w:tcPr>
            <w:tcW w:w="958" w:type="dxa"/>
            <w:gridSpan w:val="2"/>
            <w:tcBorders>
              <w:top w:val="nil"/>
              <w:left w:val="nil"/>
              <w:bottom w:val="nil"/>
              <w:right w:val="single" w:sz="8" w:space="0" w:color="4C4C4C"/>
            </w:tcBorders>
            <w:shd w:val="clear" w:color="auto" w:fill="auto"/>
            <w:vAlign w:val="center"/>
            <w:hideMark/>
          </w:tcPr>
          <w:p w14:paraId="05F3105D"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proofErr w:type="spellStart"/>
            <w:r w:rsidRPr="00610838">
              <w:rPr>
                <w:rFonts w:ascii="Times New Roman" w:eastAsia="Times New Roman" w:hAnsi="Times New Roman" w:cs="Times New Roman"/>
                <w:b/>
                <w:bCs/>
                <w:color w:val="000000"/>
                <w:sz w:val="24"/>
                <w:szCs w:val="24"/>
                <w:lang w:val="en-GB"/>
              </w:rPr>
              <w:t>WRa</w:t>
            </w:r>
            <w:proofErr w:type="spellEnd"/>
            <w:r w:rsidRPr="00610838">
              <w:rPr>
                <w:rFonts w:ascii="Times New Roman" w:eastAsia="Times New Roman" w:hAnsi="Times New Roman" w:cs="Times New Roman"/>
                <w:b/>
                <w:bCs/>
                <w:color w:val="000000"/>
                <w:sz w:val="24"/>
                <w:szCs w:val="24"/>
                <w:lang w:val="en-GB"/>
              </w:rPr>
              <w:t xml:space="preserve">     </w:t>
            </w:r>
          </w:p>
        </w:tc>
        <w:tc>
          <w:tcPr>
            <w:tcW w:w="958" w:type="dxa"/>
            <w:gridSpan w:val="2"/>
            <w:tcBorders>
              <w:top w:val="nil"/>
              <w:left w:val="nil"/>
              <w:bottom w:val="nil"/>
              <w:right w:val="single" w:sz="12" w:space="0" w:color="4C4C4C"/>
            </w:tcBorders>
            <w:shd w:val="clear" w:color="auto" w:fill="auto"/>
            <w:vAlign w:val="center"/>
            <w:hideMark/>
          </w:tcPr>
          <w:p w14:paraId="58C78518"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 xml:space="preserve">WW     </w:t>
            </w:r>
          </w:p>
        </w:tc>
        <w:tc>
          <w:tcPr>
            <w:tcW w:w="750" w:type="dxa"/>
            <w:gridSpan w:val="3"/>
            <w:tcBorders>
              <w:top w:val="nil"/>
              <w:left w:val="nil"/>
              <w:bottom w:val="nil"/>
              <w:right w:val="nil"/>
            </w:tcBorders>
          </w:tcPr>
          <w:p w14:paraId="7949C43B"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p>
        </w:tc>
        <w:tc>
          <w:tcPr>
            <w:tcW w:w="670" w:type="dxa"/>
            <w:tcBorders>
              <w:top w:val="nil"/>
              <w:left w:val="nil"/>
              <w:bottom w:val="nil"/>
              <w:right w:val="single" w:sz="8" w:space="0" w:color="4C4C4C"/>
            </w:tcBorders>
            <w:shd w:val="clear" w:color="auto" w:fill="auto"/>
            <w:vAlign w:val="center"/>
            <w:hideMark/>
          </w:tcPr>
          <w:p w14:paraId="1DF9F576"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WR</w:t>
            </w:r>
          </w:p>
        </w:tc>
        <w:tc>
          <w:tcPr>
            <w:tcW w:w="1253" w:type="dxa"/>
            <w:gridSpan w:val="2"/>
            <w:tcBorders>
              <w:top w:val="nil"/>
              <w:left w:val="nil"/>
              <w:bottom w:val="nil"/>
              <w:right w:val="single" w:sz="8" w:space="0" w:color="4C4C4C"/>
            </w:tcBorders>
            <w:shd w:val="clear" w:color="auto" w:fill="auto"/>
            <w:vAlign w:val="center"/>
            <w:hideMark/>
          </w:tcPr>
          <w:p w14:paraId="194A643F"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Pot</w:t>
            </w:r>
          </w:p>
        </w:tc>
        <w:tc>
          <w:tcPr>
            <w:tcW w:w="960" w:type="dxa"/>
            <w:gridSpan w:val="3"/>
            <w:tcBorders>
              <w:top w:val="nil"/>
              <w:left w:val="nil"/>
              <w:bottom w:val="nil"/>
              <w:right w:val="nil"/>
            </w:tcBorders>
            <w:shd w:val="clear" w:color="auto" w:fill="auto"/>
            <w:vAlign w:val="center"/>
            <w:hideMark/>
          </w:tcPr>
          <w:p w14:paraId="55F47716"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Oat</w:t>
            </w:r>
          </w:p>
        </w:tc>
        <w:tc>
          <w:tcPr>
            <w:tcW w:w="960" w:type="dxa"/>
            <w:gridSpan w:val="2"/>
            <w:tcBorders>
              <w:top w:val="nil"/>
              <w:left w:val="single" w:sz="8" w:space="0" w:color="4C4C4C"/>
              <w:bottom w:val="nil"/>
              <w:right w:val="single" w:sz="8" w:space="0" w:color="4C4C4C"/>
            </w:tcBorders>
            <w:shd w:val="clear" w:color="auto" w:fill="auto"/>
            <w:vAlign w:val="center"/>
            <w:hideMark/>
          </w:tcPr>
          <w:p w14:paraId="1E897BA8"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AB</w:t>
            </w:r>
          </w:p>
        </w:tc>
        <w:tc>
          <w:tcPr>
            <w:tcW w:w="960" w:type="dxa"/>
            <w:tcBorders>
              <w:top w:val="nil"/>
              <w:left w:val="nil"/>
              <w:bottom w:val="nil"/>
              <w:right w:val="single" w:sz="8" w:space="0" w:color="4C4C4C"/>
            </w:tcBorders>
            <w:shd w:val="clear" w:color="auto" w:fill="auto"/>
            <w:vAlign w:val="center"/>
            <w:hideMark/>
          </w:tcPr>
          <w:p w14:paraId="1B59AEC1"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 xml:space="preserve">WW     </w:t>
            </w:r>
          </w:p>
        </w:tc>
        <w:tc>
          <w:tcPr>
            <w:tcW w:w="960" w:type="dxa"/>
            <w:tcBorders>
              <w:top w:val="nil"/>
              <w:left w:val="nil"/>
              <w:bottom w:val="nil"/>
              <w:right w:val="single" w:sz="8" w:space="0" w:color="4C4C4C"/>
            </w:tcBorders>
            <w:shd w:val="clear" w:color="auto" w:fill="auto"/>
            <w:vAlign w:val="center"/>
            <w:hideMark/>
          </w:tcPr>
          <w:p w14:paraId="5A91E9F8"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 xml:space="preserve">SB     </w:t>
            </w:r>
          </w:p>
        </w:tc>
        <w:tc>
          <w:tcPr>
            <w:tcW w:w="960" w:type="dxa"/>
            <w:tcBorders>
              <w:top w:val="nil"/>
              <w:left w:val="nil"/>
              <w:bottom w:val="single" w:sz="8" w:space="0" w:color="4C4C4C"/>
              <w:right w:val="single" w:sz="12" w:space="0" w:color="4C4C4C"/>
            </w:tcBorders>
            <w:shd w:val="clear" w:color="auto" w:fill="auto"/>
            <w:vAlign w:val="center"/>
            <w:hideMark/>
          </w:tcPr>
          <w:p w14:paraId="2AC9B05A"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proofErr w:type="spellStart"/>
            <w:r w:rsidRPr="00610838">
              <w:rPr>
                <w:rFonts w:ascii="Times New Roman" w:eastAsia="Times New Roman" w:hAnsi="Times New Roman" w:cs="Times New Roman"/>
                <w:b/>
                <w:bCs/>
                <w:color w:val="000000"/>
                <w:sz w:val="24"/>
                <w:szCs w:val="24"/>
                <w:lang w:val="en-GB"/>
              </w:rPr>
              <w:t>WRa</w:t>
            </w:r>
            <w:proofErr w:type="spellEnd"/>
            <w:r w:rsidRPr="00610838">
              <w:rPr>
                <w:rFonts w:ascii="Times New Roman" w:eastAsia="Times New Roman" w:hAnsi="Times New Roman" w:cs="Times New Roman"/>
                <w:b/>
                <w:bCs/>
                <w:color w:val="000000"/>
                <w:sz w:val="24"/>
                <w:szCs w:val="24"/>
                <w:lang w:val="en-GB"/>
              </w:rPr>
              <w:t xml:space="preserve">     </w:t>
            </w:r>
          </w:p>
        </w:tc>
      </w:tr>
      <w:tr w:rsidR="00127896" w:rsidRPr="00610838" w14:paraId="131ABE28" w14:textId="77777777" w:rsidTr="00127896">
        <w:trPr>
          <w:gridBefore w:val="3"/>
          <w:gridAfter w:val="7"/>
          <w:wBefore w:w="657" w:type="dxa"/>
          <w:wAfter w:w="11781" w:type="dxa"/>
          <w:trHeight w:val="315"/>
        </w:trPr>
        <w:tc>
          <w:tcPr>
            <w:tcW w:w="2992" w:type="dxa"/>
            <w:gridSpan w:val="7"/>
            <w:tcBorders>
              <w:top w:val="single" w:sz="8" w:space="0" w:color="4C4C4C"/>
              <w:left w:val="single" w:sz="12" w:space="0" w:color="4C4C4C"/>
              <w:bottom w:val="single" w:sz="8" w:space="0" w:color="4C4C4C"/>
              <w:right w:val="single" w:sz="12" w:space="0" w:color="4C4C4C"/>
            </w:tcBorders>
            <w:shd w:val="clear" w:color="auto" w:fill="auto"/>
            <w:vAlign w:val="center"/>
            <w:hideMark/>
          </w:tcPr>
          <w:p w14:paraId="2A6E96B4" w14:textId="77777777" w:rsidR="00127896" w:rsidRPr="00610838" w:rsidRDefault="00127896" w:rsidP="00127896">
            <w:pPr>
              <w:spacing w:after="0" w:line="240" w:lineRule="auto"/>
              <w:jc w:val="center"/>
              <w:rPr>
                <w:rFonts w:ascii="Times New Roman" w:eastAsia="Times New Roman" w:hAnsi="Times New Roman" w:cs="Times New Roman"/>
                <w:color w:val="000000"/>
                <w:lang w:val="en-GB"/>
              </w:rPr>
            </w:pPr>
            <w:r w:rsidRPr="00610838">
              <w:rPr>
                <w:rFonts w:ascii="Times New Roman" w:eastAsia="Times New Roman" w:hAnsi="Times New Roman" w:cs="Times New Roman"/>
                <w:color w:val="000000"/>
                <w:lang w:val="en-GB"/>
              </w:rPr>
              <w:t>9 m border</w:t>
            </w:r>
          </w:p>
        </w:tc>
        <w:tc>
          <w:tcPr>
            <w:tcW w:w="750" w:type="dxa"/>
            <w:gridSpan w:val="3"/>
            <w:tcBorders>
              <w:top w:val="single" w:sz="8" w:space="0" w:color="4C4C4C"/>
              <w:left w:val="nil"/>
              <w:bottom w:val="single" w:sz="8" w:space="0" w:color="4C4C4C"/>
              <w:right w:val="nil"/>
            </w:tcBorders>
          </w:tcPr>
          <w:p w14:paraId="6F984457" w14:textId="77777777" w:rsidR="00127896" w:rsidRPr="00610838" w:rsidRDefault="00127896" w:rsidP="00127896">
            <w:pPr>
              <w:spacing w:after="0" w:line="240" w:lineRule="auto"/>
              <w:jc w:val="center"/>
              <w:rPr>
                <w:rFonts w:ascii="Times New Roman" w:eastAsia="Times New Roman" w:hAnsi="Times New Roman" w:cs="Times New Roman"/>
                <w:color w:val="000000"/>
                <w:sz w:val="20"/>
                <w:szCs w:val="20"/>
                <w:lang w:val="en-GB"/>
              </w:rPr>
            </w:pPr>
          </w:p>
        </w:tc>
        <w:tc>
          <w:tcPr>
            <w:tcW w:w="6723" w:type="dxa"/>
            <w:gridSpan w:val="11"/>
            <w:tcBorders>
              <w:top w:val="single" w:sz="8" w:space="0" w:color="4C4C4C"/>
              <w:left w:val="nil"/>
              <w:bottom w:val="single" w:sz="8" w:space="0" w:color="4C4C4C"/>
              <w:right w:val="single" w:sz="12" w:space="0" w:color="4C4C4C"/>
            </w:tcBorders>
            <w:shd w:val="clear" w:color="auto" w:fill="auto"/>
            <w:vAlign w:val="center"/>
            <w:hideMark/>
          </w:tcPr>
          <w:p w14:paraId="3F82AC5A" w14:textId="77777777" w:rsidR="00127896" w:rsidRPr="00610838" w:rsidRDefault="00127896" w:rsidP="00127896">
            <w:pPr>
              <w:spacing w:after="0" w:line="240" w:lineRule="auto"/>
              <w:jc w:val="center"/>
              <w:rPr>
                <w:rFonts w:ascii="Times New Roman" w:eastAsia="Times New Roman" w:hAnsi="Times New Roman" w:cs="Times New Roman"/>
                <w:color w:val="000000"/>
                <w:sz w:val="20"/>
                <w:szCs w:val="20"/>
                <w:lang w:val="en-GB"/>
              </w:rPr>
            </w:pPr>
            <w:r w:rsidRPr="00610838">
              <w:rPr>
                <w:rFonts w:ascii="Times New Roman" w:eastAsia="Times New Roman" w:hAnsi="Times New Roman" w:cs="Times New Roman"/>
                <w:color w:val="000000"/>
                <w:sz w:val="20"/>
                <w:szCs w:val="20"/>
                <w:lang w:val="en-GB"/>
              </w:rPr>
              <w:t>9 m border</w:t>
            </w:r>
          </w:p>
        </w:tc>
      </w:tr>
      <w:tr w:rsidR="00127896" w:rsidRPr="00610838" w14:paraId="6304F670" w14:textId="77777777" w:rsidTr="00127896">
        <w:trPr>
          <w:gridBefore w:val="3"/>
          <w:gridAfter w:val="7"/>
          <w:wBefore w:w="657" w:type="dxa"/>
          <w:wAfter w:w="11781" w:type="dxa"/>
          <w:trHeight w:val="330"/>
        </w:trPr>
        <w:tc>
          <w:tcPr>
            <w:tcW w:w="1076" w:type="dxa"/>
            <w:gridSpan w:val="3"/>
            <w:tcBorders>
              <w:top w:val="nil"/>
              <w:left w:val="single" w:sz="12" w:space="0" w:color="4C4C4C"/>
              <w:bottom w:val="nil"/>
              <w:right w:val="single" w:sz="8" w:space="0" w:color="4C4C4C"/>
            </w:tcBorders>
            <w:shd w:val="clear" w:color="auto" w:fill="auto"/>
            <w:vAlign w:val="center"/>
            <w:hideMark/>
          </w:tcPr>
          <w:p w14:paraId="03FDC69F" w14:textId="77777777" w:rsidR="00127896" w:rsidRPr="00610838" w:rsidRDefault="00127896" w:rsidP="00127896">
            <w:pPr>
              <w:spacing w:after="0" w:line="240" w:lineRule="auto"/>
              <w:jc w:val="center"/>
              <w:rPr>
                <w:rFonts w:ascii="Times New Roman" w:eastAsia="Times New Roman" w:hAnsi="Times New Roman" w:cs="Times New Roman"/>
                <w:b/>
                <w:bCs/>
                <w:i/>
                <w:iCs/>
                <w:color w:val="000000"/>
                <w:sz w:val="24"/>
                <w:szCs w:val="24"/>
                <w:lang w:val="en-GB"/>
              </w:rPr>
            </w:pPr>
            <w:r w:rsidRPr="00610838">
              <w:rPr>
                <w:rFonts w:ascii="Times New Roman" w:eastAsia="Times New Roman" w:hAnsi="Times New Roman" w:cs="Times New Roman"/>
                <w:b/>
                <w:bCs/>
                <w:i/>
                <w:iCs/>
                <w:color w:val="000000"/>
                <w:sz w:val="24"/>
                <w:szCs w:val="24"/>
                <w:lang w:val="en-GB"/>
              </w:rPr>
              <w:t xml:space="preserve">WW                                                                </w:t>
            </w:r>
          </w:p>
        </w:tc>
        <w:tc>
          <w:tcPr>
            <w:tcW w:w="958" w:type="dxa"/>
            <w:gridSpan w:val="2"/>
            <w:tcBorders>
              <w:top w:val="nil"/>
              <w:left w:val="nil"/>
              <w:bottom w:val="nil"/>
              <w:right w:val="single" w:sz="8" w:space="0" w:color="4C4C4C"/>
            </w:tcBorders>
            <w:shd w:val="clear" w:color="auto" w:fill="auto"/>
            <w:vAlign w:val="center"/>
            <w:hideMark/>
          </w:tcPr>
          <w:p w14:paraId="39B97D2E" w14:textId="77777777" w:rsidR="00127896" w:rsidRPr="00610838" w:rsidRDefault="00127896" w:rsidP="00127896">
            <w:pPr>
              <w:spacing w:after="0" w:line="240" w:lineRule="auto"/>
              <w:jc w:val="center"/>
              <w:rPr>
                <w:rFonts w:ascii="Times New Roman" w:eastAsia="Times New Roman" w:hAnsi="Times New Roman" w:cs="Times New Roman"/>
                <w:b/>
                <w:bCs/>
                <w:i/>
                <w:iCs/>
                <w:color w:val="4472C4"/>
                <w:sz w:val="24"/>
                <w:szCs w:val="24"/>
                <w:lang w:val="en-GB"/>
              </w:rPr>
            </w:pPr>
            <w:r w:rsidRPr="00610838">
              <w:rPr>
                <w:rFonts w:ascii="Times New Roman" w:eastAsia="Times New Roman" w:hAnsi="Times New Roman" w:cs="Times New Roman"/>
                <w:b/>
                <w:bCs/>
                <w:i/>
                <w:iCs/>
                <w:color w:val="4472C4"/>
                <w:sz w:val="24"/>
                <w:szCs w:val="24"/>
                <w:lang w:val="en-GB"/>
              </w:rPr>
              <w:t>SB P1</w:t>
            </w:r>
          </w:p>
        </w:tc>
        <w:tc>
          <w:tcPr>
            <w:tcW w:w="958" w:type="dxa"/>
            <w:gridSpan w:val="2"/>
            <w:tcBorders>
              <w:top w:val="nil"/>
              <w:left w:val="nil"/>
              <w:bottom w:val="nil"/>
              <w:right w:val="single" w:sz="12" w:space="0" w:color="4C4C4C"/>
            </w:tcBorders>
            <w:shd w:val="clear" w:color="auto" w:fill="auto"/>
            <w:vAlign w:val="center"/>
            <w:hideMark/>
          </w:tcPr>
          <w:p w14:paraId="1C042920" w14:textId="77777777" w:rsidR="00127896" w:rsidRPr="00610838" w:rsidRDefault="00127896" w:rsidP="00127896">
            <w:pPr>
              <w:spacing w:after="0" w:line="240" w:lineRule="auto"/>
              <w:jc w:val="center"/>
              <w:rPr>
                <w:rFonts w:ascii="Times New Roman" w:eastAsia="Times New Roman" w:hAnsi="Times New Roman" w:cs="Times New Roman"/>
                <w:b/>
                <w:bCs/>
                <w:i/>
                <w:iCs/>
                <w:color w:val="000000"/>
                <w:sz w:val="24"/>
                <w:szCs w:val="24"/>
                <w:lang w:val="en-GB"/>
              </w:rPr>
            </w:pPr>
            <w:proofErr w:type="spellStart"/>
            <w:r w:rsidRPr="00610838">
              <w:rPr>
                <w:rFonts w:ascii="Times New Roman" w:eastAsia="Times New Roman" w:hAnsi="Times New Roman" w:cs="Times New Roman"/>
                <w:b/>
                <w:bCs/>
                <w:i/>
                <w:iCs/>
                <w:color w:val="000000"/>
                <w:sz w:val="24"/>
                <w:szCs w:val="24"/>
                <w:lang w:val="en-GB"/>
              </w:rPr>
              <w:t>WRa</w:t>
            </w:r>
            <w:proofErr w:type="spellEnd"/>
            <w:r w:rsidRPr="00610838">
              <w:rPr>
                <w:rFonts w:ascii="Times New Roman" w:eastAsia="Times New Roman" w:hAnsi="Times New Roman" w:cs="Times New Roman"/>
                <w:b/>
                <w:bCs/>
                <w:i/>
                <w:iCs/>
                <w:color w:val="000000"/>
                <w:sz w:val="24"/>
                <w:szCs w:val="24"/>
                <w:lang w:val="en-GB"/>
              </w:rPr>
              <w:t xml:space="preserve"> </w:t>
            </w:r>
          </w:p>
        </w:tc>
        <w:tc>
          <w:tcPr>
            <w:tcW w:w="750" w:type="dxa"/>
            <w:gridSpan w:val="3"/>
            <w:tcBorders>
              <w:top w:val="nil"/>
              <w:left w:val="nil"/>
              <w:bottom w:val="nil"/>
              <w:right w:val="nil"/>
            </w:tcBorders>
          </w:tcPr>
          <w:p w14:paraId="66AA7B2D"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p>
        </w:tc>
        <w:tc>
          <w:tcPr>
            <w:tcW w:w="670" w:type="dxa"/>
            <w:tcBorders>
              <w:top w:val="nil"/>
              <w:left w:val="nil"/>
              <w:bottom w:val="nil"/>
              <w:right w:val="single" w:sz="8" w:space="0" w:color="4C4C4C"/>
            </w:tcBorders>
            <w:shd w:val="clear" w:color="auto" w:fill="auto"/>
            <w:vAlign w:val="center"/>
            <w:hideMark/>
          </w:tcPr>
          <w:p w14:paraId="35446349"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 xml:space="preserve">SB </w:t>
            </w:r>
          </w:p>
        </w:tc>
        <w:tc>
          <w:tcPr>
            <w:tcW w:w="1253" w:type="dxa"/>
            <w:gridSpan w:val="2"/>
            <w:tcBorders>
              <w:top w:val="nil"/>
              <w:left w:val="nil"/>
              <w:bottom w:val="nil"/>
              <w:right w:val="nil"/>
            </w:tcBorders>
            <w:shd w:val="clear" w:color="auto" w:fill="auto"/>
            <w:vAlign w:val="center"/>
            <w:hideMark/>
          </w:tcPr>
          <w:p w14:paraId="1BA1BD9D"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Oat</w:t>
            </w:r>
          </w:p>
        </w:tc>
        <w:tc>
          <w:tcPr>
            <w:tcW w:w="960" w:type="dxa"/>
            <w:gridSpan w:val="3"/>
            <w:tcBorders>
              <w:top w:val="nil"/>
              <w:left w:val="single" w:sz="8" w:space="0" w:color="4C4C4C"/>
              <w:bottom w:val="nil"/>
              <w:right w:val="nil"/>
            </w:tcBorders>
            <w:shd w:val="clear" w:color="auto" w:fill="auto"/>
            <w:vAlign w:val="center"/>
            <w:hideMark/>
          </w:tcPr>
          <w:p w14:paraId="26F3FE90"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proofErr w:type="spellStart"/>
            <w:r w:rsidRPr="00610838">
              <w:rPr>
                <w:rFonts w:ascii="Times New Roman" w:eastAsia="Times New Roman" w:hAnsi="Times New Roman" w:cs="Times New Roman"/>
                <w:b/>
                <w:bCs/>
                <w:color w:val="000000"/>
                <w:sz w:val="24"/>
                <w:szCs w:val="24"/>
                <w:lang w:val="en-GB"/>
              </w:rPr>
              <w:t>WRa</w:t>
            </w:r>
            <w:proofErr w:type="spellEnd"/>
            <w:r w:rsidRPr="00610838">
              <w:rPr>
                <w:rFonts w:ascii="Times New Roman" w:eastAsia="Times New Roman" w:hAnsi="Times New Roman" w:cs="Times New Roman"/>
                <w:b/>
                <w:bCs/>
                <w:color w:val="000000"/>
                <w:sz w:val="24"/>
                <w:szCs w:val="24"/>
                <w:lang w:val="en-GB"/>
              </w:rPr>
              <w:t xml:space="preserve"> </w:t>
            </w:r>
          </w:p>
        </w:tc>
        <w:tc>
          <w:tcPr>
            <w:tcW w:w="960" w:type="dxa"/>
            <w:gridSpan w:val="2"/>
            <w:tcBorders>
              <w:top w:val="nil"/>
              <w:left w:val="single" w:sz="8" w:space="0" w:color="4C4C4C"/>
              <w:bottom w:val="nil"/>
              <w:right w:val="single" w:sz="8" w:space="0" w:color="4C4C4C"/>
            </w:tcBorders>
            <w:shd w:val="clear" w:color="auto" w:fill="auto"/>
            <w:vAlign w:val="center"/>
            <w:hideMark/>
          </w:tcPr>
          <w:p w14:paraId="79799B92"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WR</w:t>
            </w:r>
          </w:p>
        </w:tc>
        <w:tc>
          <w:tcPr>
            <w:tcW w:w="960" w:type="dxa"/>
            <w:tcBorders>
              <w:top w:val="nil"/>
              <w:left w:val="nil"/>
              <w:bottom w:val="nil"/>
              <w:right w:val="single" w:sz="8" w:space="0" w:color="4C4C4C"/>
            </w:tcBorders>
            <w:shd w:val="clear" w:color="auto" w:fill="auto"/>
            <w:vAlign w:val="center"/>
            <w:hideMark/>
          </w:tcPr>
          <w:p w14:paraId="49523842"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Pot</w:t>
            </w:r>
          </w:p>
        </w:tc>
        <w:tc>
          <w:tcPr>
            <w:tcW w:w="960" w:type="dxa"/>
            <w:tcBorders>
              <w:top w:val="nil"/>
              <w:left w:val="nil"/>
              <w:bottom w:val="nil"/>
              <w:right w:val="single" w:sz="8" w:space="0" w:color="4C4C4C"/>
            </w:tcBorders>
            <w:shd w:val="clear" w:color="auto" w:fill="auto"/>
            <w:vAlign w:val="center"/>
            <w:hideMark/>
          </w:tcPr>
          <w:p w14:paraId="72451E81"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AB</w:t>
            </w:r>
          </w:p>
        </w:tc>
        <w:tc>
          <w:tcPr>
            <w:tcW w:w="960" w:type="dxa"/>
            <w:tcBorders>
              <w:top w:val="nil"/>
              <w:left w:val="nil"/>
              <w:bottom w:val="single" w:sz="8" w:space="0" w:color="4C4C4C"/>
              <w:right w:val="single" w:sz="12" w:space="0" w:color="4C4C4C"/>
            </w:tcBorders>
            <w:shd w:val="clear" w:color="auto" w:fill="auto"/>
            <w:vAlign w:val="center"/>
            <w:hideMark/>
          </w:tcPr>
          <w:p w14:paraId="60B03598"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 xml:space="preserve">WW </w:t>
            </w:r>
          </w:p>
        </w:tc>
      </w:tr>
      <w:tr w:rsidR="00127896" w:rsidRPr="00610838" w14:paraId="2A89BA50" w14:textId="77777777" w:rsidTr="00127896">
        <w:trPr>
          <w:gridBefore w:val="3"/>
          <w:gridAfter w:val="7"/>
          <w:wBefore w:w="657" w:type="dxa"/>
          <w:wAfter w:w="11781" w:type="dxa"/>
          <w:trHeight w:val="315"/>
        </w:trPr>
        <w:tc>
          <w:tcPr>
            <w:tcW w:w="2992" w:type="dxa"/>
            <w:gridSpan w:val="7"/>
            <w:tcBorders>
              <w:top w:val="single" w:sz="8" w:space="0" w:color="4C4C4C"/>
              <w:left w:val="single" w:sz="12" w:space="0" w:color="4C4C4C"/>
              <w:bottom w:val="single" w:sz="8" w:space="0" w:color="4C4C4C"/>
              <w:right w:val="single" w:sz="12" w:space="0" w:color="4C4C4C"/>
            </w:tcBorders>
            <w:shd w:val="clear" w:color="auto" w:fill="auto"/>
            <w:vAlign w:val="center"/>
            <w:hideMark/>
          </w:tcPr>
          <w:p w14:paraId="506F07F2" w14:textId="77777777" w:rsidR="00127896" w:rsidRPr="00610838" w:rsidRDefault="00127896" w:rsidP="00127896">
            <w:pPr>
              <w:spacing w:after="0" w:line="240" w:lineRule="auto"/>
              <w:jc w:val="center"/>
              <w:rPr>
                <w:rFonts w:ascii="Times New Roman" w:eastAsia="Times New Roman" w:hAnsi="Times New Roman" w:cs="Times New Roman"/>
                <w:color w:val="000000"/>
                <w:lang w:val="en-GB"/>
              </w:rPr>
            </w:pPr>
            <w:r w:rsidRPr="00610838">
              <w:rPr>
                <w:rFonts w:ascii="Times New Roman" w:eastAsia="Times New Roman" w:hAnsi="Times New Roman" w:cs="Times New Roman"/>
                <w:color w:val="000000"/>
                <w:lang w:val="en-GB"/>
              </w:rPr>
              <w:t>9 m border</w:t>
            </w:r>
          </w:p>
        </w:tc>
        <w:tc>
          <w:tcPr>
            <w:tcW w:w="750" w:type="dxa"/>
            <w:gridSpan w:val="3"/>
            <w:tcBorders>
              <w:top w:val="single" w:sz="8" w:space="0" w:color="4C4C4C"/>
              <w:left w:val="nil"/>
              <w:bottom w:val="single" w:sz="8" w:space="0" w:color="4C4C4C"/>
              <w:right w:val="nil"/>
            </w:tcBorders>
          </w:tcPr>
          <w:p w14:paraId="4E909FE9" w14:textId="77777777" w:rsidR="00127896" w:rsidRPr="00610838" w:rsidRDefault="00127896" w:rsidP="00127896">
            <w:pPr>
              <w:spacing w:after="0" w:line="240" w:lineRule="auto"/>
              <w:jc w:val="center"/>
              <w:rPr>
                <w:rFonts w:ascii="Times New Roman" w:eastAsia="Times New Roman" w:hAnsi="Times New Roman" w:cs="Times New Roman"/>
                <w:color w:val="000000"/>
                <w:sz w:val="20"/>
                <w:szCs w:val="20"/>
                <w:lang w:val="en-GB"/>
              </w:rPr>
            </w:pPr>
          </w:p>
        </w:tc>
        <w:tc>
          <w:tcPr>
            <w:tcW w:w="6723" w:type="dxa"/>
            <w:gridSpan w:val="11"/>
            <w:tcBorders>
              <w:top w:val="single" w:sz="8" w:space="0" w:color="4C4C4C"/>
              <w:left w:val="nil"/>
              <w:bottom w:val="single" w:sz="8" w:space="0" w:color="4C4C4C"/>
              <w:right w:val="single" w:sz="12" w:space="0" w:color="4C4C4C"/>
            </w:tcBorders>
            <w:shd w:val="clear" w:color="auto" w:fill="auto"/>
            <w:vAlign w:val="center"/>
            <w:hideMark/>
          </w:tcPr>
          <w:p w14:paraId="1D53950C" w14:textId="77777777" w:rsidR="00127896" w:rsidRPr="00610838" w:rsidRDefault="00127896" w:rsidP="00127896">
            <w:pPr>
              <w:spacing w:after="0" w:line="240" w:lineRule="auto"/>
              <w:jc w:val="center"/>
              <w:rPr>
                <w:rFonts w:ascii="Times New Roman" w:eastAsia="Times New Roman" w:hAnsi="Times New Roman" w:cs="Times New Roman"/>
                <w:color w:val="000000"/>
                <w:sz w:val="20"/>
                <w:szCs w:val="20"/>
                <w:lang w:val="en-GB"/>
              </w:rPr>
            </w:pPr>
            <w:r w:rsidRPr="00610838">
              <w:rPr>
                <w:rFonts w:ascii="Times New Roman" w:eastAsia="Times New Roman" w:hAnsi="Times New Roman" w:cs="Times New Roman"/>
                <w:color w:val="000000"/>
                <w:sz w:val="20"/>
                <w:szCs w:val="20"/>
                <w:lang w:val="en-GB"/>
              </w:rPr>
              <w:t>9 m border</w:t>
            </w:r>
          </w:p>
        </w:tc>
      </w:tr>
      <w:tr w:rsidR="00127896" w:rsidRPr="00610838" w14:paraId="6FECABAD" w14:textId="77777777" w:rsidTr="00127896">
        <w:trPr>
          <w:gridBefore w:val="3"/>
          <w:gridAfter w:val="7"/>
          <w:wBefore w:w="657" w:type="dxa"/>
          <w:wAfter w:w="11781" w:type="dxa"/>
          <w:trHeight w:val="330"/>
        </w:trPr>
        <w:tc>
          <w:tcPr>
            <w:tcW w:w="1076" w:type="dxa"/>
            <w:gridSpan w:val="3"/>
            <w:tcBorders>
              <w:top w:val="nil"/>
              <w:left w:val="single" w:sz="12" w:space="0" w:color="4C4C4C"/>
              <w:bottom w:val="nil"/>
              <w:right w:val="single" w:sz="8" w:space="0" w:color="4C4C4C"/>
            </w:tcBorders>
            <w:shd w:val="clear" w:color="auto" w:fill="auto"/>
            <w:vAlign w:val="center"/>
            <w:hideMark/>
          </w:tcPr>
          <w:p w14:paraId="00BD5773"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proofErr w:type="spellStart"/>
            <w:r w:rsidRPr="00610838">
              <w:rPr>
                <w:rFonts w:ascii="Times New Roman" w:eastAsia="Times New Roman" w:hAnsi="Times New Roman" w:cs="Times New Roman"/>
                <w:b/>
                <w:bCs/>
                <w:color w:val="000000"/>
                <w:sz w:val="24"/>
                <w:szCs w:val="24"/>
                <w:lang w:val="en-GB"/>
              </w:rPr>
              <w:t>WRa</w:t>
            </w:r>
            <w:proofErr w:type="spellEnd"/>
            <w:r w:rsidRPr="00610838">
              <w:rPr>
                <w:rFonts w:ascii="Times New Roman" w:eastAsia="Times New Roman" w:hAnsi="Times New Roman" w:cs="Times New Roman"/>
                <w:b/>
                <w:bCs/>
                <w:color w:val="000000"/>
                <w:sz w:val="24"/>
                <w:szCs w:val="24"/>
                <w:lang w:val="en-GB"/>
              </w:rPr>
              <w:t xml:space="preserve"> </w:t>
            </w:r>
          </w:p>
        </w:tc>
        <w:tc>
          <w:tcPr>
            <w:tcW w:w="958" w:type="dxa"/>
            <w:gridSpan w:val="2"/>
            <w:tcBorders>
              <w:top w:val="nil"/>
              <w:left w:val="nil"/>
              <w:bottom w:val="nil"/>
              <w:right w:val="single" w:sz="8" w:space="0" w:color="4C4C4C"/>
            </w:tcBorders>
            <w:shd w:val="clear" w:color="auto" w:fill="auto"/>
            <w:vAlign w:val="center"/>
            <w:hideMark/>
          </w:tcPr>
          <w:p w14:paraId="7AD075B8"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 xml:space="preserve">WW </w:t>
            </w:r>
          </w:p>
        </w:tc>
        <w:tc>
          <w:tcPr>
            <w:tcW w:w="958" w:type="dxa"/>
            <w:gridSpan w:val="2"/>
            <w:tcBorders>
              <w:top w:val="nil"/>
              <w:left w:val="nil"/>
              <w:bottom w:val="nil"/>
              <w:right w:val="single" w:sz="12" w:space="0" w:color="4C4C4C"/>
            </w:tcBorders>
            <w:shd w:val="clear" w:color="auto" w:fill="auto"/>
            <w:vAlign w:val="center"/>
            <w:hideMark/>
          </w:tcPr>
          <w:p w14:paraId="2A4114B9"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 xml:space="preserve">SB                                                                  </w:t>
            </w:r>
          </w:p>
        </w:tc>
        <w:tc>
          <w:tcPr>
            <w:tcW w:w="750" w:type="dxa"/>
            <w:gridSpan w:val="3"/>
            <w:tcBorders>
              <w:top w:val="nil"/>
              <w:left w:val="nil"/>
              <w:bottom w:val="nil"/>
              <w:right w:val="nil"/>
            </w:tcBorders>
          </w:tcPr>
          <w:p w14:paraId="1DC4CC69"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p>
        </w:tc>
        <w:tc>
          <w:tcPr>
            <w:tcW w:w="670" w:type="dxa"/>
            <w:tcBorders>
              <w:top w:val="nil"/>
              <w:left w:val="nil"/>
              <w:bottom w:val="nil"/>
              <w:right w:val="single" w:sz="8" w:space="0" w:color="4C4C4C"/>
            </w:tcBorders>
            <w:shd w:val="clear" w:color="auto" w:fill="auto"/>
            <w:vAlign w:val="center"/>
            <w:hideMark/>
          </w:tcPr>
          <w:p w14:paraId="21E28B66"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Pot</w:t>
            </w:r>
          </w:p>
        </w:tc>
        <w:tc>
          <w:tcPr>
            <w:tcW w:w="1253" w:type="dxa"/>
            <w:gridSpan w:val="2"/>
            <w:tcBorders>
              <w:top w:val="nil"/>
              <w:left w:val="nil"/>
              <w:bottom w:val="nil"/>
              <w:right w:val="single" w:sz="8" w:space="0" w:color="4C4C4C"/>
            </w:tcBorders>
            <w:shd w:val="clear" w:color="auto" w:fill="auto"/>
            <w:vAlign w:val="center"/>
            <w:hideMark/>
          </w:tcPr>
          <w:p w14:paraId="0B0A84D3"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AB</w:t>
            </w:r>
          </w:p>
        </w:tc>
        <w:tc>
          <w:tcPr>
            <w:tcW w:w="960" w:type="dxa"/>
            <w:gridSpan w:val="3"/>
            <w:tcBorders>
              <w:top w:val="nil"/>
              <w:left w:val="nil"/>
              <w:bottom w:val="nil"/>
              <w:right w:val="single" w:sz="8" w:space="0" w:color="4C4C4C"/>
            </w:tcBorders>
            <w:shd w:val="clear" w:color="auto" w:fill="auto"/>
            <w:vAlign w:val="center"/>
            <w:hideMark/>
          </w:tcPr>
          <w:p w14:paraId="2D96520B"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WR</w:t>
            </w:r>
          </w:p>
        </w:tc>
        <w:tc>
          <w:tcPr>
            <w:tcW w:w="960" w:type="dxa"/>
            <w:gridSpan w:val="2"/>
            <w:tcBorders>
              <w:top w:val="nil"/>
              <w:left w:val="nil"/>
              <w:bottom w:val="nil"/>
              <w:right w:val="single" w:sz="8" w:space="0" w:color="4C4C4C"/>
            </w:tcBorders>
            <w:shd w:val="clear" w:color="auto" w:fill="auto"/>
            <w:vAlign w:val="center"/>
            <w:hideMark/>
          </w:tcPr>
          <w:p w14:paraId="7AD63D18" w14:textId="77777777" w:rsidR="00127896" w:rsidRPr="00610838" w:rsidRDefault="00127896" w:rsidP="00127896">
            <w:pPr>
              <w:spacing w:after="0" w:line="240" w:lineRule="auto"/>
              <w:jc w:val="center"/>
              <w:rPr>
                <w:rFonts w:ascii="Times New Roman" w:eastAsia="Times New Roman" w:hAnsi="Times New Roman" w:cs="Times New Roman"/>
                <w:b/>
                <w:bCs/>
                <w:i/>
                <w:iCs/>
                <w:color w:val="4472C4"/>
                <w:sz w:val="24"/>
                <w:szCs w:val="24"/>
                <w:lang w:val="en-GB"/>
              </w:rPr>
            </w:pPr>
            <w:r w:rsidRPr="00610838">
              <w:rPr>
                <w:rFonts w:ascii="Times New Roman" w:eastAsia="Times New Roman" w:hAnsi="Times New Roman" w:cs="Times New Roman"/>
                <w:b/>
                <w:bCs/>
                <w:i/>
                <w:iCs/>
                <w:color w:val="4472C4"/>
                <w:sz w:val="24"/>
                <w:szCs w:val="24"/>
                <w:lang w:val="en-GB"/>
              </w:rPr>
              <w:t>SB P1</w:t>
            </w:r>
          </w:p>
        </w:tc>
        <w:tc>
          <w:tcPr>
            <w:tcW w:w="960" w:type="dxa"/>
            <w:tcBorders>
              <w:top w:val="nil"/>
              <w:left w:val="nil"/>
              <w:bottom w:val="nil"/>
              <w:right w:val="single" w:sz="8" w:space="0" w:color="4C4C4C"/>
            </w:tcBorders>
            <w:shd w:val="clear" w:color="auto" w:fill="auto"/>
            <w:vAlign w:val="center"/>
            <w:hideMark/>
          </w:tcPr>
          <w:p w14:paraId="07F2BE67"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proofErr w:type="spellStart"/>
            <w:r w:rsidRPr="00610838">
              <w:rPr>
                <w:rFonts w:ascii="Times New Roman" w:eastAsia="Times New Roman" w:hAnsi="Times New Roman" w:cs="Times New Roman"/>
                <w:b/>
                <w:bCs/>
                <w:color w:val="000000"/>
                <w:sz w:val="24"/>
                <w:szCs w:val="24"/>
                <w:lang w:val="en-GB"/>
              </w:rPr>
              <w:t>WRa</w:t>
            </w:r>
            <w:proofErr w:type="spellEnd"/>
            <w:r w:rsidRPr="00610838">
              <w:rPr>
                <w:rFonts w:ascii="Times New Roman" w:eastAsia="Times New Roman" w:hAnsi="Times New Roman" w:cs="Times New Roman"/>
                <w:b/>
                <w:bCs/>
                <w:color w:val="000000"/>
                <w:sz w:val="24"/>
                <w:szCs w:val="24"/>
                <w:lang w:val="en-GB"/>
              </w:rPr>
              <w:t xml:space="preserve"> </w:t>
            </w:r>
          </w:p>
        </w:tc>
        <w:tc>
          <w:tcPr>
            <w:tcW w:w="960" w:type="dxa"/>
            <w:tcBorders>
              <w:top w:val="nil"/>
              <w:left w:val="nil"/>
              <w:bottom w:val="nil"/>
              <w:right w:val="single" w:sz="8" w:space="0" w:color="4C4C4C"/>
            </w:tcBorders>
            <w:shd w:val="clear" w:color="auto" w:fill="auto"/>
            <w:vAlign w:val="center"/>
            <w:hideMark/>
          </w:tcPr>
          <w:p w14:paraId="067F327D"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 xml:space="preserve">WW </w:t>
            </w:r>
          </w:p>
        </w:tc>
        <w:tc>
          <w:tcPr>
            <w:tcW w:w="960" w:type="dxa"/>
            <w:tcBorders>
              <w:top w:val="nil"/>
              <w:left w:val="nil"/>
              <w:bottom w:val="single" w:sz="8" w:space="0" w:color="4C4C4C"/>
              <w:right w:val="single" w:sz="12" w:space="0" w:color="4C4C4C"/>
            </w:tcBorders>
            <w:shd w:val="clear" w:color="auto" w:fill="auto"/>
            <w:vAlign w:val="center"/>
            <w:hideMark/>
          </w:tcPr>
          <w:p w14:paraId="58C09A4F" w14:textId="77777777" w:rsidR="00127896" w:rsidRPr="00610838" w:rsidRDefault="00127896" w:rsidP="00127896">
            <w:pPr>
              <w:spacing w:after="0" w:line="240" w:lineRule="auto"/>
              <w:jc w:val="center"/>
              <w:rPr>
                <w:rFonts w:ascii="Times New Roman" w:eastAsia="Times New Roman" w:hAnsi="Times New Roman" w:cs="Times New Roman"/>
                <w:b/>
                <w:bCs/>
                <w:color w:val="000000"/>
                <w:sz w:val="24"/>
                <w:szCs w:val="24"/>
                <w:lang w:val="en-GB"/>
              </w:rPr>
            </w:pPr>
            <w:r w:rsidRPr="00610838">
              <w:rPr>
                <w:rFonts w:ascii="Times New Roman" w:eastAsia="Times New Roman" w:hAnsi="Times New Roman" w:cs="Times New Roman"/>
                <w:b/>
                <w:bCs/>
                <w:color w:val="000000"/>
                <w:sz w:val="24"/>
                <w:szCs w:val="24"/>
                <w:lang w:val="en-GB"/>
              </w:rPr>
              <w:t>Oat</w:t>
            </w:r>
          </w:p>
        </w:tc>
      </w:tr>
      <w:tr w:rsidR="00127896" w:rsidRPr="00610838" w14:paraId="64D12A87" w14:textId="77777777" w:rsidTr="00127896">
        <w:trPr>
          <w:gridBefore w:val="3"/>
          <w:gridAfter w:val="7"/>
          <w:wBefore w:w="657" w:type="dxa"/>
          <w:wAfter w:w="11781" w:type="dxa"/>
          <w:trHeight w:val="315"/>
        </w:trPr>
        <w:tc>
          <w:tcPr>
            <w:tcW w:w="2992" w:type="dxa"/>
            <w:gridSpan w:val="7"/>
            <w:tcBorders>
              <w:top w:val="single" w:sz="8" w:space="0" w:color="4C4C4C"/>
              <w:left w:val="single" w:sz="12" w:space="0" w:color="4C4C4C"/>
              <w:bottom w:val="single" w:sz="8" w:space="0" w:color="4C4C4C"/>
              <w:right w:val="single" w:sz="12" w:space="0" w:color="4C4C4C"/>
            </w:tcBorders>
            <w:shd w:val="clear" w:color="auto" w:fill="auto"/>
            <w:vAlign w:val="center"/>
            <w:hideMark/>
          </w:tcPr>
          <w:p w14:paraId="65830A06" w14:textId="77777777" w:rsidR="00127896" w:rsidRPr="00610838" w:rsidRDefault="00127896" w:rsidP="00127896">
            <w:pPr>
              <w:spacing w:after="0" w:line="240" w:lineRule="auto"/>
              <w:jc w:val="center"/>
              <w:rPr>
                <w:rFonts w:ascii="Times New Roman" w:eastAsia="Times New Roman" w:hAnsi="Times New Roman" w:cs="Times New Roman"/>
                <w:color w:val="000000"/>
                <w:lang w:val="en-GB"/>
              </w:rPr>
            </w:pPr>
            <w:r w:rsidRPr="00610838">
              <w:rPr>
                <w:rFonts w:ascii="Times New Roman" w:eastAsia="Times New Roman" w:hAnsi="Times New Roman" w:cs="Times New Roman"/>
                <w:color w:val="000000"/>
                <w:lang w:val="en-GB"/>
              </w:rPr>
              <w:t>3 m border</w:t>
            </w:r>
          </w:p>
        </w:tc>
        <w:tc>
          <w:tcPr>
            <w:tcW w:w="750" w:type="dxa"/>
            <w:gridSpan w:val="3"/>
            <w:tcBorders>
              <w:top w:val="single" w:sz="8" w:space="0" w:color="4C4C4C"/>
              <w:left w:val="nil"/>
              <w:bottom w:val="single" w:sz="8" w:space="0" w:color="4C4C4C"/>
              <w:right w:val="nil"/>
            </w:tcBorders>
          </w:tcPr>
          <w:p w14:paraId="6F2483E2" w14:textId="77777777" w:rsidR="00127896" w:rsidRPr="00610838" w:rsidRDefault="00127896" w:rsidP="00127896">
            <w:pPr>
              <w:spacing w:after="0" w:line="240" w:lineRule="auto"/>
              <w:jc w:val="center"/>
              <w:rPr>
                <w:rFonts w:ascii="Times New Roman" w:eastAsia="Times New Roman" w:hAnsi="Times New Roman" w:cs="Times New Roman"/>
                <w:color w:val="000000"/>
                <w:lang w:val="en-GB"/>
              </w:rPr>
            </w:pPr>
          </w:p>
        </w:tc>
        <w:tc>
          <w:tcPr>
            <w:tcW w:w="6723" w:type="dxa"/>
            <w:gridSpan w:val="11"/>
            <w:tcBorders>
              <w:top w:val="single" w:sz="8" w:space="0" w:color="4C4C4C"/>
              <w:left w:val="nil"/>
              <w:bottom w:val="single" w:sz="8" w:space="0" w:color="4C4C4C"/>
              <w:right w:val="single" w:sz="12" w:space="0" w:color="4C4C4C"/>
            </w:tcBorders>
            <w:shd w:val="clear" w:color="auto" w:fill="auto"/>
            <w:vAlign w:val="center"/>
            <w:hideMark/>
          </w:tcPr>
          <w:p w14:paraId="66E47108" w14:textId="77777777" w:rsidR="00127896" w:rsidRPr="00610838" w:rsidRDefault="00127896" w:rsidP="00127896">
            <w:pPr>
              <w:spacing w:after="0" w:line="240" w:lineRule="auto"/>
              <w:jc w:val="center"/>
              <w:rPr>
                <w:rFonts w:ascii="Times New Roman" w:eastAsia="Times New Roman" w:hAnsi="Times New Roman" w:cs="Times New Roman"/>
                <w:color w:val="000000"/>
                <w:lang w:val="en-GB"/>
              </w:rPr>
            </w:pPr>
            <w:r w:rsidRPr="00610838">
              <w:rPr>
                <w:rFonts w:ascii="Times New Roman" w:eastAsia="Times New Roman" w:hAnsi="Times New Roman" w:cs="Times New Roman"/>
                <w:color w:val="000000"/>
                <w:lang w:val="en-GB"/>
              </w:rPr>
              <w:t>3 m border</w:t>
            </w:r>
          </w:p>
        </w:tc>
      </w:tr>
      <w:tr w:rsidR="00127896" w:rsidRPr="00610838" w14:paraId="76DDF81C" w14:textId="77777777" w:rsidTr="00127896">
        <w:trPr>
          <w:gridBefore w:val="3"/>
          <w:gridAfter w:val="7"/>
          <w:wBefore w:w="657" w:type="dxa"/>
          <w:wAfter w:w="11781" w:type="dxa"/>
          <w:trHeight w:val="300"/>
        </w:trPr>
        <w:tc>
          <w:tcPr>
            <w:tcW w:w="1076" w:type="dxa"/>
            <w:gridSpan w:val="3"/>
            <w:tcBorders>
              <w:top w:val="nil"/>
              <w:left w:val="nil"/>
              <w:bottom w:val="nil"/>
              <w:right w:val="nil"/>
            </w:tcBorders>
            <w:shd w:val="clear" w:color="auto" w:fill="auto"/>
            <w:vAlign w:val="center"/>
            <w:hideMark/>
          </w:tcPr>
          <w:p w14:paraId="47596917"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58" w:type="dxa"/>
            <w:gridSpan w:val="2"/>
            <w:tcBorders>
              <w:top w:val="nil"/>
              <w:left w:val="nil"/>
              <w:bottom w:val="nil"/>
              <w:right w:val="nil"/>
            </w:tcBorders>
            <w:shd w:val="clear" w:color="auto" w:fill="auto"/>
            <w:vAlign w:val="center"/>
            <w:hideMark/>
          </w:tcPr>
          <w:p w14:paraId="4C216E59"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58" w:type="dxa"/>
            <w:gridSpan w:val="2"/>
            <w:tcBorders>
              <w:top w:val="nil"/>
              <w:left w:val="nil"/>
              <w:bottom w:val="nil"/>
              <w:right w:val="nil"/>
            </w:tcBorders>
            <w:shd w:val="clear" w:color="auto" w:fill="auto"/>
            <w:vAlign w:val="center"/>
            <w:hideMark/>
          </w:tcPr>
          <w:p w14:paraId="399321C0" w14:textId="77777777" w:rsidR="00127896" w:rsidRPr="00610838" w:rsidRDefault="00127896" w:rsidP="00127896">
            <w:pPr>
              <w:spacing w:after="0" w:line="240" w:lineRule="auto"/>
              <w:jc w:val="center"/>
              <w:rPr>
                <w:rFonts w:ascii="Times New Roman" w:eastAsia="Times New Roman" w:hAnsi="Times New Roman" w:cs="Times New Roman"/>
                <w:sz w:val="20"/>
                <w:szCs w:val="20"/>
                <w:lang w:val="en-GB"/>
              </w:rPr>
            </w:pPr>
          </w:p>
        </w:tc>
        <w:tc>
          <w:tcPr>
            <w:tcW w:w="750" w:type="dxa"/>
            <w:gridSpan w:val="3"/>
            <w:tcBorders>
              <w:top w:val="nil"/>
              <w:left w:val="nil"/>
              <w:bottom w:val="nil"/>
              <w:right w:val="nil"/>
            </w:tcBorders>
          </w:tcPr>
          <w:p w14:paraId="5C829F49"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670" w:type="dxa"/>
            <w:tcBorders>
              <w:top w:val="nil"/>
              <w:left w:val="nil"/>
              <w:bottom w:val="nil"/>
              <w:right w:val="nil"/>
            </w:tcBorders>
            <w:shd w:val="clear" w:color="auto" w:fill="auto"/>
            <w:vAlign w:val="center"/>
            <w:hideMark/>
          </w:tcPr>
          <w:p w14:paraId="1A2599E0"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1253" w:type="dxa"/>
            <w:gridSpan w:val="2"/>
            <w:tcBorders>
              <w:top w:val="nil"/>
              <w:left w:val="nil"/>
              <w:bottom w:val="nil"/>
              <w:right w:val="nil"/>
            </w:tcBorders>
            <w:shd w:val="clear" w:color="auto" w:fill="auto"/>
            <w:vAlign w:val="center"/>
            <w:hideMark/>
          </w:tcPr>
          <w:p w14:paraId="2F8CDE7F"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60" w:type="dxa"/>
            <w:gridSpan w:val="3"/>
            <w:tcBorders>
              <w:top w:val="nil"/>
              <w:left w:val="nil"/>
              <w:bottom w:val="nil"/>
              <w:right w:val="nil"/>
            </w:tcBorders>
            <w:shd w:val="clear" w:color="auto" w:fill="auto"/>
            <w:vAlign w:val="center"/>
            <w:hideMark/>
          </w:tcPr>
          <w:p w14:paraId="4A4089D9"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60" w:type="dxa"/>
            <w:gridSpan w:val="2"/>
            <w:tcBorders>
              <w:top w:val="nil"/>
              <w:left w:val="nil"/>
              <w:bottom w:val="nil"/>
              <w:right w:val="nil"/>
            </w:tcBorders>
            <w:shd w:val="clear" w:color="auto" w:fill="auto"/>
            <w:vAlign w:val="center"/>
            <w:hideMark/>
          </w:tcPr>
          <w:p w14:paraId="28F53043"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60" w:type="dxa"/>
            <w:tcBorders>
              <w:top w:val="nil"/>
              <w:left w:val="nil"/>
              <w:bottom w:val="nil"/>
              <w:right w:val="nil"/>
            </w:tcBorders>
            <w:shd w:val="clear" w:color="auto" w:fill="auto"/>
            <w:vAlign w:val="center"/>
            <w:hideMark/>
          </w:tcPr>
          <w:p w14:paraId="6149396E"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60" w:type="dxa"/>
            <w:tcBorders>
              <w:top w:val="nil"/>
              <w:left w:val="nil"/>
              <w:bottom w:val="nil"/>
              <w:right w:val="nil"/>
            </w:tcBorders>
            <w:shd w:val="clear" w:color="auto" w:fill="auto"/>
            <w:vAlign w:val="center"/>
            <w:hideMark/>
          </w:tcPr>
          <w:p w14:paraId="512D088D"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60" w:type="dxa"/>
            <w:tcBorders>
              <w:top w:val="nil"/>
              <w:left w:val="single" w:sz="8" w:space="0" w:color="4C4C4C"/>
              <w:bottom w:val="nil"/>
              <w:right w:val="single" w:sz="8" w:space="0" w:color="4C4C4C"/>
            </w:tcBorders>
            <w:shd w:val="clear" w:color="auto" w:fill="auto"/>
            <w:vAlign w:val="center"/>
            <w:hideMark/>
          </w:tcPr>
          <w:p w14:paraId="47ADF006" w14:textId="77777777" w:rsidR="00127896" w:rsidRPr="00610838" w:rsidRDefault="00127896" w:rsidP="00127896">
            <w:pPr>
              <w:spacing w:after="0" w:line="240" w:lineRule="auto"/>
              <w:jc w:val="center"/>
              <w:rPr>
                <w:rFonts w:ascii="Times New Roman" w:eastAsia="Times New Roman" w:hAnsi="Times New Roman" w:cs="Times New Roman"/>
                <w:color w:val="000000"/>
                <w:sz w:val="20"/>
                <w:szCs w:val="20"/>
                <w:lang w:val="en-GB"/>
              </w:rPr>
            </w:pPr>
            <w:r w:rsidRPr="00610838">
              <w:rPr>
                <w:rFonts w:ascii="Times New Roman" w:eastAsia="Times New Roman" w:hAnsi="Times New Roman" w:cs="Times New Roman"/>
                <w:color w:val="000000"/>
                <w:sz w:val="20"/>
                <w:szCs w:val="20"/>
                <w:lang w:val="en-GB"/>
              </w:rPr>
              <w:t xml:space="preserve">9 m </w:t>
            </w:r>
          </w:p>
        </w:tc>
      </w:tr>
      <w:tr w:rsidR="00127896" w:rsidRPr="00610838" w14:paraId="6F89C1E3" w14:textId="77777777" w:rsidTr="00127896">
        <w:trPr>
          <w:gridBefore w:val="3"/>
          <w:gridAfter w:val="7"/>
          <w:wBefore w:w="657" w:type="dxa"/>
          <w:wAfter w:w="11781" w:type="dxa"/>
          <w:trHeight w:val="300"/>
        </w:trPr>
        <w:tc>
          <w:tcPr>
            <w:tcW w:w="1076" w:type="dxa"/>
            <w:gridSpan w:val="3"/>
            <w:tcBorders>
              <w:top w:val="nil"/>
              <w:left w:val="nil"/>
              <w:bottom w:val="nil"/>
              <w:right w:val="nil"/>
            </w:tcBorders>
            <w:shd w:val="clear" w:color="auto" w:fill="auto"/>
            <w:vAlign w:val="center"/>
            <w:hideMark/>
          </w:tcPr>
          <w:p w14:paraId="3C843386"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58" w:type="dxa"/>
            <w:gridSpan w:val="2"/>
            <w:tcBorders>
              <w:top w:val="nil"/>
              <w:left w:val="nil"/>
              <w:bottom w:val="nil"/>
              <w:right w:val="nil"/>
            </w:tcBorders>
            <w:shd w:val="clear" w:color="auto" w:fill="auto"/>
            <w:vAlign w:val="center"/>
            <w:hideMark/>
          </w:tcPr>
          <w:p w14:paraId="36B95E24"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58" w:type="dxa"/>
            <w:gridSpan w:val="2"/>
            <w:tcBorders>
              <w:top w:val="nil"/>
              <w:left w:val="nil"/>
              <w:bottom w:val="nil"/>
              <w:right w:val="nil"/>
            </w:tcBorders>
            <w:shd w:val="clear" w:color="auto" w:fill="auto"/>
            <w:vAlign w:val="center"/>
            <w:hideMark/>
          </w:tcPr>
          <w:p w14:paraId="005D6958"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750" w:type="dxa"/>
            <w:gridSpan w:val="3"/>
            <w:tcBorders>
              <w:top w:val="nil"/>
              <w:left w:val="nil"/>
              <w:bottom w:val="nil"/>
              <w:right w:val="nil"/>
            </w:tcBorders>
          </w:tcPr>
          <w:p w14:paraId="1A9EF56A"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670" w:type="dxa"/>
            <w:tcBorders>
              <w:top w:val="nil"/>
              <w:left w:val="nil"/>
              <w:bottom w:val="nil"/>
              <w:right w:val="nil"/>
            </w:tcBorders>
            <w:shd w:val="clear" w:color="auto" w:fill="auto"/>
            <w:vAlign w:val="center"/>
            <w:hideMark/>
          </w:tcPr>
          <w:p w14:paraId="5F39AFEF"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1253" w:type="dxa"/>
            <w:gridSpan w:val="2"/>
            <w:tcBorders>
              <w:top w:val="nil"/>
              <w:left w:val="nil"/>
              <w:bottom w:val="nil"/>
              <w:right w:val="nil"/>
            </w:tcBorders>
            <w:shd w:val="clear" w:color="auto" w:fill="auto"/>
            <w:vAlign w:val="center"/>
            <w:hideMark/>
          </w:tcPr>
          <w:p w14:paraId="431F5685"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60" w:type="dxa"/>
            <w:gridSpan w:val="3"/>
            <w:tcBorders>
              <w:top w:val="nil"/>
              <w:left w:val="nil"/>
              <w:bottom w:val="nil"/>
              <w:right w:val="nil"/>
            </w:tcBorders>
            <w:shd w:val="clear" w:color="auto" w:fill="auto"/>
            <w:vAlign w:val="center"/>
            <w:hideMark/>
          </w:tcPr>
          <w:p w14:paraId="2447118C"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60" w:type="dxa"/>
            <w:gridSpan w:val="2"/>
            <w:tcBorders>
              <w:top w:val="nil"/>
              <w:left w:val="nil"/>
              <w:bottom w:val="nil"/>
              <w:right w:val="nil"/>
            </w:tcBorders>
            <w:shd w:val="clear" w:color="auto" w:fill="auto"/>
            <w:vAlign w:val="center"/>
            <w:hideMark/>
          </w:tcPr>
          <w:p w14:paraId="5578EA8B"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60" w:type="dxa"/>
            <w:tcBorders>
              <w:top w:val="nil"/>
              <w:left w:val="nil"/>
              <w:bottom w:val="nil"/>
              <w:right w:val="nil"/>
            </w:tcBorders>
            <w:shd w:val="clear" w:color="auto" w:fill="auto"/>
            <w:vAlign w:val="center"/>
            <w:hideMark/>
          </w:tcPr>
          <w:p w14:paraId="1ACAC9AA"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60" w:type="dxa"/>
            <w:tcBorders>
              <w:top w:val="nil"/>
              <w:left w:val="nil"/>
              <w:bottom w:val="nil"/>
              <w:right w:val="nil"/>
            </w:tcBorders>
            <w:shd w:val="clear" w:color="auto" w:fill="auto"/>
            <w:vAlign w:val="center"/>
            <w:hideMark/>
          </w:tcPr>
          <w:p w14:paraId="70A73933"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60" w:type="dxa"/>
            <w:tcBorders>
              <w:top w:val="nil"/>
              <w:left w:val="nil"/>
              <w:bottom w:val="nil"/>
              <w:right w:val="nil"/>
            </w:tcBorders>
            <w:shd w:val="clear" w:color="auto" w:fill="auto"/>
            <w:vAlign w:val="center"/>
            <w:hideMark/>
          </w:tcPr>
          <w:p w14:paraId="5A4A4D71"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r>
      <w:tr w:rsidR="00127896" w:rsidRPr="00610838" w14:paraId="08375009" w14:textId="77777777" w:rsidTr="00127896">
        <w:trPr>
          <w:gridBefore w:val="3"/>
          <w:gridAfter w:val="4"/>
          <w:wBefore w:w="657" w:type="dxa"/>
          <w:wAfter w:w="8901" w:type="dxa"/>
          <w:trHeight w:val="80"/>
        </w:trPr>
        <w:tc>
          <w:tcPr>
            <w:tcW w:w="1076" w:type="dxa"/>
            <w:gridSpan w:val="3"/>
            <w:tcBorders>
              <w:top w:val="nil"/>
              <w:left w:val="nil"/>
              <w:bottom w:val="nil"/>
              <w:right w:val="nil"/>
            </w:tcBorders>
            <w:shd w:val="clear" w:color="auto" w:fill="auto"/>
            <w:vAlign w:val="center"/>
            <w:hideMark/>
          </w:tcPr>
          <w:p w14:paraId="12E01981"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58" w:type="dxa"/>
            <w:gridSpan w:val="2"/>
            <w:tcBorders>
              <w:top w:val="nil"/>
              <w:left w:val="nil"/>
              <w:bottom w:val="nil"/>
              <w:right w:val="nil"/>
            </w:tcBorders>
            <w:shd w:val="clear" w:color="auto" w:fill="auto"/>
            <w:vAlign w:val="center"/>
            <w:hideMark/>
          </w:tcPr>
          <w:p w14:paraId="3A3F1D0A"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58" w:type="dxa"/>
            <w:gridSpan w:val="2"/>
            <w:tcBorders>
              <w:top w:val="nil"/>
              <w:left w:val="nil"/>
              <w:bottom w:val="nil"/>
              <w:right w:val="nil"/>
            </w:tcBorders>
            <w:shd w:val="clear" w:color="auto" w:fill="auto"/>
            <w:vAlign w:val="center"/>
            <w:hideMark/>
          </w:tcPr>
          <w:p w14:paraId="2249E4CC"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750" w:type="dxa"/>
            <w:gridSpan w:val="3"/>
            <w:tcBorders>
              <w:top w:val="nil"/>
              <w:left w:val="nil"/>
              <w:bottom w:val="nil"/>
              <w:right w:val="nil"/>
            </w:tcBorders>
          </w:tcPr>
          <w:p w14:paraId="07DB29A0"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670" w:type="dxa"/>
            <w:tcBorders>
              <w:top w:val="nil"/>
              <w:left w:val="nil"/>
              <w:bottom w:val="nil"/>
              <w:right w:val="nil"/>
            </w:tcBorders>
            <w:shd w:val="clear" w:color="auto" w:fill="auto"/>
            <w:vAlign w:val="center"/>
            <w:hideMark/>
          </w:tcPr>
          <w:p w14:paraId="7DD8857C"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1253" w:type="dxa"/>
            <w:gridSpan w:val="2"/>
            <w:tcBorders>
              <w:top w:val="nil"/>
              <w:left w:val="nil"/>
              <w:bottom w:val="nil"/>
              <w:right w:val="nil"/>
            </w:tcBorders>
            <w:shd w:val="clear" w:color="auto" w:fill="auto"/>
            <w:vAlign w:val="center"/>
            <w:hideMark/>
          </w:tcPr>
          <w:p w14:paraId="7685E63F"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60" w:type="dxa"/>
            <w:gridSpan w:val="3"/>
            <w:tcBorders>
              <w:top w:val="nil"/>
              <w:left w:val="nil"/>
              <w:bottom w:val="nil"/>
              <w:right w:val="nil"/>
            </w:tcBorders>
            <w:shd w:val="clear" w:color="auto" w:fill="auto"/>
            <w:vAlign w:val="center"/>
            <w:hideMark/>
          </w:tcPr>
          <w:p w14:paraId="09DEF700"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60" w:type="dxa"/>
            <w:gridSpan w:val="2"/>
            <w:tcBorders>
              <w:top w:val="nil"/>
              <w:left w:val="nil"/>
              <w:bottom w:val="nil"/>
              <w:right w:val="nil"/>
            </w:tcBorders>
            <w:shd w:val="clear" w:color="auto" w:fill="auto"/>
            <w:vAlign w:val="center"/>
            <w:hideMark/>
          </w:tcPr>
          <w:p w14:paraId="49B67512"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60" w:type="dxa"/>
            <w:tcBorders>
              <w:top w:val="nil"/>
              <w:left w:val="nil"/>
              <w:bottom w:val="nil"/>
              <w:right w:val="nil"/>
            </w:tcBorders>
            <w:shd w:val="clear" w:color="auto" w:fill="auto"/>
            <w:vAlign w:val="center"/>
            <w:hideMark/>
          </w:tcPr>
          <w:p w14:paraId="77B6049C"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60" w:type="dxa"/>
            <w:tcBorders>
              <w:top w:val="nil"/>
              <w:left w:val="nil"/>
              <w:bottom w:val="nil"/>
              <w:right w:val="nil"/>
            </w:tcBorders>
            <w:shd w:val="clear" w:color="auto" w:fill="auto"/>
            <w:vAlign w:val="center"/>
            <w:hideMark/>
          </w:tcPr>
          <w:p w14:paraId="1CDBC30B" w14:textId="77777777" w:rsidR="00127896" w:rsidRPr="00610838" w:rsidRDefault="00127896" w:rsidP="00127896">
            <w:pPr>
              <w:spacing w:after="0" w:line="240" w:lineRule="auto"/>
              <w:rPr>
                <w:rFonts w:ascii="Times New Roman" w:eastAsia="Times New Roman" w:hAnsi="Times New Roman" w:cs="Times New Roman"/>
                <w:sz w:val="20"/>
                <w:szCs w:val="20"/>
                <w:lang w:val="en-GB"/>
              </w:rPr>
            </w:pPr>
          </w:p>
        </w:tc>
        <w:tc>
          <w:tcPr>
            <w:tcW w:w="960" w:type="dxa"/>
            <w:tcBorders>
              <w:top w:val="nil"/>
              <w:left w:val="nil"/>
              <w:bottom w:val="single" w:sz="8" w:space="0" w:color="4C4C4C"/>
              <w:right w:val="single" w:sz="8" w:space="0" w:color="4C4C4C"/>
            </w:tcBorders>
            <w:shd w:val="clear" w:color="auto" w:fill="auto"/>
            <w:vAlign w:val="center"/>
            <w:hideMark/>
          </w:tcPr>
          <w:p w14:paraId="35D645E7" w14:textId="77777777" w:rsidR="00127896" w:rsidRPr="00610838" w:rsidRDefault="00127896" w:rsidP="00127896">
            <w:pPr>
              <w:spacing w:after="0" w:line="240" w:lineRule="auto"/>
              <w:rPr>
                <w:rFonts w:ascii="Times New Roman" w:eastAsia="Times New Roman" w:hAnsi="Times New Roman" w:cs="Times New Roman"/>
                <w:color w:val="000000"/>
                <w:sz w:val="20"/>
                <w:szCs w:val="20"/>
                <w:lang w:val="en-GB"/>
              </w:rPr>
            </w:pPr>
          </w:p>
        </w:tc>
        <w:tc>
          <w:tcPr>
            <w:tcW w:w="1935" w:type="dxa"/>
            <w:gridSpan w:val="2"/>
            <w:tcBorders>
              <w:top w:val="nil"/>
              <w:left w:val="nil"/>
              <w:bottom w:val="nil"/>
              <w:right w:val="nil"/>
            </w:tcBorders>
            <w:shd w:val="clear" w:color="auto" w:fill="auto"/>
            <w:vAlign w:val="center"/>
            <w:hideMark/>
          </w:tcPr>
          <w:p w14:paraId="78447EA3" w14:textId="77777777" w:rsidR="00127896" w:rsidRPr="00610838" w:rsidRDefault="00127896" w:rsidP="00127896">
            <w:pPr>
              <w:spacing w:after="0" w:line="240" w:lineRule="auto"/>
              <w:rPr>
                <w:rFonts w:ascii="Times New Roman" w:eastAsia="Times New Roman" w:hAnsi="Times New Roman" w:cs="Times New Roman"/>
                <w:color w:val="000000"/>
                <w:sz w:val="20"/>
                <w:szCs w:val="20"/>
                <w:lang w:val="en-GB"/>
              </w:rPr>
            </w:pPr>
            <w:r w:rsidRPr="00610838">
              <w:rPr>
                <w:rFonts w:ascii="Times New Roman" w:eastAsia="Times New Roman" w:hAnsi="Times New Roman" w:cs="Times New Roman"/>
                <w:color w:val="000000"/>
                <w:sz w:val="20"/>
                <w:szCs w:val="20"/>
                <w:lang w:val="en-GB"/>
              </w:rPr>
              <w:t> </w:t>
            </w:r>
          </w:p>
        </w:tc>
        <w:tc>
          <w:tcPr>
            <w:tcW w:w="945" w:type="dxa"/>
            <w:tcBorders>
              <w:top w:val="nil"/>
              <w:left w:val="nil"/>
              <w:bottom w:val="nil"/>
              <w:right w:val="nil"/>
            </w:tcBorders>
            <w:shd w:val="clear" w:color="auto" w:fill="auto"/>
            <w:vAlign w:val="center"/>
            <w:hideMark/>
          </w:tcPr>
          <w:p w14:paraId="76BB3D9B" w14:textId="77777777" w:rsidR="00127896" w:rsidRPr="00610838" w:rsidRDefault="00127896" w:rsidP="00127896">
            <w:pPr>
              <w:spacing w:after="0" w:line="240" w:lineRule="auto"/>
              <w:rPr>
                <w:rFonts w:ascii="Times New Roman" w:eastAsia="Times New Roman" w:hAnsi="Times New Roman" w:cs="Times New Roman"/>
                <w:color w:val="000000"/>
                <w:sz w:val="20"/>
                <w:szCs w:val="20"/>
                <w:lang w:val="en-GB"/>
              </w:rPr>
            </w:pPr>
          </w:p>
        </w:tc>
      </w:tr>
      <w:tr w:rsidR="00127896" w:rsidRPr="00610838" w14:paraId="0A890CDA" w14:textId="77777777" w:rsidTr="00127896">
        <w:trPr>
          <w:gridBefore w:val="2"/>
          <w:gridAfter w:val="6"/>
          <w:wBefore w:w="514" w:type="dxa"/>
          <w:wAfter w:w="11299" w:type="dxa"/>
          <w:trHeight w:val="270"/>
        </w:trPr>
        <w:tc>
          <w:tcPr>
            <w:tcW w:w="972" w:type="dxa"/>
            <w:gridSpan w:val="2"/>
            <w:tcBorders>
              <w:top w:val="nil"/>
              <w:left w:val="nil"/>
              <w:bottom w:val="nil"/>
              <w:right w:val="nil"/>
            </w:tcBorders>
            <w:shd w:val="clear" w:color="auto" w:fill="auto"/>
            <w:noWrap/>
            <w:vAlign w:val="bottom"/>
            <w:hideMark/>
          </w:tcPr>
          <w:p w14:paraId="4D060BF6" w14:textId="77777777" w:rsidR="00127896" w:rsidRPr="00610838" w:rsidRDefault="00127896" w:rsidP="00127896">
            <w:pPr>
              <w:spacing w:after="0"/>
              <w:rPr>
                <w:rFonts w:ascii="Times New Roman" w:eastAsia="Times New Roman" w:hAnsi="Times New Roman" w:cs="Times New Roman"/>
                <w:sz w:val="24"/>
                <w:szCs w:val="24"/>
                <w:lang w:val="en-GB"/>
              </w:rPr>
            </w:pPr>
          </w:p>
        </w:tc>
        <w:tc>
          <w:tcPr>
            <w:tcW w:w="247" w:type="dxa"/>
            <w:gridSpan w:val="2"/>
            <w:tcBorders>
              <w:top w:val="nil"/>
              <w:left w:val="nil"/>
              <w:bottom w:val="nil"/>
              <w:right w:val="nil"/>
            </w:tcBorders>
          </w:tcPr>
          <w:p w14:paraId="7C05BA06"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039" w:type="dxa"/>
            <w:gridSpan w:val="5"/>
            <w:tcBorders>
              <w:top w:val="nil"/>
              <w:left w:val="nil"/>
              <w:bottom w:val="nil"/>
              <w:right w:val="nil"/>
            </w:tcBorders>
            <w:shd w:val="clear" w:color="auto" w:fill="auto"/>
            <w:noWrap/>
            <w:vAlign w:val="bottom"/>
            <w:hideMark/>
          </w:tcPr>
          <w:p w14:paraId="02BE7A56"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7832" w:type="dxa"/>
            <w:gridSpan w:val="14"/>
            <w:tcBorders>
              <w:top w:val="nil"/>
              <w:left w:val="single" w:sz="4" w:space="0" w:color="auto"/>
              <w:bottom w:val="single" w:sz="8" w:space="0" w:color="auto"/>
              <w:right w:val="single" w:sz="4" w:space="0" w:color="000000"/>
            </w:tcBorders>
            <w:shd w:val="clear" w:color="auto" w:fill="auto"/>
            <w:noWrap/>
            <w:vAlign w:val="center"/>
            <w:hideMark/>
          </w:tcPr>
          <w:p w14:paraId="6067D5FC" w14:textId="77777777" w:rsidR="00127896" w:rsidRPr="00610838" w:rsidRDefault="00127896" w:rsidP="00127896">
            <w:pPr>
              <w:spacing w:after="0"/>
              <w:jc w:val="center"/>
              <w:rPr>
                <w:rFonts w:ascii="Times New Roman" w:eastAsia="Times New Roman" w:hAnsi="Times New Roman" w:cs="Times New Roman"/>
                <w:i/>
                <w:iCs/>
                <w:sz w:val="20"/>
                <w:szCs w:val="20"/>
                <w:lang w:val="en-GB"/>
              </w:rPr>
            </w:pPr>
            <w:r w:rsidRPr="00610838">
              <w:rPr>
                <w:rFonts w:ascii="Times New Roman" w:eastAsia="Times New Roman" w:hAnsi="Times New Roman" w:cs="Times New Roman"/>
                <w:i/>
                <w:iCs/>
                <w:sz w:val="20"/>
                <w:szCs w:val="20"/>
                <w:lang w:val="en-GB"/>
              </w:rPr>
              <w:t>Environment</w:t>
            </w:r>
          </w:p>
        </w:tc>
      </w:tr>
      <w:tr w:rsidR="00127896" w:rsidRPr="00610838" w14:paraId="2C9A6A01" w14:textId="77777777" w:rsidTr="00127896">
        <w:trPr>
          <w:gridBefore w:val="2"/>
          <w:gridAfter w:val="6"/>
          <w:wBefore w:w="514" w:type="dxa"/>
          <w:wAfter w:w="11299" w:type="dxa"/>
          <w:trHeight w:val="390"/>
        </w:trPr>
        <w:tc>
          <w:tcPr>
            <w:tcW w:w="972" w:type="dxa"/>
            <w:gridSpan w:val="2"/>
            <w:tcBorders>
              <w:top w:val="nil"/>
              <w:left w:val="nil"/>
              <w:bottom w:val="double" w:sz="6" w:space="0" w:color="auto"/>
              <w:right w:val="nil"/>
            </w:tcBorders>
            <w:shd w:val="clear" w:color="auto" w:fill="auto"/>
            <w:noWrap/>
            <w:vAlign w:val="bottom"/>
            <w:hideMark/>
          </w:tcPr>
          <w:p w14:paraId="46BECBAE" w14:textId="77777777" w:rsidR="00127896" w:rsidRPr="00610838" w:rsidRDefault="00127896" w:rsidP="00127896">
            <w:pPr>
              <w:spacing w:after="0"/>
              <w:rPr>
                <w:rFonts w:ascii="Times New Roman" w:eastAsia="Times New Roman" w:hAnsi="Times New Roman" w:cs="Times New Roman"/>
                <w:b/>
                <w:bCs/>
                <w:i/>
                <w:iCs/>
                <w:sz w:val="28"/>
                <w:szCs w:val="28"/>
                <w:lang w:val="en-GB"/>
              </w:rPr>
            </w:pPr>
            <w:r w:rsidRPr="00610838">
              <w:rPr>
                <w:rFonts w:ascii="Times New Roman" w:eastAsia="Times New Roman" w:hAnsi="Times New Roman" w:cs="Times New Roman"/>
                <w:b/>
                <w:bCs/>
                <w:i/>
                <w:iCs/>
                <w:sz w:val="28"/>
                <w:szCs w:val="28"/>
                <w:lang w:val="en-GB"/>
              </w:rPr>
              <w:t>B</w:t>
            </w:r>
          </w:p>
        </w:tc>
        <w:tc>
          <w:tcPr>
            <w:tcW w:w="247" w:type="dxa"/>
            <w:gridSpan w:val="2"/>
            <w:tcBorders>
              <w:top w:val="nil"/>
              <w:left w:val="nil"/>
              <w:bottom w:val="double" w:sz="6" w:space="0" w:color="auto"/>
              <w:right w:val="nil"/>
            </w:tcBorders>
          </w:tcPr>
          <w:p w14:paraId="2098ACCD"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039" w:type="dxa"/>
            <w:gridSpan w:val="5"/>
            <w:tcBorders>
              <w:top w:val="nil"/>
              <w:left w:val="nil"/>
              <w:bottom w:val="double" w:sz="6" w:space="0" w:color="auto"/>
              <w:right w:val="nil"/>
            </w:tcBorders>
            <w:shd w:val="clear" w:color="auto" w:fill="auto"/>
            <w:noWrap/>
            <w:vAlign w:val="bottom"/>
            <w:hideMark/>
          </w:tcPr>
          <w:p w14:paraId="1C29FF1B"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 </w:t>
            </w:r>
          </w:p>
        </w:tc>
        <w:tc>
          <w:tcPr>
            <w:tcW w:w="3402" w:type="dxa"/>
            <w:gridSpan w:val="7"/>
            <w:tcBorders>
              <w:top w:val="nil"/>
              <w:left w:val="single" w:sz="4" w:space="0" w:color="auto"/>
              <w:bottom w:val="double" w:sz="6" w:space="0" w:color="auto"/>
              <w:right w:val="nil"/>
            </w:tcBorders>
            <w:shd w:val="clear" w:color="auto" w:fill="auto"/>
            <w:noWrap/>
            <w:vAlign w:val="bottom"/>
            <w:hideMark/>
          </w:tcPr>
          <w:p w14:paraId="122C5EFE" w14:textId="77777777" w:rsidR="00127896" w:rsidRPr="00610838" w:rsidRDefault="00127896" w:rsidP="00127896">
            <w:pPr>
              <w:spacing w:after="0"/>
              <w:rPr>
                <w:rFonts w:ascii="Times New Roman" w:eastAsia="Times New Roman" w:hAnsi="Times New Roman" w:cs="Times New Roman"/>
                <w:b/>
                <w:bCs/>
                <w:sz w:val="20"/>
                <w:szCs w:val="20"/>
                <w:lang w:val="en-GB"/>
              </w:rPr>
            </w:pPr>
            <w:r w:rsidRPr="00610838">
              <w:rPr>
                <w:rFonts w:ascii="Times New Roman" w:eastAsia="Times New Roman" w:hAnsi="Times New Roman" w:cs="Times New Roman"/>
                <w:b/>
                <w:bCs/>
                <w:sz w:val="20"/>
                <w:szCs w:val="20"/>
                <w:lang w:val="en-GB"/>
              </w:rPr>
              <w:t xml:space="preserve">Organic </w:t>
            </w:r>
          </w:p>
        </w:tc>
        <w:tc>
          <w:tcPr>
            <w:tcW w:w="4430" w:type="dxa"/>
            <w:gridSpan w:val="7"/>
            <w:tcBorders>
              <w:top w:val="nil"/>
              <w:left w:val="nil"/>
              <w:bottom w:val="double" w:sz="6" w:space="0" w:color="auto"/>
              <w:right w:val="single" w:sz="4" w:space="0" w:color="auto"/>
            </w:tcBorders>
            <w:shd w:val="clear" w:color="auto" w:fill="auto"/>
            <w:noWrap/>
            <w:vAlign w:val="bottom"/>
            <w:hideMark/>
          </w:tcPr>
          <w:p w14:paraId="4B44E1E2" w14:textId="77777777" w:rsidR="00127896" w:rsidRPr="00610838" w:rsidRDefault="00127896" w:rsidP="00127896">
            <w:pPr>
              <w:spacing w:after="0"/>
              <w:rPr>
                <w:rFonts w:ascii="Times New Roman" w:eastAsia="Times New Roman" w:hAnsi="Times New Roman" w:cs="Times New Roman"/>
                <w:b/>
                <w:bCs/>
                <w:sz w:val="20"/>
                <w:szCs w:val="20"/>
                <w:lang w:val="en-GB"/>
              </w:rPr>
            </w:pPr>
            <w:r w:rsidRPr="00610838">
              <w:rPr>
                <w:rFonts w:ascii="Times New Roman" w:eastAsia="Times New Roman" w:hAnsi="Times New Roman" w:cs="Times New Roman"/>
                <w:b/>
                <w:bCs/>
                <w:sz w:val="20"/>
                <w:szCs w:val="20"/>
                <w:lang w:val="en-GB"/>
              </w:rPr>
              <w:t>Conventional</w:t>
            </w:r>
          </w:p>
        </w:tc>
      </w:tr>
      <w:tr w:rsidR="00127896" w:rsidRPr="00610838" w14:paraId="7DD88102" w14:textId="77777777" w:rsidTr="00127896">
        <w:trPr>
          <w:gridBefore w:val="2"/>
          <w:gridAfter w:val="6"/>
          <w:wBefore w:w="514" w:type="dxa"/>
          <w:wAfter w:w="11299" w:type="dxa"/>
          <w:trHeight w:val="270"/>
        </w:trPr>
        <w:tc>
          <w:tcPr>
            <w:tcW w:w="972" w:type="dxa"/>
            <w:gridSpan w:val="2"/>
            <w:vMerge w:val="restart"/>
            <w:tcBorders>
              <w:top w:val="nil"/>
              <w:left w:val="nil"/>
              <w:bottom w:val="double" w:sz="6" w:space="0" w:color="000000"/>
              <w:right w:val="nil"/>
            </w:tcBorders>
            <w:shd w:val="clear" w:color="auto" w:fill="auto"/>
            <w:noWrap/>
            <w:vAlign w:val="center"/>
            <w:hideMark/>
          </w:tcPr>
          <w:p w14:paraId="3AE1661B" w14:textId="77777777" w:rsidR="00127896" w:rsidRPr="00610838" w:rsidRDefault="00127896" w:rsidP="00127896">
            <w:pPr>
              <w:spacing w:after="0"/>
              <w:jc w:val="center"/>
              <w:rPr>
                <w:rFonts w:ascii="Times New Roman" w:eastAsia="Times New Roman" w:hAnsi="Times New Roman" w:cs="Times New Roman"/>
                <w:i/>
                <w:iCs/>
                <w:sz w:val="20"/>
                <w:szCs w:val="20"/>
                <w:lang w:val="en-GB"/>
              </w:rPr>
            </w:pPr>
            <w:r w:rsidRPr="00610838">
              <w:rPr>
                <w:rFonts w:ascii="Times New Roman" w:eastAsia="Times New Roman" w:hAnsi="Times New Roman" w:cs="Times New Roman"/>
                <w:i/>
                <w:iCs/>
                <w:sz w:val="20"/>
                <w:szCs w:val="20"/>
                <w:lang w:val="en-GB"/>
              </w:rPr>
              <w:t>Fertilizer</w:t>
            </w:r>
          </w:p>
        </w:tc>
        <w:tc>
          <w:tcPr>
            <w:tcW w:w="247" w:type="dxa"/>
            <w:gridSpan w:val="2"/>
            <w:tcBorders>
              <w:top w:val="nil"/>
              <w:left w:val="nil"/>
              <w:bottom w:val="single" w:sz="4" w:space="0" w:color="auto"/>
              <w:right w:val="nil"/>
            </w:tcBorders>
          </w:tcPr>
          <w:p w14:paraId="7416E70F"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039" w:type="dxa"/>
            <w:gridSpan w:val="5"/>
            <w:tcBorders>
              <w:top w:val="nil"/>
              <w:left w:val="nil"/>
              <w:bottom w:val="single" w:sz="4" w:space="0" w:color="auto"/>
              <w:right w:val="nil"/>
            </w:tcBorders>
            <w:shd w:val="clear" w:color="auto" w:fill="auto"/>
            <w:noWrap/>
            <w:vAlign w:val="bottom"/>
            <w:hideMark/>
          </w:tcPr>
          <w:p w14:paraId="2DAB0EB4"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Type</w:t>
            </w:r>
          </w:p>
        </w:tc>
        <w:tc>
          <w:tcPr>
            <w:tcW w:w="3402" w:type="dxa"/>
            <w:gridSpan w:val="7"/>
            <w:tcBorders>
              <w:top w:val="nil"/>
              <w:left w:val="single" w:sz="4" w:space="0" w:color="auto"/>
              <w:bottom w:val="single" w:sz="4" w:space="0" w:color="auto"/>
              <w:right w:val="nil"/>
            </w:tcBorders>
            <w:shd w:val="clear" w:color="auto" w:fill="auto"/>
            <w:noWrap/>
            <w:vAlign w:val="bottom"/>
            <w:hideMark/>
          </w:tcPr>
          <w:p w14:paraId="165FEABB"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Manure</w:t>
            </w:r>
          </w:p>
        </w:tc>
        <w:tc>
          <w:tcPr>
            <w:tcW w:w="4430" w:type="dxa"/>
            <w:gridSpan w:val="7"/>
            <w:tcBorders>
              <w:top w:val="nil"/>
              <w:left w:val="nil"/>
              <w:bottom w:val="single" w:sz="4" w:space="0" w:color="auto"/>
              <w:right w:val="single" w:sz="4" w:space="0" w:color="auto"/>
            </w:tcBorders>
            <w:shd w:val="clear" w:color="auto" w:fill="auto"/>
            <w:noWrap/>
            <w:vAlign w:val="bottom"/>
            <w:hideMark/>
          </w:tcPr>
          <w:p w14:paraId="78BCCB84"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Minerals</w:t>
            </w:r>
          </w:p>
        </w:tc>
      </w:tr>
      <w:tr w:rsidR="00127896" w:rsidRPr="00610838" w14:paraId="613E98F6" w14:textId="77777777" w:rsidTr="00127896">
        <w:trPr>
          <w:gridBefore w:val="2"/>
          <w:gridAfter w:val="6"/>
          <w:wBefore w:w="514" w:type="dxa"/>
          <w:wAfter w:w="11299" w:type="dxa"/>
          <w:trHeight w:val="255"/>
        </w:trPr>
        <w:tc>
          <w:tcPr>
            <w:tcW w:w="972" w:type="dxa"/>
            <w:gridSpan w:val="2"/>
            <w:vMerge/>
            <w:tcBorders>
              <w:top w:val="nil"/>
              <w:left w:val="nil"/>
              <w:bottom w:val="double" w:sz="6" w:space="0" w:color="000000"/>
              <w:right w:val="nil"/>
            </w:tcBorders>
            <w:vAlign w:val="center"/>
            <w:hideMark/>
          </w:tcPr>
          <w:p w14:paraId="75DA25E1" w14:textId="77777777" w:rsidR="00127896" w:rsidRPr="00610838" w:rsidRDefault="00127896" w:rsidP="00127896">
            <w:pPr>
              <w:spacing w:after="0"/>
              <w:rPr>
                <w:rFonts w:ascii="Times New Roman" w:eastAsia="Times New Roman" w:hAnsi="Times New Roman" w:cs="Times New Roman"/>
                <w:i/>
                <w:iCs/>
                <w:sz w:val="20"/>
                <w:szCs w:val="20"/>
                <w:lang w:val="en-GB"/>
              </w:rPr>
            </w:pPr>
          </w:p>
        </w:tc>
        <w:tc>
          <w:tcPr>
            <w:tcW w:w="247" w:type="dxa"/>
            <w:gridSpan w:val="2"/>
            <w:tcBorders>
              <w:top w:val="nil"/>
              <w:left w:val="nil"/>
              <w:bottom w:val="single" w:sz="4" w:space="0" w:color="auto"/>
              <w:right w:val="nil"/>
            </w:tcBorders>
          </w:tcPr>
          <w:p w14:paraId="4CEC2831"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039" w:type="dxa"/>
            <w:gridSpan w:val="5"/>
            <w:tcBorders>
              <w:top w:val="nil"/>
              <w:left w:val="nil"/>
              <w:bottom w:val="single" w:sz="4" w:space="0" w:color="auto"/>
              <w:right w:val="nil"/>
            </w:tcBorders>
            <w:shd w:val="clear" w:color="auto" w:fill="auto"/>
            <w:noWrap/>
            <w:vAlign w:val="bottom"/>
            <w:hideMark/>
          </w:tcPr>
          <w:p w14:paraId="1ACEB898"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Times of Application</w:t>
            </w:r>
          </w:p>
        </w:tc>
        <w:tc>
          <w:tcPr>
            <w:tcW w:w="3402" w:type="dxa"/>
            <w:gridSpan w:val="7"/>
            <w:tcBorders>
              <w:top w:val="nil"/>
              <w:left w:val="single" w:sz="4" w:space="0" w:color="auto"/>
              <w:bottom w:val="single" w:sz="4" w:space="0" w:color="auto"/>
              <w:right w:val="nil"/>
            </w:tcBorders>
            <w:shd w:val="clear" w:color="auto" w:fill="auto"/>
            <w:noWrap/>
            <w:vAlign w:val="bottom"/>
            <w:hideMark/>
          </w:tcPr>
          <w:p w14:paraId="078C5C10"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once per year for Potato and Rape seed</w:t>
            </w:r>
          </w:p>
        </w:tc>
        <w:tc>
          <w:tcPr>
            <w:tcW w:w="4430" w:type="dxa"/>
            <w:gridSpan w:val="7"/>
            <w:tcBorders>
              <w:top w:val="nil"/>
              <w:left w:val="nil"/>
              <w:bottom w:val="single" w:sz="4" w:space="0" w:color="auto"/>
              <w:right w:val="single" w:sz="4" w:space="0" w:color="auto"/>
            </w:tcBorders>
            <w:shd w:val="clear" w:color="auto" w:fill="auto"/>
            <w:noWrap/>
            <w:vAlign w:val="bottom"/>
            <w:hideMark/>
          </w:tcPr>
          <w:p w14:paraId="2EB4982C"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Booting and Flowering Stage</w:t>
            </w:r>
          </w:p>
        </w:tc>
      </w:tr>
      <w:tr w:rsidR="00127896" w:rsidRPr="00127896" w14:paraId="464F2B19" w14:textId="77777777" w:rsidTr="00127896">
        <w:trPr>
          <w:gridBefore w:val="2"/>
          <w:gridAfter w:val="6"/>
          <w:wBefore w:w="514" w:type="dxa"/>
          <w:wAfter w:w="11299" w:type="dxa"/>
          <w:trHeight w:val="525"/>
        </w:trPr>
        <w:tc>
          <w:tcPr>
            <w:tcW w:w="972" w:type="dxa"/>
            <w:gridSpan w:val="2"/>
            <w:vMerge/>
            <w:tcBorders>
              <w:top w:val="nil"/>
              <w:left w:val="nil"/>
              <w:bottom w:val="double" w:sz="6" w:space="0" w:color="000000"/>
              <w:right w:val="nil"/>
            </w:tcBorders>
            <w:vAlign w:val="center"/>
            <w:hideMark/>
          </w:tcPr>
          <w:p w14:paraId="397F126C" w14:textId="77777777" w:rsidR="00127896" w:rsidRPr="00610838" w:rsidRDefault="00127896" w:rsidP="00127896">
            <w:pPr>
              <w:spacing w:after="0"/>
              <w:rPr>
                <w:rFonts w:ascii="Times New Roman" w:eastAsia="Times New Roman" w:hAnsi="Times New Roman" w:cs="Times New Roman"/>
                <w:i/>
                <w:iCs/>
                <w:sz w:val="20"/>
                <w:szCs w:val="20"/>
                <w:lang w:val="en-GB"/>
              </w:rPr>
            </w:pPr>
          </w:p>
        </w:tc>
        <w:tc>
          <w:tcPr>
            <w:tcW w:w="247" w:type="dxa"/>
            <w:gridSpan w:val="2"/>
            <w:tcBorders>
              <w:top w:val="nil"/>
              <w:left w:val="nil"/>
              <w:bottom w:val="double" w:sz="6" w:space="0" w:color="auto"/>
              <w:right w:val="nil"/>
            </w:tcBorders>
          </w:tcPr>
          <w:p w14:paraId="5AF29924"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039" w:type="dxa"/>
            <w:gridSpan w:val="5"/>
            <w:tcBorders>
              <w:top w:val="nil"/>
              <w:left w:val="nil"/>
              <w:bottom w:val="double" w:sz="6" w:space="0" w:color="auto"/>
              <w:right w:val="nil"/>
            </w:tcBorders>
            <w:shd w:val="clear" w:color="auto" w:fill="auto"/>
            <w:noWrap/>
            <w:vAlign w:val="bottom"/>
            <w:hideMark/>
          </w:tcPr>
          <w:p w14:paraId="27E9E71A"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Amount added</w:t>
            </w:r>
          </w:p>
        </w:tc>
        <w:tc>
          <w:tcPr>
            <w:tcW w:w="3402" w:type="dxa"/>
            <w:gridSpan w:val="7"/>
            <w:tcBorders>
              <w:top w:val="nil"/>
              <w:left w:val="single" w:sz="4" w:space="0" w:color="auto"/>
              <w:bottom w:val="double" w:sz="6" w:space="0" w:color="auto"/>
              <w:right w:val="nil"/>
            </w:tcBorders>
            <w:shd w:val="clear" w:color="auto" w:fill="auto"/>
            <w:vAlign w:val="bottom"/>
            <w:hideMark/>
          </w:tcPr>
          <w:p w14:paraId="53538EEF"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 xml:space="preserve">200 dt/ha – 156kg N, 78 kg P2O5, 374 kg K2O, 36 KG </w:t>
            </w:r>
            <w:proofErr w:type="gramStart"/>
            <w:r w:rsidRPr="00610838">
              <w:rPr>
                <w:rFonts w:ascii="Times New Roman" w:eastAsia="Times New Roman" w:hAnsi="Times New Roman" w:cs="Times New Roman"/>
                <w:sz w:val="20"/>
                <w:szCs w:val="20"/>
                <w:lang w:val="en-GB"/>
              </w:rPr>
              <w:t>MgO,*</w:t>
            </w:r>
            <w:proofErr w:type="gramEnd"/>
          </w:p>
        </w:tc>
        <w:tc>
          <w:tcPr>
            <w:tcW w:w="4430" w:type="dxa"/>
            <w:gridSpan w:val="7"/>
            <w:tcBorders>
              <w:top w:val="nil"/>
              <w:left w:val="nil"/>
              <w:bottom w:val="double" w:sz="6" w:space="0" w:color="auto"/>
              <w:right w:val="single" w:sz="4" w:space="0" w:color="auto"/>
            </w:tcBorders>
            <w:shd w:val="clear" w:color="auto" w:fill="auto"/>
            <w:vAlign w:val="bottom"/>
            <w:hideMark/>
          </w:tcPr>
          <w:p w14:paraId="479F5365"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80 – 100 kg N by calcium ammonium nitrate*</w:t>
            </w:r>
          </w:p>
        </w:tc>
      </w:tr>
      <w:tr w:rsidR="00127896" w:rsidRPr="00127896" w14:paraId="3B43D034" w14:textId="77777777" w:rsidTr="00127896">
        <w:trPr>
          <w:gridBefore w:val="2"/>
          <w:gridAfter w:val="6"/>
          <w:wBefore w:w="514" w:type="dxa"/>
          <w:wAfter w:w="11299" w:type="dxa"/>
          <w:trHeight w:val="270"/>
        </w:trPr>
        <w:tc>
          <w:tcPr>
            <w:tcW w:w="972" w:type="dxa"/>
            <w:gridSpan w:val="2"/>
            <w:tcBorders>
              <w:top w:val="nil"/>
              <w:left w:val="nil"/>
              <w:bottom w:val="nil"/>
              <w:right w:val="nil"/>
            </w:tcBorders>
            <w:shd w:val="clear" w:color="auto" w:fill="auto"/>
            <w:noWrap/>
            <w:vAlign w:val="bottom"/>
            <w:hideMark/>
          </w:tcPr>
          <w:p w14:paraId="66353D04"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47" w:type="dxa"/>
            <w:gridSpan w:val="2"/>
            <w:tcBorders>
              <w:top w:val="nil"/>
              <w:left w:val="nil"/>
              <w:bottom w:val="nil"/>
              <w:right w:val="nil"/>
            </w:tcBorders>
          </w:tcPr>
          <w:p w14:paraId="2372A19D"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039" w:type="dxa"/>
            <w:gridSpan w:val="5"/>
            <w:tcBorders>
              <w:top w:val="nil"/>
              <w:left w:val="nil"/>
              <w:bottom w:val="nil"/>
              <w:right w:val="nil"/>
            </w:tcBorders>
            <w:shd w:val="clear" w:color="auto" w:fill="auto"/>
            <w:noWrap/>
            <w:vAlign w:val="bottom"/>
            <w:hideMark/>
          </w:tcPr>
          <w:p w14:paraId="7FAED1BB"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3402" w:type="dxa"/>
            <w:gridSpan w:val="7"/>
            <w:tcBorders>
              <w:top w:val="nil"/>
              <w:left w:val="nil"/>
              <w:bottom w:val="nil"/>
              <w:right w:val="nil"/>
            </w:tcBorders>
            <w:shd w:val="clear" w:color="auto" w:fill="auto"/>
            <w:noWrap/>
            <w:vAlign w:val="bottom"/>
            <w:hideMark/>
          </w:tcPr>
          <w:p w14:paraId="70B100FF"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4430" w:type="dxa"/>
            <w:gridSpan w:val="7"/>
            <w:tcBorders>
              <w:top w:val="nil"/>
              <w:left w:val="nil"/>
              <w:bottom w:val="nil"/>
              <w:right w:val="single" w:sz="4" w:space="0" w:color="auto"/>
            </w:tcBorders>
            <w:shd w:val="clear" w:color="auto" w:fill="auto"/>
            <w:noWrap/>
            <w:vAlign w:val="bottom"/>
            <w:hideMark/>
          </w:tcPr>
          <w:p w14:paraId="51801F76"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 </w:t>
            </w:r>
          </w:p>
        </w:tc>
      </w:tr>
      <w:tr w:rsidR="00127896" w:rsidRPr="00610838" w14:paraId="74DB0630" w14:textId="77777777" w:rsidTr="00127896">
        <w:trPr>
          <w:gridBefore w:val="2"/>
          <w:gridAfter w:val="6"/>
          <w:wBefore w:w="514" w:type="dxa"/>
          <w:wAfter w:w="11299" w:type="dxa"/>
          <w:trHeight w:val="255"/>
        </w:trPr>
        <w:tc>
          <w:tcPr>
            <w:tcW w:w="972" w:type="dxa"/>
            <w:gridSpan w:val="2"/>
            <w:vMerge w:val="restart"/>
            <w:tcBorders>
              <w:top w:val="single" w:sz="4" w:space="0" w:color="auto"/>
              <w:left w:val="nil"/>
              <w:bottom w:val="double" w:sz="6" w:space="0" w:color="000000"/>
              <w:right w:val="nil"/>
            </w:tcBorders>
            <w:shd w:val="clear" w:color="auto" w:fill="auto"/>
            <w:noWrap/>
            <w:vAlign w:val="center"/>
            <w:hideMark/>
          </w:tcPr>
          <w:p w14:paraId="339728AB" w14:textId="77777777" w:rsidR="00127896" w:rsidRPr="00610838" w:rsidRDefault="00127896" w:rsidP="00127896">
            <w:pPr>
              <w:spacing w:after="0"/>
              <w:jc w:val="center"/>
              <w:rPr>
                <w:rFonts w:ascii="Times New Roman" w:eastAsia="Times New Roman" w:hAnsi="Times New Roman" w:cs="Times New Roman"/>
                <w:i/>
                <w:iCs/>
                <w:sz w:val="20"/>
                <w:szCs w:val="20"/>
                <w:lang w:val="en-GB"/>
              </w:rPr>
            </w:pPr>
            <w:r w:rsidRPr="00610838">
              <w:rPr>
                <w:rFonts w:ascii="Times New Roman" w:eastAsia="Times New Roman" w:hAnsi="Times New Roman" w:cs="Times New Roman"/>
                <w:i/>
                <w:iCs/>
                <w:sz w:val="20"/>
                <w:szCs w:val="20"/>
                <w:lang w:val="en-GB"/>
              </w:rPr>
              <w:t>Growth Control</w:t>
            </w:r>
          </w:p>
        </w:tc>
        <w:tc>
          <w:tcPr>
            <w:tcW w:w="247" w:type="dxa"/>
            <w:gridSpan w:val="2"/>
            <w:tcBorders>
              <w:top w:val="single" w:sz="4" w:space="0" w:color="auto"/>
              <w:left w:val="nil"/>
              <w:bottom w:val="single" w:sz="4" w:space="0" w:color="auto"/>
              <w:right w:val="nil"/>
            </w:tcBorders>
          </w:tcPr>
          <w:p w14:paraId="48FFF06D"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039" w:type="dxa"/>
            <w:gridSpan w:val="5"/>
            <w:tcBorders>
              <w:top w:val="single" w:sz="4" w:space="0" w:color="auto"/>
              <w:left w:val="nil"/>
              <w:bottom w:val="single" w:sz="4" w:space="0" w:color="auto"/>
              <w:right w:val="nil"/>
            </w:tcBorders>
            <w:shd w:val="clear" w:color="auto" w:fill="auto"/>
            <w:noWrap/>
            <w:vAlign w:val="bottom"/>
            <w:hideMark/>
          </w:tcPr>
          <w:p w14:paraId="1DB76A4E"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Seed Treatment</w:t>
            </w:r>
          </w:p>
        </w:tc>
        <w:tc>
          <w:tcPr>
            <w:tcW w:w="3402" w:type="dxa"/>
            <w:gridSpan w:val="7"/>
            <w:tcBorders>
              <w:top w:val="single" w:sz="4" w:space="0" w:color="auto"/>
              <w:left w:val="single" w:sz="4" w:space="0" w:color="auto"/>
              <w:bottom w:val="single" w:sz="4" w:space="0" w:color="auto"/>
              <w:right w:val="nil"/>
            </w:tcBorders>
            <w:shd w:val="clear" w:color="auto" w:fill="auto"/>
            <w:noWrap/>
            <w:vAlign w:val="bottom"/>
            <w:hideMark/>
          </w:tcPr>
          <w:p w14:paraId="2075EA9C"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Seeds coated for sawing</w:t>
            </w:r>
          </w:p>
        </w:tc>
        <w:tc>
          <w:tcPr>
            <w:tcW w:w="4430" w:type="dxa"/>
            <w:gridSpan w:val="7"/>
            <w:tcBorders>
              <w:top w:val="single" w:sz="4" w:space="0" w:color="auto"/>
              <w:left w:val="nil"/>
              <w:bottom w:val="single" w:sz="4" w:space="0" w:color="auto"/>
              <w:right w:val="single" w:sz="4" w:space="0" w:color="auto"/>
            </w:tcBorders>
            <w:shd w:val="clear" w:color="auto" w:fill="auto"/>
            <w:noWrap/>
            <w:vAlign w:val="bottom"/>
            <w:hideMark/>
          </w:tcPr>
          <w:p w14:paraId="66B625F5"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Seeds coated for sawing</w:t>
            </w:r>
          </w:p>
        </w:tc>
      </w:tr>
      <w:tr w:rsidR="00127896" w:rsidRPr="00610838" w14:paraId="7EA13F4B" w14:textId="77777777" w:rsidTr="00127896">
        <w:trPr>
          <w:gridBefore w:val="2"/>
          <w:gridAfter w:val="6"/>
          <w:wBefore w:w="514" w:type="dxa"/>
          <w:wAfter w:w="11299" w:type="dxa"/>
          <w:trHeight w:val="255"/>
        </w:trPr>
        <w:tc>
          <w:tcPr>
            <w:tcW w:w="972" w:type="dxa"/>
            <w:gridSpan w:val="2"/>
            <w:vMerge/>
            <w:tcBorders>
              <w:top w:val="single" w:sz="4" w:space="0" w:color="auto"/>
              <w:left w:val="nil"/>
              <w:bottom w:val="double" w:sz="6" w:space="0" w:color="000000"/>
              <w:right w:val="nil"/>
            </w:tcBorders>
            <w:vAlign w:val="center"/>
            <w:hideMark/>
          </w:tcPr>
          <w:p w14:paraId="118945A5" w14:textId="77777777" w:rsidR="00127896" w:rsidRPr="00610838" w:rsidRDefault="00127896" w:rsidP="00127896">
            <w:pPr>
              <w:spacing w:after="0"/>
              <w:rPr>
                <w:rFonts w:ascii="Times New Roman" w:eastAsia="Times New Roman" w:hAnsi="Times New Roman" w:cs="Times New Roman"/>
                <w:i/>
                <w:iCs/>
                <w:sz w:val="20"/>
                <w:szCs w:val="20"/>
                <w:lang w:val="en-GB"/>
              </w:rPr>
            </w:pPr>
          </w:p>
        </w:tc>
        <w:tc>
          <w:tcPr>
            <w:tcW w:w="247" w:type="dxa"/>
            <w:gridSpan w:val="2"/>
            <w:tcBorders>
              <w:top w:val="nil"/>
              <w:left w:val="nil"/>
              <w:bottom w:val="single" w:sz="4" w:space="0" w:color="auto"/>
              <w:right w:val="nil"/>
            </w:tcBorders>
          </w:tcPr>
          <w:p w14:paraId="5A417520"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039" w:type="dxa"/>
            <w:gridSpan w:val="5"/>
            <w:tcBorders>
              <w:top w:val="nil"/>
              <w:left w:val="nil"/>
              <w:bottom w:val="single" w:sz="4" w:space="0" w:color="auto"/>
              <w:right w:val="nil"/>
            </w:tcBorders>
            <w:shd w:val="clear" w:color="auto" w:fill="auto"/>
            <w:noWrap/>
            <w:vAlign w:val="bottom"/>
            <w:hideMark/>
          </w:tcPr>
          <w:p w14:paraId="1C373095"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Growth Regulation</w:t>
            </w:r>
          </w:p>
        </w:tc>
        <w:tc>
          <w:tcPr>
            <w:tcW w:w="3402" w:type="dxa"/>
            <w:gridSpan w:val="7"/>
            <w:tcBorders>
              <w:top w:val="nil"/>
              <w:left w:val="single" w:sz="4" w:space="0" w:color="auto"/>
              <w:bottom w:val="single" w:sz="4" w:space="0" w:color="auto"/>
              <w:right w:val="nil"/>
            </w:tcBorders>
            <w:shd w:val="clear" w:color="auto" w:fill="auto"/>
            <w:noWrap/>
            <w:vAlign w:val="bottom"/>
            <w:hideMark/>
          </w:tcPr>
          <w:p w14:paraId="0C4F8372"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none</w:t>
            </w:r>
          </w:p>
        </w:tc>
        <w:tc>
          <w:tcPr>
            <w:tcW w:w="4430" w:type="dxa"/>
            <w:gridSpan w:val="7"/>
            <w:tcBorders>
              <w:top w:val="nil"/>
              <w:left w:val="nil"/>
              <w:bottom w:val="single" w:sz="4" w:space="0" w:color="auto"/>
              <w:right w:val="single" w:sz="4" w:space="0" w:color="auto"/>
            </w:tcBorders>
            <w:shd w:val="clear" w:color="auto" w:fill="auto"/>
            <w:noWrap/>
            <w:vAlign w:val="bottom"/>
            <w:hideMark/>
          </w:tcPr>
          <w:p w14:paraId="6172728C"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on demand²</w:t>
            </w:r>
          </w:p>
        </w:tc>
      </w:tr>
      <w:tr w:rsidR="00127896" w:rsidRPr="00610838" w14:paraId="296D27A6" w14:textId="77777777" w:rsidTr="00127896">
        <w:trPr>
          <w:gridBefore w:val="2"/>
          <w:gridAfter w:val="6"/>
          <w:wBefore w:w="514" w:type="dxa"/>
          <w:wAfter w:w="11299" w:type="dxa"/>
          <w:trHeight w:val="255"/>
        </w:trPr>
        <w:tc>
          <w:tcPr>
            <w:tcW w:w="972" w:type="dxa"/>
            <w:gridSpan w:val="2"/>
            <w:vMerge/>
            <w:tcBorders>
              <w:top w:val="single" w:sz="4" w:space="0" w:color="auto"/>
              <w:left w:val="nil"/>
              <w:bottom w:val="double" w:sz="6" w:space="0" w:color="000000"/>
              <w:right w:val="nil"/>
            </w:tcBorders>
            <w:vAlign w:val="center"/>
            <w:hideMark/>
          </w:tcPr>
          <w:p w14:paraId="0B0629AB" w14:textId="77777777" w:rsidR="00127896" w:rsidRPr="00610838" w:rsidRDefault="00127896" w:rsidP="00127896">
            <w:pPr>
              <w:spacing w:after="0"/>
              <w:rPr>
                <w:rFonts w:ascii="Times New Roman" w:eastAsia="Times New Roman" w:hAnsi="Times New Roman" w:cs="Times New Roman"/>
                <w:i/>
                <w:iCs/>
                <w:sz w:val="20"/>
                <w:szCs w:val="20"/>
                <w:lang w:val="en-GB"/>
              </w:rPr>
            </w:pPr>
          </w:p>
        </w:tc>
        <w:tc>
          <w:tcPr>
            <w:tcW w:w="247" w:type="dxa"/>
            <w:gridSpan w:val="2"/>
            <w:tcBorders>
              <w:top w:val="nil"/>
              <w:left w:val="nil"/>
              <w:bottom w:val="single" w:sz="4" w:space="0" w:color="auto"/>
              <w:right w:val="nil"/>
            </w:tcBorders>
          </w:tcPr>
          <w:p w14:paraId="06793DB2"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039" w:type="dxa"/>
            <w:gridSpan w:val="5"/>
            <w:tcBorders>
              <w:top w:val="nil"/>
              <w:left w:val="nil"/>
              <w:bottom w:val="single" w:sz="4" w:space="0" w:color="auto"/>
              <w:right w:val="nil"/>
            </w:tcBorders>
            <w:shd w:val="clear" w:color="auto" w:fill="auto"/>
            <w:noWrap/>
            <w:vAlign w:val="bottom"/>
            <w:hideMark/>
          </w:tcPr>
          <w:p w14:paraId="74408E75"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Fungicide Treatment</w:t>
            </w:r>
          </w:p>
        </w:tc>
        <w:tc>
          <w:tcPr>
            <w:tcW w:w="3402" w:type="dxa"/>
            <w:gridSpan w:val="7"/>
            <w:tcBorders>
              <w:top w:val="nil"/>
              <w:left w:val="single" w:sz="4" w:space="0" w:color="auto"/>
              <w:bottom w:val="single" w:sz="4" w:space="0" w:color="auto"/>
              <w:right w:val="nil"/>
            </w:tcBorders>
            <w:shd w:val="clear" w:color="auto" w:fill="auto"/>
            <w:noWrap/>
            <w:vAlign w:val="bottom"/>
            <w:hideMark/>
          </w:tcPr>
          <w:p w14:paraId="6BA61291"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none</w:t>
            </w:r>
          </w:p>
        </w:tc>
        <w:tc>
          <w:tcPr>
            <w:tcW w:w="4430" w:type="dxa"/>
            <w:gridSpan w:val="7"/>
            <w:tcBorders>
              <w:top w:val="nil"/>
              <w:left w:val="nil"/>
              <w:bottom w:val="single" w:sz="4" w:space="0" w:color="auto"/>
              <w:right w:val="single" w:sz="4" w:space="0" w:color="auto"/>
            </w:tcBorders>
            <w:shd w:val="clear" w:color="auto" w:fill="auto"/>
            <w:noWrap/>
            <w:vAlign w:val="bottom"/>
            <w:hideMark/>
          </w:tcPr>
          <w:p w14:paraId="5D232C73"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on demand²</w:t>
            </w:r>
          </w:p>
        </w:tc>
      </w:tr>
      <w:tr w:rsidR="00127896" w:rsidRPr="00610838" w14:paraId="3EB4CE16" w14:textId="77777777" w:rsidTr="00127896">
        <w:trPr>
          <w:gridBefore w:val="2"/>
          <w:gridAfter w:val="6"/>
          <w:wBefore w:w="514" w:type="dxa"/>
          <w:wAfter w:w="11299" w:type="dxa"/>
          <w:trHeight w:val="270"/>
        </w:trPr>
        <w:tc>
          <w:tcPr>
            <w:tcW w:w="972" w:type="dxa"/>
            <w:gridSpan w:val="2"/>
            <w:vMerge/>
            <w:tcBorders>
              <w:top w:val="single" w:sz="4" w:space="0" w:color="auto"/>
              <w:left w:val="nil"/>
              <w:bottom w:val="double" w:sz="6" w:space="0" w:color="000000"/>
              <w:right w:val="nil"/>
            </w:tcBorders>
            <w:vAlign w:val="center"/>
            <w:hideMark/>
          </w:tcPr>
          <w:p w14:paraId="5B96C60C" w14:textId="77777777" w:rsidR="00127896" w:rsidRPr="00610838" w:rsidRDefault="00127896" w:rsidP="00127896">
            <w:pPr>
              <w:spacing w:after="0"/>
              <w:rPr>
                <w:rFonts w:ascii="Times New Roman" w:eastAsia="Times New Roman" w:hAnsi="Times New Roman" w:cs="Times New Roman"/>
                <w:i/>
                <w:iCs/>
                <w:sz w:val="20"/>
                <w:szCs w:val="20"/>
                <w:lang w:val="en-GB"/>
              </w:rPr>
            </w:pPr>
          </w:p>
        </w:tc>
        <w:tc>
          <w:tcPr>
            <w:tcW w:w="247" w:type="dxa"/>
            <w:gridSpan w:val="2"/>
            <w:tcBorders>
              <w:top w:val="nil"/>
              <w:left w:val="nil"/>
              <w:bottom w:val="double" w:sz="6" w:space="0" w:color="auto"/>
              <w:right w:val="nil"/>
            </w:tcBorders>
          </w:tcPr>
          <w:p w14:paraId="4238A3C9"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039" w:type="dxa"/>
            <w:gridSpan w:val="5"/>
            <w:tcBorders>
              <w:top w:val="nil"/>
              <w:left w:val="nil"/>
              <w:bottom w:val="double" w:sz="6" w:space="0" w:color="auto"/>
              <w:right w:val="nil"/>
            </w:tcBorders>
            <w:shd w:val="clear" w:color="auto" w:fill="auto"/>
            <w:noWrap/>
            <w:vAlign w:val="bottom"/>
            <w:hideMark/>
          </w:tcPr>
          <w:p w14:paraId="11F01F4D"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Competition Control</w:t>
            </w:r>
          </w:p>
        </w:tc>
        <w:tc>
          <w:tcPr>
            <w:tcW w:w="3402" w:type="dxa"/>
            <w:gridSpan w:val="7"/>
            <w:tcBorders>
              <w:top w:val="nil"/>
              <w:left w:val="single" w:sz="4" w:space="0" w:color="auto"/>
              <w:bottom w:val="double" w:sz="6" w:space="0" w:color="auto"/>
              <w:right w:val="nil"/>
            </w:tcBorders>
            <w:shd w:val="clear" w:color="auto" w:fill="auto"/>
            <w:noWrap/>
            <w:vAlign w:val="bottom"/>
            <w:hideMark/>
          </w:tcPr>
          <w:p w14:paraId="43ED992D"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groom between rows</w:t>
            </w:r>
          </w:p>
        </w:tc>
        <w:tc>
          <w:tcPr>
            <w:tcW w:w="4430" w:type="dxa"/>
            <w:gridSpan w:val="7"/>
            <w:tcBorders>
              <w:top w:val="nil"/>
              <w:left w:val="nil"/>
              <w:bottom w:val="double" w:sz="6" w:space="0" w:color="auto"/>
              <w:right w:val="single" w:sz="4" w:space="0" w:color="auto"/>
            </w:tcBorders>
            <w:shd w:val="clear" w:color="auto" w:fill="auto"/>
            <w:noWrap/>
            <w:vAlign w:val="bottom"/>
            <w:hideMark/>
          </w:tcPr>
          <w:p w14:paraId="0D1A22C6"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Herbicide on demand²</w:t>
            </w:r>
          </w:p>
        </w:tc>
      </w:tr>
      <w:tr w:rsidR="00127896" w:rsidRPr="00610838" w14:paraId="0787ADE8" w14:textId="77777777" w:rsidTr="00127896">
        <w:trPr>
          <w:gridBefore w:val="2"/>
          <w:gridAfter w:val="6"/>
          <w:wBefore w:w="514" w:type="dxa"/>
          <w:wAfter w:w="11299" w:type="dxa"/>
          <w:trHeight w:val="285"/>
        </w:trPr>
        <w:tc>
          <w:tcPr>
            <w:tcW w:w="972" w:type="dxa"/>
            <w:gridSpan w:val="2"/>
            <w:tcBorders>
              <w:top w:val="nil"/>
              <w:left w:val="nil"/>
              <w:bottom w:val="double" w:sz="6" w:space="0" w:color="auto"/>
              <w:right w:val="nil"/>
            </w:tcBorders>
            <w:shd w:val="clear" w:color="auto" w:fill="auto"/>
            <w:noWrap/>
            <w:vAlign w:val="bottom"/>
            <w:hideMark/>
          </w:tcPr>
          <w:p w14:paraId="3952F8C3" w14:textId="77777777" w:rsidR="00127896" w:rsidRPr="00610838" w:rsidRDefault="00127896" w:rsidP="00127896">
            <w:pPr>
              <w:spacing w:after="0"/>
              <w:rPr>
                <w:rFonts w:ascii="Times New Roman" w:eastAsia="Times New Roman" w:hAnsi="Times New Roman" w:cs="Times New Roman"/>
                <w:i/>
                <w:iCs/>
                <w:sz w:val="20"/>
                <w:szCs w:val="20"/>
                <w:lang w:val="en-GB"/>
              </w:rPr>
            </w:pPr>
            <w:r w:rsidRPr="00610838">
              <w:rPr>
                <w:rFonts w:ascii="Times New Roman" w:eastAsia="Times New Roman" w:hAnsi="Times New Roman" w:cs="Times New Roman"/>
                <w:i/>
                <w:iCs/>
                <w:sz w:val="20"/>
                <w:szCs w:val="20"/>
                <w:lang w:val="en-GB"/>
              </w:rPr>
              <w:t> </w:t>
            </w:r>
          </w:p>
        </w:tc>
        <w:tc>
          <w:tcPr>
            <w:tcW w:w="247" w:type="dxa"/>
            <w:gridSpan w:val="2"/>
            <w:tcBorders>
              <w:top w:val="nil"/>
              <w:left w:val="nil"/>
              <w:bottom w:val="double" w:sz="6" w:space="0" w:color="auto"/>
              <w:right w:val="nil"/>
            </w:tcBorders>
          </w:tcPr>
          <w:p w14:paraId="3F1E115A"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039" w:type="dxa"/>
            <w:gridSpan w:val="5"/>
            <w:tcBorders>
              <w:top w:val="nil"/>
              <w:left w:val="nil"/>
              <w:bottom w:val="double" w:sz="6" w:space="0" w:color="auto"/>
              <w:right w:val="nil"/>
            </w:tcBorders>
            <w:shd w:val="clear" w:color="auto" w:fill="auto"/>
            <w:noWrap/>
            <w:vAlign w:val="bottom"/>
            <w:hideMark/>
          </w:tcPr>
          <w:p w14:paraId="7F8C9297"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 </w:t>
            </w:r>
          </w:p>
        </w:tc>
        <w:tc>
          <w:tcPr>
            <w:tcW w:w="3402" w:type="dxa"/>
            <w:gridSpan w:val="7"/>
            <w:tcBorders>
              <w:top w:val="nil"/>
              <w:left w:val="nil"/>
              <w:bottom w:val="double" w:sz="6" w:space="0" w:color="auto"/>
              <w:right w:val="nil"/>
            </w:tcBorders>
            <w:shd w:val="clear" w:color="auto" w:fill="auto"/>
            <w:noWrap/>
            <w:vAlign w:val="bottom"/>
            <w:hideMark/>
          </w:tcPr>
          <w:p w14:paraId="4EE0B672"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 </w:t>
            </w:r>
          </w:p>
        </w:tc>
        <w:tc>
          <w:tcPr>
            <w:tcW w:w="4430" w:type="dxa"/>
            <w:gridSpan w:val="7"/>
            <w:tcBorders>
              <w:top w:val="nil"/>
              <w:left w:val="nil"/>
              <w:bottom w:val="double" w:sz="6" w:space="0" w:color="auto"/>
              <w:right w:val="single" w:sz="4" w:space="0" w:color="auto"/>
            </w:tcBorders>
            <w:shd w:val="clear" w:color="auto" w:fill="auto"/>
            <w:noWrap/>
            <w:vAlign w:val="bottom"/>
            <w:hideMark/>
          </w:tcPr>
          <w:p w14:paraId="1DC41C8A"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 </w:t>
            </w:r>
          </w:p>
        </w:tc>
      </w:tr>
      <w:tr w:rsidR="00127896" w:rsidRPr="00127896" w14:paraId="251FDECB" w14:textId="77777777" w:rsidTr="00127896">
        <w:trPr>
          <w:gridBefore w:val="2"/>
          <w:gridAfter w:val="6"/>
          <w:wBefore w:w="514" w:type="dxa"/>
          <w:wAfter w:w="11299" w:type="dxa"/>
          <w:trHeight w:val="780"/>
        </w:trPr>
        <w:tc>
          <w:tcPr>
            <w:tcW w:w="972" w:type="dxa"/>
            <w:gridSpan w:val="2"/>
            <w:vMerge w:val="restart"/>
            <w:tcBorders>
              <w:top w:val="nil"/>
              <w:left w:val="nil"/>
              <w:bottom w:val="double" w:sz="6" w:space="0" w:color="000000"/>
              <w:right w:val="nil"/>
            </w:tcBorders>
            <w:shd w:val="clear" w:color="auto" w:fill="auto"/>
            <w:noWrap/>
            <w:vAlign w:val="center"/>
            <w:hideMark/>
          </w:tcPr>
          <w:p w14:paraId="7B27539A" w14:textId="77777777" w:rsidR="00127896" w:rsidRPr="00610838" w:rsidRDefault="00127896" w:rsidP="00127896">
            <w:pPr>
              <w:spacing w:after="0"/>
              <w:jc w:val="center"/>
              <w:rPr>
                <w:rFonts w:ascii="Times New Roman" w:eastAsia="Times New Roman" w:hAnsi="Times New Roman" w:cs="Times New Roman"/>
                <w:i/>
                <w:iCs/>
                <w:sz w:val="20"/>
                <w:szCs w:val="20"/>
                <w:lang w:val="en-GB"/>
              </w:rPr>
            </w:pPr>
            <w:r w:rsidRPr="00610838">
              <w:rPr>
                <w:rFonts w:ascii="Times New Roman" w:eastAsia="Times New Roman" w:hAnsi="Times New Roman" w:cs="Times New Roman"/>
                <w:i/>
                <w:iCs/>
                <w:sz w:val="20"/>
                <w:szCs w:val="20"/>
                <w:lang w:val="en-GB"/>
              </w:rPr>
              <w:t>System Managed</w:t>
            </w:r>
          </w:p>
        </w:tc>
        <w:tc>
          <w:tcPr>
            <w:tcW w:w="247" w:type="dxa"/>
            <w:gridSpan w:val="2"/>
            <w:tcBorders>
              <w:top w:val="nil"/>
              <w:left w:val="nil"/>
              <w:bottom w:val="single" w:sz="4" w:space="0" w:color="auto"/>
              <w:right w:val="nil"/>
            </w:tcBorders>
          </w:tcPr>
          <w:p w14:paraId="2EBF2F3C"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039" w:type="dxa"/>
            <w:gridSpan w:val="5"/>
            <w:tcBorders>
              <w:top w:val="nil"/>
              <w:left w:val="nil"/>
              <w:bottom w:val="single" w:sz="4" w:space="0" w:color="auto"/>
              <w:right w:val="nil"/>
            </w:tcBorders>
            <w:shd w:val="clear" w:color="auto" w:fill="auto"/>
            <w:noWrap/>
            <w:vAlign w:val="center"/>
            <w:hideMark/>
          </w:tcPr>
          <w:p w14:paraId="7783E709"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Crop Rotation</w:t>
            </w:r>
          </w:p>
        </w:tc>
        <w:tc>
          <w:tcPr>
            <w:tcW w:w="3402" w:type="dxa"/>
            <w:gridSpan w:val="7"/>
            <w:tcBorders>
              <w:top w:val="nil"/>
              <w:left w:val="single" w:sz="4" w:space="0" w:color="auto"/>
              <w:bottom w:val="single" w:sz="4" w:space="0" w:color="auto"/>
              <w:right w:val="nil"/>
            </w:tcBorders>
            <w:shd w:val="clear" w:color="auto" w:fill="auto"/>
            <w:vAlign w:val="bottom"/>
            <w:hideMark/>
          </w:tcPr>
          <w:p w14:paraId="1A434719"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Rape Seed – Winter Rye – Winter Wheat – Acre Beans – Oat – Spring Barley – Potato</w:t>
            </w:r>
          </w:p>
        </w:tc>
        <w:tc>
          <w:tcPr>
            <w:tcW w:w="4430" w:type="dxa"/>
            <w:gridSpan w:val="7"/>
            <w:tcBorders>
              <w:top w:val="nil"/>
              <w:left w:val="nil"/>
              <w:bottom w:val="single" w:sz="4" w:space="0" w:color="auto"/>
              <w:right w:val="single" w:sz="4" w:space="0" w:color="auto"/>
            </w:tcBorders>
            <w:shd w:val="clear" w:color="auto" w:fill="auto"/>
            <w:vAlign w:val="bottom"/>
            <w:hideMark/>
          </w:tcPr>
          <w:p w14:paraId="220B4341"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 xml:space="preserve">Rape Seed – Winter Wheat – </w:t>
            </w:r>
            <w:proofErr w:type="spellStart"/>
            <w:r w:rsidRPr="00610838">
              <w:rPr>
                <w:rFonts w:ascii="Times New Roman" w:eastAsia="Times New Roman" w:hAnsi="Times New Roman" w:cs="Times New Roman"/>
                <w:sz w:val="20"/>
                <w:szCs w:val="20"/>
                <w:lang w:val="en-GB"/>
              </w:rPr>
              <w:t>Srping</w:t>
            </w:r>
            <w:proofErr w:type="spellEnd"/>
            <w:r w:rsidRPr="00610838">
              <w:rPr>
                <w:rFonts w:ascii="Times New Roman" w:eastAsia="Times New Roman" w:hAnsi="Times New Roman" w:cs="Times New Roman"/>
                <w:sz w:val="20"/>
                <w:szCs w:val="20"/>
                <w:lang w:val="en-GB"/>
              </w:rPr>
              <w:t xml:space="preserve"> Barley</w:t>
            </w:r>
          </w:p>
        </w:tc>
      </w:tr>
      <w:tr w:rsidR="00127896" w:rsidRPr="00610838" w14:paraId="1402B14C" w14:textId="77777777" w:rsidTr="00127896">
        <w:trPr>
          <w:gridBefore w:val="2"/>
          <w:gridAfter w:val="6"/>
          <w:wBefore w:w="514" w:type="dxa"/>
          <w:wAfter w:w="11299" w:type="dxa"/>
          <w:trHeight w:val="255"/>
        </w:trPr>
        <w:tc>
          <w:tcPr>
            <w:tcW w:w="972" w:type="dxa"/>
            <w:gridSpan w:val="2"/>
            <w:vMerge/>
            <w:tcBorders>
              <w:top w:val="nil"/>
              <w:left w:val="nil"/>
              <w:bottom w:val="double" w:sz="6" w:space="0" w:color="000000"/>
              <w:right w:val="nil"/>
            </w:tcBorders>
            <w:vAlign w:val="center"/>
            <w:hideMark/>
          </w:tcPr>
          <w:p w14:paraId="52B2E4D7" w14:textId="77777777" w:rsidR="00127896" w:rsidRPr="00610838" w:rsidRDefault="00127896" w:rsidP="00127896">
            <w:pPr>
              <w:spacing w:after="0"/>
              <w:rPr>
                <w:rFonts w:ascii="Times New Roman" w:eastAsia="Times New Roman" w:hAnsi="Times New Roman" w:cs="Times New Roman"/>
                <w:i/>
                <w:iCs/>
                <w:sz w:val="20"/>
                <w:szCs w:val="20"/>
                <w:lang w:val="en-GB"/>
              </w:rPr>
            </w:pPr>
          </w:p>
        </w:tc>
        <w:tc>
          <w:tcPr>
            <w:tcW w:w="247" w:type="dxa"/>
            <w:gridSpan w:val="2"/>
            <w:tcBorders>
              <w:top w:val="nil"/>
              <w:left w:val="nil"/>
              <w:bottom w:val="single" w:sz="4" w:space="0" w:color="auto"/>
              <w:right w:val="nil"/>
            </w:tcBorders>
          </w:tcPr>
          <w:p w14:paraId="3401F6CE"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039" w:type="dxa"/>
            <w:gridSpan w:val="5"/>
            <w:tcBorders>
              <w:top w:val="nil"/>
              <w:left w:val="nil"/>
              <w:bottom w:val="single" w:sz="4" w:space="0" w:color="auto"/>
              <w:right w:val="nil"/>
            </w:tcBorders>
            <w:shd w:val="clear" w:color="auto" w:fill="auto"/>
            <w:noWrap/>
            <w:vAlign w:val="bottom"/>
            <w:hideMark/>
          </w:tcPr>
          <w:p w14:paraId="4A66097D"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Soil Balance</w:t>
            </w:r>
          </w:p>
        </w:tc>
        <w:tc>
          <w:tcPr>
            <w:tcW w:w="3402" w:type="dxa"/>
            <w:gridSpan w:val="7"/>
            <w:tcBorders>
              <w:top w:val="nil"/>
              <w:left w:val="single" w:sz="4" w:space="0" w:color="auto"/>
              <w:bottom w:val="single" w:sz="4" w:space="0" w:color="auto"/>
              <w:right w:val="nil"/>
            </w:tcBorders>
            <w:shd w:val="clear" w:color="auto" w:fill="auto"/>
            <w:noWrap/>
            <w:vAlign w:val="bottom"/>
            <w:hideMark/>
          </w:tcPr>
          <w:p w14:paraId="4786D348"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 xml:space="preserve">pH, </w:t>
            </w:r>
            <w:proofErr w:type="spellStart"/>
            <w:r w:rsidRPr="00610838">
              <w:rPr>
                <w:rFonts w:ascii="Times New Roman" w:eastAsia="Times New Roman" w:hAnsi="Times New Roman" w:cs="Times New Roman"/>
                <w:sz w:val="20"/>
                <w:szCs w:val="20"/>
                <w:lang w:val="en-GB"/>
              </w:rPr>
              <w:t>Nmin</w:t>
            </w:r>
            <w:proofErr w:type="spellEnd"/>
            <w:r w:rsidRPr="00610838">
              <w:rPr>
                <w:rFonts w:ascii="Times New Roman" w:eastAsia="Times New Roman" w:hAnsi="Times New Roman" w:cs="Times New Roman"/>
                <w:sz w:val="20"/>
                <w:szCs w:val="20"/>
                <w:lang w:val="en-GB"/>
              </w:rPr>
              <w:t xml:space="preserve">, </w:t>
            </w:r>
            <w:proofErr w:type="spellStart"/>
            <w:r w:rsidRPr="00610838">
              <w:rPr>
                <w:rFonts w:ascii="Times New Roman" w:eastAsia="Times New Roman" w:hAnsi="Times New Roman" w:cs="Times New Roman"/>
                <w:sz w:val="20"/>
                <w:szCs w:val="20"/>
                <w:lang w:val="en-GB"/>
              </w:rPr>
              <w:t>Pmin</w:t>
            </w:r>
            <w:proofErr w:type="spellEnd"/>
            <w:r w:rsidRPr="00610838">
              <w:rPr>
                <w:rFonts w:ascii="Times New Roman" w:eastAsia="Times New Roman" w:hAnsi="Times New Roman" w:cs="Times New Roman"/>
                <w:sz w:val="20"/>
                <w:szCs w:val="20"/>
                <w:lang w:val="en-GB"/>
              </w:rPr>
              <w:t>, organic matter</w:t>
            </w:r>
          </w:p>
        </w:tc>
        <w:tc>
          <w:tcPr>
            <w:tcW w:w="4430" w:type="dxa"/>
            <w:gridSpan w:val="7"/>
            <w:tcBorders>
              <w:top w:val="nil"/>
              <w:left w:val="nil"/>
              <w:bottom w:val="single" w:sz="4" w:space="0" w:color="auto"/>
              <w:right w:val="single" w:sz="4" w:space="0" w:color="auto"/>
            </w:tcBorders>
            <w:shd w:val="clear" w:color="auto" w:fill="auto"/>
            <w:noWrap/>
            <w:vAlign w:val="bottom"/>
            <w:hideMark/>
          </w:tcPr>
          <w:p w14:paraId="1A6446F4"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 xml:space="preserve">pH, </w:t>
            </w:r>
            <w:proofErr w:type="spellStart"/>
            <w:r w:rsidRPr="00610838">
              <w:rPr>
                <w:rFonts w:ascii="Times New Roman" w:eastAsia="Times New Roman" w:hAnsi="Times New Roman" w:cs="Times New Roman"/>
                <w:sz w:val="20"/>
                <w:szCs w:val="20"/>
                <w:lang w:val="en-GB"/>
              </w:rPr>
              <w:t>Nmin</w:t>
            </w:r>
            <w:proofErr w:type="spellEnd"/>
            <w:r w:rsidRPr="00610838">
              <w:rPr>
                <w:rFonts w:ascii="Times New Roman" w:eastAsia="Times New Roman" w:hAnsi="Times New Roman" w:cs="Times New Roman"/>
                <w:sz w:val="20"/>
                <w:szCs w:val="20"/>
                <w:lang w:val="en-GB"/>
              </w:rPr>
              <w:t xml:space="preserve">, </w:t>
            </w:r>
            <w:proofErr w:type="spellStart"/>
            <w:r w:rsidRPr="00610838">
              <w:rPr>
                <w:rFonts w:ascii="Times New Roman" w:eastAsia="Times New Roman" w:hAnsi="Times New Roman" w:cs="Times New Roman"/>
                <w:sz w:val="20"/>
                <w:szCs w:val="20"/>
                <w:lang w:val="en-GB"/>
              </w:rPr>
              <w:t>Pmin</w:t>
            </w:r>
            <w:proofErr w:type="spellEnd"/>
            <w:r w:rsidRPr="00610838">
              <w:rPr>
                <w:rFonts w:ascii="Times New Roman" w:eastAsia="Times New Roman" w:hAnsi="Times New Roman" w:cs="Times New Roman"/>
                <w:sz w:val="20"/>
                <w:szCs w:val="20"/>
                <w:lang w:val="en-GB"/>
              </w:rPr>
              <w:t>, organic matter</w:t>
            </w:r>
          </w:p>
        </w:tc>
      </w:tr>
      <w:tr w:rsidR="00127896" w:rsidRPr="00610838" w14:paraId="78808B79" w14:textId="77777777" w:rsidTr="00127896">
        <w:trPr>
          <w:gridBefore w:val="2"/>
          <w:gridAfter w:val="6"/>
          <w:wBefore w:w="514" w:type="dxa"/>
          <w:wAfter w:w="11299" w:type="dxa"/>
          <w:trHeight w:val="270"/>
        </w:trPr>
        <w:tc>
          <w:tcPr>
            <w:tcW w:w="972" w:type="dxa"/>
            <w:gridSpan w:val="2"/>
            <w:vMerge/>
            <w:tcBorders>
              <w:top w:val="nil"/>
              <w:left w:val="nil"/>
              <w:bottom w:val="double" w:sz="6" w:space="0" w:color="000000"/>
              <w:right w:val="nil"/>
            </w:tcBorders>
            <w:vAlign w:val="center"/>
            <w:hideMark/>
          </w:tcPr>
          <w:p w14:paraId="46585BFE" w14:textId="77777777" w:rsidR="00127896" w:rsidRPr="00610838" w:rsidRDefault="00127896" w:rsidP="00127896">
            <w:pPr>
              <w:spacing w:after="0"/>
              <w:rPr>
                <w:rFonts w:ascii="Times New Roman" w:eastAsia="Times New Roman" w:hAnsi="Times New Roman" w:cs="Times New Roman"/>
                <w:i/>
                <w:iCs/>
                <w:sz w:val="20"/>
                <w:szCs w:val="20"/>
                <w:lang w:val="en-GB"/>
              </w:rPr>
            </w:pPr>
          </w:p>
        </w:tc>
        <w:tc>
          <w:tcPr>
            <w:tcW w:w="247" w:type="dxa"/>
            <w:gridSpan w:val="2"/>
            <w:tcBorders>
              <w:top w:val="nil"/>
              <w:left w:val="nil"/>
              <w:bottom w:val="double" w:sz="6" w:space="0" w:color="auto"/>
              <w:right w:val="nil"/>
            </w:tcBorders>
          </w:tcPr>
          <w:p w14:paraId="46CDFFA2"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039" w:type="dxa"/>
            <w:gridSpan w:val="5"/>
            <w:tcBorders>
              <w:top w:val="nil"/>
              <w:left w:val="nil"/>
              <w:bottom w:val="double" w:sz="6" w:space="0" w:color="auto"/>
              <w:right w:val="nil"/>
            </w:tcBorders>
            <w:shd w:val="clear" w:color="auto" w:fill="auto"/>
            <w:noWrap/>
            <w:vAlign w:val="bottom"/>
            <w:hideMark/>
          </w:tcPr>
          <w:p w14:paraId="67D4B3F4"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pH Adjustment</w:t>
            </w:r>
          </w:p>
        </w:tc>
        <w:tc>
          <w:tcPr>
            <w:tcW w:w="3402" w:type="dxa"/>
            <w:gridSpan w:val="7"/>
            <w:tcBorders>
              <w:top w:val="nil"/>
              <w:left w:val="single" w:sz="4" w:space="0" w:color="auto"/>
              <w:bottom w:val="double" w:sz="6" w:space="0" w:color="auto"/>
              <w:right w:val="nil"/>
            </w:tcBorders>
            <w:shd w:val="clear" w:color="auto" w:fill="auto"/>
            <w:noWrap/>
            <w:vAlign w:val="bottom"/>
            <w:hideMark/>
          </w:tcPr>
          <w:p w14:paraId="66088A21"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lime to pH of 7</w:t>
            </w:r>
          </w:p>
        </w:tc>
        <w:tc>
          <w:tcPr>
            <w:tcW w:w="4430" w:type="dxa"/>
            <w:gridSpan w:val="7"/>
            <w:tcBorders>
              <w:top w:val="nil"/>
              <w:left w:val="nil"/>
              <w:bottom w:val="double" w:sz="6" w:space="0" w:color="auto"/>
              <w:right w:val="single" w:sz="4" w:space="0" w:color="auto"/>
            </w:tcBorders>
            <w:shd w:val="clear" w:color="auto" w:fill="auto"/>
            <w:noWrap/>
            <w:vAlign w:val="bottom"/>
            <w:hideMark/>
          </w:tcPr>
          <w:p w14:paraId="70A802CE"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lime to pH of 7</w:t>
            </w:r>
          </w:p>
        </w:tc>
      </w:tr>
      <w:tr w:rsidR="00127896" w:rsidRPr="00127896" w14:paraId="1A4DEA3E" w14:textId="77777777" w:rsidTr="00127896">
        <w:trPr>
          <w:gridBefore w:val="2"/>
          <w:gridAfter w:val="6"/>
          <w:wBefore w:w="514" w:type="dxa"/>
          <w:wAfter w:w="11299" w:type="dxa"/>
          <w:trHeight w:val="270"/>
        </w:trPr>
        <w:tc>
          <w:tcPr>
            <w:tcW w:w="972" w:type="dxa"/>
            <w:gridSpan w:val="2"/>
            <w:tcBorders>
              <w:top w:val="nil"/>
              <w:left w:val="nil"/>
              <w:bottom w:val="nil"/>
              <w:right w:val="nil"/>
            </w:tcBorders>
            <w:shd w:val="clear" w:color="auto" w:fill="auto"/>
            <w:noWrap/>
            <w:vAlign w:val="bottom"/>
            <w:hideMark/>
          </w:tcPr>
          <w:p w14:paraId="76739DDC"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47" w:type="dxa"/>
            <w:gridSpan w:val="2"/>
            <w:tcBorders>
              <w:top w:val="nil"/>
              <w:left w:val="nil"/>
              <w:bottom w:val="nil"/>
              <w:right w:val="nil"/>
            </w:tcBorders>
          </w:tcPr>
          <w:p w14:paraId="4C7BF955"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9871" w:type="dxa"/>
            <w:gridSpan w:val="19"/>
            <w:tcBorders>
              <w:top w:val="nil"/>
              <w:left w:val="nil"/>
              <w:bottom w:val="nil"/>
              <w:right w:val="nil"/>
            </w:tcBorders>
            <w:shd w:val="clear" w:color="auto" w:fill="auto"/>
            <w:noWrap/>
            <w:vAlign w:val="center"/>
            <w:hideMark/>
          </w:tcPr>
          <w:p w14:paraId="4B1907D2" w14:textId="77777777" w:rsidR="00127896" w:rsidRPr="00610838"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 – Phosphate fertilization was not required due to high saturation level of the soil</w:t>
            </w:r>
          </w:p>
        </w:tc>
      </w:tr>
      <w:tr w:rsidR="00127896" w:rsidRPr="00127896" w14:paraId="361405DC" w14:textId="77777777" w:rsidTr="00127896">
        <w:trPr>
          <w:gridBefore w:val="2"/>
          <w:gridAfter w:val="6"/>
          <w:wBefore w:w="514" w:type="dxa"/>
          <w:wAfter w:w="11299" w:type="dxa"/>
          <w:trHeight w:val="255"/>
        </w:trPr>
        <w:tc>
          <w:tcPr>
            <w:tcW w:w="972" w:type="dxa"/>
            <w:gridSpan w:val="2"/>
            <w:tcBorders>
              <w:top w:val="nil"/>
              <w:left w:val="nil"/>
              <w:bottom w:val="nil"/>
              <w:right w:val="nil"/>
            </w:tcBorders>
            <w:shd w:val="clear" w:color="auto" w:fill="auto"/>
            <w:noWrap/>
            <w:vAlign w:val="bottom"/>
            <w:hideMark/>
          </w:tcPr>
          <w:p w14:paraId="3A201607" w14:textId="77777777" w:rsidR="00127896" w:rsidRDefault="00127896" w:rsidP="00127896">
            <w:pPr>
              <w:spacing w:after="0"/>
              <w:rPr>
                <w:rFonts w:ascii="Times New Roman" w:eastAsia="Times New Roman" w:hAnsi="Times New Roman" w:cs="Times New Roman"/>
                <w:sz w:val="20"/>
                <w:szCs w:val="20"/>
                <w:lang w:val="en-GB"/>
              </w:rPr>
            </w:pPr>
          </w:p>
          <w:p w14:paraId="7BF9EBA6"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247" w:type="dxa"/>
            <w:gridSpan w:val="2"/>
            <w:tcBorders>
              <w:top w:val="nil"/>
              <w:left w:val="nil"/>
              <w:bottom w:val="nil"/>
              <w:right w:val="nil"/>
            </w:tcBorders>
          </w:tcPr>
          <w:p w14:paraId="3DD228BB" w14:textId="77777777" w:rsidR="00127896" w:rsidRPr="00610838" w:rsidRDefault="00127896" w:rsidP="00127896">
            <w:pPr>
              <w:spacing w:after="0"/>
              <w:rPr>
                <w:rFonts w:ascii="Times New Roman" w:eastAsia="Times New Roman" w:hAnsi="Times New Roman" w:cs="Times New Roman"/>
                <w:sz w:val="20"/>
                <w:szCs w:val="20"/>
                <w:lang w:val="en-GB"/>
              </w:rPr>
            </w:pPr>
          </w:p>
        </w:tc>
        <w:tc>
          <w:tcPr>
            <w:tcW w:w="9871" w:type="dxa"/>
            <w:gridSpan w:val="19"/>
            <w:tcBorders>
              <w:top w:val="nil"/>
              <w:left w:val="nil"/>
              <w:bottom w:val="nil"/>
              <w:right w:val="nil"/>
            </w:tcBorders>
            <w:shd w:val="clear" w:color="auto" w:fill="auto"/>
            <w:noWrap/>
            <w:vAlign w:val="center"/>
            <w:hideMark/>
          </w:tcPr>
          <w:p w14:paraId="4271574A" w14:textId="77777777" w:rsidR="00127896" w:rsidRDefault="00127896" w:rsidP="00127896">
            <w:pPr>
              <w:spacing w:after="0"/>
              <w:rPr>
                <w:rFonts w:ascii="Times New Roman" w:eastAsia="Times New Roman" w:hAnsi="Times New Roman" w:cs="Times New Roman"/>
                <w:sz w:val="20"/>
                <w:szCs w:val="20"/>
                <w:lang w:val="en-GB"/>
              </w:rPr>
            </w:pPr>
            <w:r w:rsidRPr="00610838">
              <w:rPr>
                <w:rFonts w:ascii="Times New Roman" w:eastAsia="Times New Roman" w:hAnsi="Times New Roman" w:cs="Times New Roman"/>
                <w:sz w:val="20"/>
                <w:szCs w:val="20"/>
                <w:lang w:val="en-GB"/>
              </w:rPr>
              <w:t>2 - only products with a valid registration certificate of the year of use were utilized</w:t>
            </w:r>
          </w:p>
          <w:p w14:paraId="112E850E" w14:textId="77777777" w:rsidR="00127896" w:rsidRDefault="00127896" w:rsidP="00127896">
            <w:pPr>
              <w:spacing w:after="0"/>
              <w:rPr>
                <w:rFonts w:ascii="Times New Roman" w:eastAsia="Times New Roman" w:hAnsi="Times New Roman" w:cs="Times New Roman"/>
                <w:sz w:val="20"/>
                <w:szCs w:val="20"/>
                <w:lang w:val="en-GB"/>
              </w:rPr>
            </w:pPr>
          </w:p>
          <w:p w14:paraId="40B33564" w14:textId="77777777" w:rsidR="00127896" w:rsidRPr="00610838" w:rsidRDefault="00127896" w:rsidP="00127896">
            <w:pPr>
              <w:spacing w:after="0"/>
              <w:rPr>
                <w:rFonts w:ascii="Times New Roman" w:eastAsia="Times New Roman" w:hAnsi="Times New Roman" w:cs="Times New Roman"/>
                <w:sz w:val="20"/>
                <w:szCs w:val="20"/>
                <w:lang w:val="en-GB"/>
              </w:rPr>
            </w:pPr>
          </w:p>
        </w:tc>
      </w:tr>
    </w:tbl>
    <w:p w14:paraId="7AC74EC6" w14:textId="77777777" w:rsidR="00030FA5" w:rsidRDefault="00030FA5" w:rsidP="00F10590">
      <w:pPr>
        <w:jc w:val="both"/>
        <w:rPr>
          <w:rFonts w:ascii="Times New Roman" w:hAnsi="Times New Roman" w:cs="Times New Roman"/>
          <w:b/>
          <w:bCs/>
          <w:sz w:val="20"/>
          <w:szCs w:val="24"/>
          <w:lang w:val="en-GB"/>
        </w:rPr>
      </w:pPr>
    </w:p>
    <w:bookmarkEnd w:id="24"/>
    <w:p w14:paraId="17F3AE8C" w14:textId="42C81CFD" w:rsidR="001E59AF" w:rsidRPr="00610838" w:rsidRDefault="001E59AF" w:rsidP="00EE50E6">
      <w:pPr>
        <w:jc w:val="both"/>
        <w:rPr>
          <w:rFonts w:ascii="Times New Roman" w:hAnsi="Times New Roman" w:cs="Times New Roman"/>
          <w:i/>
          <w:iCs/>
          <w:sz w:val="20"/>
          <w:szCs w:val="20"/>
          <w:lang w:val="en-GB"/>
        </w:rPr>
        <w:sectPr w:rsidR="001E59AF" w:rsidRPr="00610838" w:rsidSect="001E59AF">
          <w:pgSz w:w="11906" w:h="16838"/>
          <w:pgMar w:top="1134" w:right="1417" w:bottom="1417" w:left="1417" w:header="708" w:footer="708" w:gutter="0"/>
          <w:cols w:space="708"/>
          <w:docGrid w:linePitch="360"/>
        </w:sectPr>
      </w:pPr>
    </w:p>
    <w:p w14:paraId="7A7BF7AA" w14:textId="77777777" w:rsidR="004C22A7" w:rsidRPr="00610838" w:rsidRDefault="008D4871" w:rsidP="004D29DB">
      <w:pPr>
        <w:pStyle w:val="berschrift1"/>
        <w:rPr>
          <w:rFonts w:ascii="Times New Roman" w:hAnsi="Times New Roman" w:cs="Times New Roman"/>
          <w:color w:val="auto"/>
          <w:lang w:val="en-GB"/>
        </w:rPr>
      </w:pPr>
      <w:r w:rsidRPr="00610838">
        <w:rPr>
          <w:rFonts w:ascii="Times New Roman" w:hAnsi="Times New Roman" w:cs="Times New Roman"/>
          <w:color w:val="auto"/>
          <w:lang w:val="en-GB"/>
        </w:rPr>
        <w:lastRenderedPageBreak/>
        <w:t xml:space="preserve">3 </w:t>
      </w:r>
      <w:r w:rsidR="004C22A7" w:rsidRPr="00610838">
        <w:rPr>
          <w:rFonts w:ascii="Times New Roman" w:hAnsi="Times New Roman" w:cs="Times New Roman"/>
          <w:color w:val="auto"/>
          <w:lang w:val="en-GB"/>
        </w:rPr>
        <w:t>Supplementary Figures</w:t>
      </w:r>
    </w:p>
    <w:p w14:paraId="00D9278D" w14:textId="77777777" w:rsidR="005A2D10" w:rsidRPr="00610838" w:rsidRDefault="005A2D10" w:rsidP="004D29DB">
      <w:pPr>
        <w:rPr>
          <w:rFonts w:ascii="Times New Roman" w:hAnsi="Times New Roman" w:cs="Times New Roman"/>
          <w:lang w:val="en-GB"/>
        </w:rPr>
      </w:pPr>
    </w:p>
    <w:p w14:paraId="25CF0A31" w14:textId="6D6DA725" w:rsidR="004C22A7" w:rsidRPr="00610838" w:rsidRDefault="004C22A7" w:rsidP="004D29DB">
      <w:pPr>
        <w:jc w:val="both"/>
        <w:rPr>
          <w:rFonts w:ascii="Times New Roman" w:hAnsi="Times New Roman" w:cs="Times New Roman"/>
          <w:iCs/>
          <w:sz w:val="20"/>
          <w:szCs w:val="20"/>
          <w:lang w:val="en-GB"/>
        </w:rPr>
      </w:pPr>
      <w:r w:rsidRPr="00610838">
        <w:rPr>
          <w:rFonts w:ascii="Times New Roman" w:hAnsi="Times New Roman" w:cs="Times New Roman"/>
          <w:noProof/>
          <w:sz w:val="24"/>
          <w:szCs w:val="24"/>
          <w:lang w:val="en-GB" w:eastAsia="de-DE"/>
        </w:rPr>
        <w:drawing>
          <wp:inline distT="0" distB="0" distL="0" distR="0" wp14:anchorId="60792CB4" wp14:editId="23B4E902">
            <wp:extent cx="5760720" cy="2190750"/>
            <wp:effectExtent l="0" t="0" r="0" b="0"/>
            <wp:docPr id="6"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3"/>
                    <pic:cNvPicPr>
                      <a:picLocks noChangeAspect="1" noChangeArrowheads="1"/>
                    </pic:cNvPicPr>
                  </pic:nvPicPr>
                  <pic:blipFill>
                    <a:blip r:embed="rId8" cstate="print"/>
                    <a:srcRect b="32392"/>
                    <a:stretch>
                      <a:fillRect/>
                    </a:stretch>
                  </pic:blipFill>
                  <pic:spPr bwMode="auto">
                    <a:xfrm>
                      <a:off x="0" y="0"/>
                      <a:ext cx="5760720" cy="2190750"/>
                    </a:xfrm>
                    <a:prstGeom prst="rect">
                      <a:avLst/>
                    </a:prstGeom>
                  </pic:spPr>
                </pic:pic>
              </a:graphicData>
            </a:graphic>
          </wp:inline>
        </w:drawing>
      </w:r>
      <w:r w:rsidRPr="00610838">
        <w:rPr>
          <w:rFonts w:ascii="Times New Roman" w:hAnsi="Times New Roman" w:cs="Times New Roman"/>
          <w:b/>
          <w:bCs/>
          <w:sz w:val="20"/>
          <w:szCs w:val="20"/>
          <w:lang w:val="en-GB"/>
        </w:rPr>
        <w:t>Supplementary Fig</w:t>
      </w:r>
      <w:r w:rsidR="00AB7965" w:rsidRPr="00610838">
        <w:rPr>
          <w:rFonts w:ascii="Times New Roman" w:hAnsi="Times New Roman" w:cs="Times New Roman"/>
          <w:b/>
          <w:bCs/>
          <w:sz w:val="20"/>
          <w:szCs w:val="20"/>
          <w:lang w:val="en-GB"/>
        </w:rPr>
        <w:t>ure</w:t>
      </w:r>
      <w:r w:rsidRPr="00610838">
        <w:rPr>
          <w:rFonts w:ascii="Times New Roman" w:hAnsi="Times New Roman" w:cs="Times New Roman"/>
          <w:b/>
          <w:bCs/>
          <w:sz w:val="20"/>
          <w:szCs w:val="20"/>
          <w:lang w:val="en-GB"/>
        </w:rPr>
        <w:t xml:space="preserve"> </w:t>
      </w:r>
      <w:r w:rsidR="00021497" w:rsidRPr="00610838">
        <w:rPr>
          <w:rFonts w:ascii="Times New Roman" w:hAnsi="Times New Roman" w:cs="Times New Roman"/>
          <w:b/>
          <w:bCs/>
          <w:sz w:val="20"/>
          <w:szCs w:val="20"/>
          <w:lang w:val="en-GB"/>
        </w:rPr>
        <w:t>1</w:t>
      </w:r>
      <w:r w:rsidR="00030851" w:rsidRPr="00610838">
        <w:rPr>
          <w:rFonts w:ascii="Times New Roman" w:hAnsi="Times New Roman" w:cs="Times New Roman"/>
          <w:b/>
          <w:bCs/>
          <w:sz w:val="20"/>
          <w:szCs w:val="20"/>
          <w:lang w:val="en-GB"/>
        </w:rPr>
        <w:t>:</w:t>
      </w:r>
      <w:r w:rsidRPr="00610838">
        <w:rPr>
          <w:rFonts w:ascii="Times New Roman" w:hAnsi="Times New Roman" w:cs="Times New Roman"/>
          <w:b/>
          <w:bCs/>
          <w:sz w:val="20"/>
          <w:szCs w:val="20"/>
          <w:lang w:val="en-GB"/>
        </w:rPr>
        <w:t xml:space="preserve"> The genome wide coverage per SNP for two representative samples collected (A, B).</w:t>
      </w:r>
      <w:r w:rsidRPr="00610838">
        <w:rPr>
          <w:rFonts w:ascii="Times New Roman" w:hAnsi="Times New Roman" w:cs="Times New Roman"/>
          <w:i/>
          <w:iCs/>
          <w:sz w:val="20"/>
          <w:szCs w:val="20"/>
          <w:lang w:val="en-GB"/>
        </w:rPr>
        <w:t xml:space="preserve"> </w:t>
      </w:r>
      <w:r w:rsidRPr="00610838">
        <w:rPr>
          <w:rFonts w:ascii="Times New Roman" w:hAnsi="Times New Roman" w:cs="Times New Roman"/>
          <w:iCs/>
          <w:sz w:val="20"/>
          <w:szCs w:val="20"/>
          <w:lang w:val="en-GB"/>
        </w:rPr>
        <w:t>Each dot represents one identified SNP between the two parents.</w:t>
      </w:r>
      <w:r w:rsidR="00142329" w:rsidRPr="00610838">
        <w:rPr>
          <w:rFonts w:ascii="Times New Roman" w:hAnsi="Times New Roman" w:cs="Times New Roman"/>
          <w:iCs/>
          <w:sz w:val="20"/>
          <w:szCs w:val="20"/>
          <w:lang w:val="en-GB"/>
        </w:rPr>
        <w:t xml:space="preserve"> The </w:t>
      </w:r>
      <w:r w:rsidR="002F148A" w:rsidRPr="00610838">
        <w:rPr>
          <w:rFonts w:ascii="Times New Roman" w:hAnsi="Times New Roman" w:cs="Times New Roman"/>
          <w:i/>
          <w:iCs/>
          <w:sz w:val="20"/>
          <w:szCs w:val="20"/>
          <w:lang w:val="en-GB"/>
        </w:rPr>
        <w:t>y</w:t>
      </w:r>
      <w:r w:rsidR="00142329" w:rsidRPr="00610838">
        <w:rPr>
          <w:rFonts w:ascii="Times New Roman" w:hAnsi="Times New Roman" w:cs="Times New Roman"/>
          <w:iCs/>
          <w:sz w:val="20"/>
          <w:szCs w:val="20"/>
          <w:lang w:val="en-GB"/>
        </w:rPr>
        <w:t xml:space="preserve">-axis represents the read count per SNP, while the </w:t>
      </w:r>
      <w:r w:rsidR="002F148A" w:rsidRPr="00610838">
        <w:rPr>
          <w:rFonts w:ascii="Times New Roman" w:hAnsi="Times New Roman" w:cs="Times New Roman"/>
          <w:i/>
          <w:iCs/>
          <w:sz w:val="20"/>
          <w:szCs w:val="20"/>
          <w:lang w:val="en-GB"/>
        </w:rPr>
        <w:t>x</w:t>
      </w:r>
      <w:r w:rsidR="00142329" w:rsidRPr="00610838">
        <w:rPr>
          <w:rFonts w:ascii="Times New Roman" w:hAnsi="Times New Roman" w:cs="Times New Roman"/>
          <w:iCs/>
          <w:sz w:val="20"/>
          <w:szCs w:val="20"/>
          <w:lang w:val="en-GB"/>
        </w:rPr>
        <w:t xml:space="preserve">-axis illustrated the chronological position </w:t>
      </w:r>
      <w:r w:rsidR="00030FA5">
        <w:rPr>
          <w:rFonts w:ascii="Times New Roman" w:hAnsi="Times New Roman" w:cs="Times New Roman"/>
          <w:iCs/>
          <w:sz w:val="20"/>
          <w:szCs w:val="20"/>
          <w:lang w:val="en-GB"/>
        </w:rPr>
        <w:t>on the</w:t>
      </w:r>
      <w:r w:rsidR="00142329" w:rsidRPr="00610838">
        <w:rPr>
          <w:rFonts w:ascii="Times New Roman" w:hAnsi="Times New Roman" w:cs="Times New Roman"/>
          <w:iCs/>
          <w:sz w:val="20"/>
          <w:szCs w:val="20"/>
          <w:lang w:val="en-GB"/>
        </w:rPr>
        <w:t xml:space="preserve"> </w:t>
      </w:r>
      <w:r w:rsidR="00030FA5">
        <w:rPr>
          <w:rFonts w:ascii="Times New Roman" w:hAnsi="Times New Roman" w:cs="Times New Roman"/>
          <w:iCs/>
          <w:sz w:val="20"/>
          <w:szCs w:val="20"/>
          <w:lang w:val="en-GB"/>
        </w:rPr>
        <w:t>genome.</w:t>
      </w:r>
    </w:p>
    <w:p w14:paraId="12C6B599" w14:textId="77777777" w:rsidR="000331ED" w:rsidRPr="00610838" w:rsidRDefault="000331ED" w:rsidP="000331ED">
      <w:pPr>
        <w:rPr>
          <w:rFonts w:ascii="Times New Roman" w:hAnsi="Times New Roman" w:cs="Times New Roman"/>
          <w:b/>
          <w:bCs/>
          <w:sz w:val="20"/>
          <w:szCs w:val="20"/>
          <w:lang w:val="en-GB"/>
        </w:rPr>
      </w:pPr>
      <w:r w:rsidRPr="00610838">
        <w:rPr>
          <w:rFonts w:ascii="Times New Roman" w:hAnsi="Times New Roman" w:cs="Times New Roman"/>
          <w:noProof/>
          <w:sz w:val="24"/>
          <w:szCs w:val="24"/>
          <w:lang w:val="en-GB" w:eastAsia="de-DE"/>
        </w:rPr>
        <w:drawing>
          <wp:anchor distT="0" distB="0" distL="0" distR="0" simplePos="0" relativeHeight="251661312" behindDoc="0" locked="0" layoutInCell="1" allowOverlap="1" wp14:anchorId="6E5BAF9D" wp14:editId="4E6D1B96">
            <wp:simplePos x="0" y="0"/>
            <wp:positionH relativeFrom="column">
              <wp:posOffset>0</wp:posOffset>
            </wp:positionH>
            <wp:positionV relativeFrom="paragraph">
              <wp:posOffset>292735</wp:posOffset>
            </wp:positionV>
            <wp:extent cx="5760720" cy="3291840"/>
            <wp:effectExtent l="0" t="0" r="0" b="0"/>
            <wp:wrapSquare wrapText="largest"/>
            <wp:docPr id="2" name="Bil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3"/>
                    <pic:cNvPicPr>
                      <a:picLocks noChangeAspect="1" noChangeArrowheads="1"/>
                    </pic:cNvPicPr>
                  </pic:nvPicPr>
                  <pic:blipFill>
                    <a:blip r:embed="rId9" cstate="print"/>
                    <a:stretch>
                      <a:fillRect/>
                    </a:stretch>
                  </pic:blipFill>
                  <pic:spPr bwMode="auto">
                    <a:xfrm>
                      <a:off x="0" y="0"/>
                      <a:ext cx="5760720" cy="3291840"/>
                    </a:xfrm>
                    <a:prstGeom prst="rect">
                      <a:avLst/>
                    </a:prstGeom>
                  </pic:spPr>
                </pic:pic>
              </a:graphicData>
            </a:graphic>
          </wp:anchor>
        </w:drawing>
      </w:r>
    </w:p>
    <w:p w14:paraId="6C316B9C" w14:textId="500783FC" w:rsidR="000331ED" w:rsidRPr="00610838" w:rsidRDefault="000331ED" w:rsidP="000331ED">
      <w:pPr>
        <w:jc w:val="both"/>
        <w:rPr>
          <w:rFonts w:ascii="Times New Roman" w:hAnsi="Times New Roman" w:cs="Times New Roman"/>
          <w:iCs/>
          <w:sz w:val="20"/>
          <w:szCs w:val="20"/>
          <w:lang w:val="en-GB"/>
        </w:rPr>
      </w:pPr>
      <w:r w:rsidRPr="00610838">
        <w:rPr>
          <w:rFonts w:ascii="Times New Roman" w:hAnsi="Times New Roman" w:cs="Times New Roman"/>
          <w:b/>
          <w:bCs/>
          <w:sz w:val="20"/>
          <w:szCs w:val="20"/>
          <w:lang w:val="en-GB"/>
        </w:rPr>
        <w:t xml:space="preserve">Supplementary Fig. 2. Genome-wide overview of the allele frequency evolution over the generations as well as the count of </w:t>
      </w:r>
      <w:r w:rsidR="00526926">
        <w:rPr>
          <w:rFonts w:ascii="Times New Roman" w:hAnsi="Times New Roman" w:cs="Times New Roman"/>
          <w:b/>
          <w:bCs/>
          <w:sz w:val="20"/>
          <w:szCs w:val="20"/>
          <w:lang w:val="en-GB"/>
        </w:rPr>
        <w:t xml:space="preserve">positive </w:t>
      </w:r>
      <w:r w:rsidRPr="00610838">
        <w:rPr>
          <w:rFonts w:ascii="Times New Roman" w:hAnsi="Times New Roman" w:cs="Times New Roman"/>
          <w:b/>
          <w:bCs/>
          <w:sz w:val="20"/>
          <w:szCs w:val="20"/>
          <w:lang w:val="en-GB"/>
        </w:rPr>
        <w:t>selected wild type and cultivar alleles</w:t>
      </w:r>
      <w:r w:rsidRPr="00610838">
        <w:rPr>
          <w:rFonts w:ascii="Times New Roman" w:hAnsi="Times New Roman" w:cs="Times New Roman"/>
          <w:b/>
          <w:bCs/>
          <w:iCs/>
          <w:sz w:val="20"/>
          <w:szCs w:val="20"/>
          <w:lang w:val="en-GB"/>
        </w:rPr>
        <w:t xml:space="preserve">. </w:t>
      </w:r>
      <w:r w:rsidRPr="00610838">
        <w:rPr>
          <w:rFonts w:ascii="Times New Roman" w:hAnsi="Times New Roman" w:cs="Times New Roman"/>
          <w:iCs/>
          <w:sz w:val="20"/>
          <w:szCs w:val="20"/>
          <w:lang w:val="en-GB"/>
        </w:rPr>
        <w:t xml:space="preserve">The </w:t>
      </w:r>
      <w:r w:rsidRPr="00610838">
        <w:rPr>
          <w:rFonts w:ascii="Times New Roman" w:hAnsi="Times New Roman" w:cs="Times New Roman"/>
          <w:i/>
          <w:iCs/>
          <w:sz w:val="20"/>
          <w:szCs w:val="20"/>
          <w:lang w:val="en-GB"/>
        </w:rPr>
        <w:t>x</w:t>
      </w:r>
      <w:r w:rsidRPr="00610838">
        <w:rPr>
          <w:rFonts w:ascii="Times New Roman" w:hAnsi="Times New Roman" w:cs="Times New Roman"/>
          <w:iCs/>
          <w:sz w:val="20"/>
          <w:szCs w:val="20"/>
          <w:lang w:val="en-GB"/>
        </w:rPr>
        <w:t xml:space="preserve">-axis shows the generations of the organic and conventional systems. The </w:t>
      </w:r>
      <w:r w:rsidRPr="00610838">
        <w:rPr>
          <w:rFonts w:ascii="Times New Roman" w:hAnsi="Times New Roman" w:cs="Times New Roman"/>
          <w:i/>
          <w:iCs/>
          <w:sz w:val="20"/>
          <w:szCs w:val="20"/>
          <w:lang w:val="en-GB"/>
        </w:rPr>
        <w:t>y</w:t>
      </w:r>
      <w:r w:rsidRPr="00610838">
        <w:rPr>
          <w:rFonts w:ascii="Times New Roman" w:hAnsi="Times New Roman" w:cs="Times New Roman"/>
          <w:iCs/>
          <w:sz w:val="20"/>
          <w:szCs w:val="20"/>
          <w:lang w:val="en-GB"/>
        </w:rPr>
        <w:t>-axis presents the gene count (multiplied by 1</w:t>
      </w:r>
      <w:r w:rsidR="00EE50E6" w:rsidRPr="00610838">
        <w:rPr>
          <w:rFonts w:ascii="Times New Roman" w:hAnsi="Times New Roman" w:cs="Times New Roman"/>
          <w:iCs/>
          <w:sz w:val="20"/>
          <w:szCs w:val="20"/>
          <w:lang w:val="en-GB"/>
        </w:rPr>
        <w:t>,</w:t>
      </w:r>
      <w:r w:rsidRPr="00610838">
        <w:rPr>
          <w:rFonts w:ascii="Times New Roman" w:hAnsi="Times New Roman" w:cs="Times New Roman"/>
          <w:iCs/>
          <w:sz w:val="20"/>
          <w:szCs w:val="20"/>
          <w:lang w:val="en-GB"/>
        </w:rPr>
        <w:t>000) and the allele frequency in %. The blue line highlights the count of genes for which no ISR42-8 alleles was observed in the population. AF is an acronym for allele frequency. ISR42-8 is the wild type, while Golf is the cultivar parent. The green line represents the genome-wide wild type allele frequency for each generation. The yellow line indicates the count of genes for which the wild type allele frequency has increased in the population, as compared to the F</w:t>
      </w:r>
      <w:r w:rsidRPr="00610838">
        <w:rPr>
          <w:rFonts w:ascii="Times New Roman" w:hAnsi="Times New Roman" w:cs="Times New Roman"/>
          <w:iCs/>
          <w:sz w:val="20"/>
          <w:szCs w:val="20"/>
          <w:vertAlign w:val="subscript"/>
          <w:lang w:val="en-GB"/>
        </w:rPr>
        <w:t>3</w:t>
      </w:r>
      <w:r w:rsidRPr="00610838">
        <w:rPr>
          <w:rFonts w:ascii="Times New Roman" w:hAnsi="Times New Roman" w:cs="Times New Roman"/>
          <w:iCs/>
          <w:sz w:val="20"/>
          <w:szCs w:val="20"/>
          <w:lang w:val="en-GB"/>
        </w:rPr>
        <w:t>. The red line represents the same information for the cultivar alleles in the population</w:t>
      </w:r>
      <w:r w:rsidRPr="00610838">
        <w:rPr>
          <w:rFonts w:ascii="Times New Roman" w:hAnsi="Times New Roman" w:cs="Times New Roman"/>
          <w:i/>
          <w:iCs/>
          <w:sz w:val="20"/>
          <w:szCs w:val="20"/>
          <w:lang w:val="en-GB"/>
        </w:rPr>
        <w:t>.</w:t>
      </w:r>
    </w:p>
    <w:p w14:paraId="68D2B65C" w14:textId="77777777" w:rsidR="002B3B13" w:rsidRPr="00610838" w:rsidRDefault="002B3B13" w:rsidP="002B3B13">
      <w:pPr>
        <w:rPr>
          <w:rFonts w:ascii="Times New Roman" w:hAnsi="Times New Roman" w:cs="Times New Roman"/>
          <w:b/>
          <w:bCs/>
          <w:sz w:val="20"/>
          <w:szCs w:val="20"/>
          <w:lang w:val="en-GB"/>
        </w:rPr>
      </w:pPr>
      <w:r w:rsidRPr="00610838">
        <w:rPr>
          <w:noProof/>
          <w:lang w:val="en-GB"/>
        </w:rPr>
        <w:lastRenderedPageBreak/>
        <w:drawing>
          <wp:inline distT="0" distB="0" distL="0" distR="0" wp14:anchorId="104C12F0" wp14:editId="517F326A">
            <wp:extent cx="5760720" cy="57607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p>
    <w:p w14:paraId="76AAC4C8" w14:textId="4679533A" w:rsidR="002B3B13" w:rsidRPr="00610838" w:rsidRDefault="002B3B13" w:rsidP="002B3B13">
      <w:pPr>
        <w:rPr>
          <w:rFonts w:ascii="Times New Roman" w:hAnsi="Times New Roman" w:cs="Times New Roman"/>
          <w:iCs/>
          <w:sz w:val="20"/>
          <w:szCs w:val="20"/>
          <w:lang w:val="en-GB"/>
        </w:rPr>
      </w:pPr>
      <w:r w:rsidRPr="00610838">
        <w:rPr>
          <w:rFonts w:ascii="Times New Roman" w:hAnsi="Times New Roman" w:cs="Times New Roman"/>
          <w:b/>
          <w:bCs/>
          <w:sz w:val="20"/>
          <w:szCs w:val="20"/>
          <w:lang w:val="en-GB"/>
        </w:rPr>
        <w:t>Supplementary Fig</w:t>
      </w:r>
      <w:r>
        <w:rPr>
          <w:rFonts w:ascii="Times New Roman" w:hAnsi="Times New Roman" w:cs="Times New Roman"/>
          <w:b/>
          <w:bCs/>
          <w:sz w:val="20"/>
          <w:szCs w:val="20"/>
          <w:lang w:val="en-GB"/>
        </w:rPr>
        <w:t>.</w:t>
      </w:r>
      <w:r w:rsidRPr="00610838">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3</w:t>
      </w:r>
      <w:r w:rsidRPr="00610838">
        <w:rPr>
          <w:rFonts w:ascii="Times New Roman" w:hAnsi="Times New Roman" w:cs="Times New Roman"/>
          <w:b/>
          <w:bCs/>
          <w:sz w:val="20"/>
          <w:szCs w:val="20"/>
          <w:lang w:val="en-GB"/>
        </w:rPr>
        <w:t xml:space="preserve">: </w:t>
      </w:r>
      <w:r w:rsidRPr="00610838">
        <w:rPr>
          <w:rFonts w:ascii="Times New Roman" w:hAnsi="Times New Roman" w:cs="Times New Roman"/>
          <w:b/>
          <w:iCs/>
          <w:sz w:val="20"/>
          <w:szCs w:val="20"/>
          <w:lang w:val="en-GB"/>
        </w:rPr>
        <w:t xml:space="preserve">Effect size estimation of genetic drift, compared to the allele frequency evolution in the organic and conventional population over all generations. </w:t>
      </w:r>
      <w:r w:rsidRPr="00610838">
        <w:rPr>
          <w:rFonts w:ascii="Times New Roman" w:hAnsi="Times New Roman" w:cs="Times New Roman"/>
          <w:iCs/>
          <w:sz w:val="20"/>
          <w:szCs w:val="20"/>
          <w:lang w:val="en-GB"/>
        </w:rPr>
        <w:t>A – the average genome wide wild type allele frequency value (y-axis) against the generations (</w:t>
      </w:r>
      <w:r w:rsidRPr="00610838">
        <w:rPr>
          <w:rFonts w:ascii="Times New Roman" w:hAnsi="Times New Roman" w:cs="Times New Roman"/>
          <w:i/>
          <w:iCs/>
          <w:sz w:val="20"/>
          <w:szCs w:val="20"/>
          <w:lang w:val="en-GB"/>
        </w:rPr>
        <w:t>x</w:t>
      </w:r>
      <w:r w:rsidRPr="00610838">
        <w:rPr>
          <w:rFonts w:ascii="Times New Roman" w:hAnsi="Times New Roman" w:cs="Times New Roman"/>
          <w:iCs/>
          <w:sz w:val="20"/>
          <w:szCs w:val="20"/>
          <w:lang w:val="en-GB"/>
        </w:rPr>
        <w:t xml:space="preserve">-axis). The conventional, organic and drift are </w:t>
      </w:r>
      <w:r w:rsidR="002136E3">
        <w:rPr>
          <w:rFonts w:ascii="Times New Roman" w:hAnsi="Times New Roman" w:cs="Times New Roman"/>
          <w:iCs/>
          <w:sz w:val="20"/>
          <w:szCs w:val="20"/>
          <w:lang w:val="en-GB"/>
        </w:rPr>
        <w:t>indicated</w:t>
      </w:r>
      <w:r w:rsidR="002136E3" w:rsidRPr="00610838">
        <w:rPr>
          <w:rFonts w:ascii="Times New Roman" w:hAnsi="Times New Roman" w:cs="Times New Roman"/>
          <w:iCs/>
          <w:sz w:val="20"/>
          <w:szCs w:val="20"/>
          <w:lang w:val="en-GB"/>
        </w:rPr>
        <w:t xml:space="preserve"> </w:t>
      </w:r>
      <w:r w:rsidRPr="00610838">
        <w:rPr>
          <w:rFonts w:ascii="Times New Roman" w:hAnsi="Times New Roman" w:cs="Times New Roman"/>
          <w:iCs/>
          <w:sz w:val="20"/>
          <w:szCs w:val="20"/>
          <w:lang w:val="en-GB"/>
        </w:rPr>
        <w:t xml:space="preserve">by </w:t>
      </w:r>
      <w:r w:rsidR="002136E3">
        <w:rPr>
          <w:rFonts w:ascii="Times New Roman" w:hAnsi="Times New Roman" w:cs="Times New Roman"/>
          <w:iCs/>
          <w:sz w:val="20"/>
          <w:szCs w:val="20"/>
          <w:lang w:val="en-GB"/>
        </w:rPr>
        <w:t xml:space="preserve">different </w:t>
      </w:r>
      <w:r w:rsidRPr="00610838">
        <w:rPr>
          <w:rFonts w:ascii="Times New Roman" w:hAnsi="Times New Roman" w:cs="Times New Roman"/>
          <w:iCs/>
          <w:sz w:val="20"/>
          <w:szCs w:val="20"/>
          <w:lang w:val="en-GB"/>
        </w:rPr>
        <w:t xml:space="preserve">colours. B – the 95% confidence interval of the gene-based haplotypes for conventional and organic populations. Additionally, the confidence interval of the drift is plotted and compared against both field experiment-based environments. </w:t>
      </w:r>
      <w:r w:rsidR="002136E3">
        <w:rPr>
          <w:rFonts w:ascii="Times New Roman" w:hAnsi="Times New Roman" w:cs="Times New Roman"/>
          <w:iCs/>
          <w:sz w:val="20"/>
          <w:szCs w:val="20"/>
          <w:lang w:val="en-GB"/>
        </w:rPr>
        <w:t>T</w:t>
      </w:r>
      <w:r w:rsidRPr="00610838">
        <w:rPr>
          <w:rFonts w:ascii="Times New Roman" w:hAnsi="Times New Roman" w:cs="Times New Roman"/>
          <w:iCs/>
          <w:sz w:val="20"/>
          <w:szCs w:val="20"/>
          <w:lang w:val="en-GB"/>
        </w:rPr>
        <w:t>he drift as single factor showed a 10 times smaller effect on the allele frequency variation compared to the conventional and organic population. The conventional and organic lines and areas are the result of the real data, while the drift line is the result of a simulation.</w:t>
      </w:r>
    </w:p>
    <w:p w14:paraId="63A44610" w14:textId="377AC385" w:rsidR="002B3B13" w:rsidRPr="00610838" w:rsidRDefault="002B3B13" w:rsidP="002B3B13">
      <w:pPr>
        <w:rPr>
          <w:rFonts w:ascii="Times New Roman" w:hAnsi="Times New Roman" w:cs="Times New Roman"/>
          <w:iCs/>
          <w:sz w:val="20"/>
          <w:szCs w:val="20"/>
          <w:lang w:val="en-GB"/>
        </w:rPr>
      </w:pPr>
    </w:p>
    <w:p w14:paraId="4401852A" w14:textId="2CB144DC" w:rsidR="002B3B13" w:rsidRDefault="002B3B13" w:rsidP="002B3B13">
      <w:pPr>
        <w:jc w:val="both"/>
        <w:rPr>
          <w:rFonts w:ascii="Times New Roman" w:hAnsi="Times New Roman" w:cs="Times New Roman"/>
          <w:iCs/>
          <w:sz w:val="20"/>
          <w:szCs w:val="24"/>
          <w:lang w:val="en-GB"/>
        </w:rPr>
      </w:pPr>
      <w:bookmarkStart w:id="25" w:name="_Hlk54768650"/>
      <w:r w:rsidRPr="00610838">
        <w:rPr>
          <w:rFonts w:ascii="Times New Roman" w:hAnsi="Times New Roman" w:cs="Times New Roman"/>
          <w:noProof/>
          <w:sz w:val="24"/>
          <w:szCs w:val="24"/>
          <w:lang w:val="en-GB" w:eastAsia="de-DE"/>
        </w:rPr>
        <w:lastRenderedPageBreak/>
        <w:drawing>
          <wp:inline distT="0" distB="0" distL="0" distR="0" wp14:anchorId="095E7C78" wp14:editId="08D9C3C4">
            <wp:extent cx="5743575" cy="3448050"/>
            <wp:effectExtent l="0" t="0" r="0" b="0"/>
            <wp:docPr id="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6"/>
                    <pic:cNvPicPr>
                      <a:picLocks noChangeAspect="1" noChangeArrowheads="1"/>
                    </pic:cNvPicPr>
                  </pic:nvPicPr>
                  <pic:blipFill>
                    <a:blip r:embed="rId11" cstate="print"/>
                    <a:stretch>
                      <a:fillRect/>
                    </a:stretch>
                  </pic:blipFill>
                  <pic:spPr bwMode="auto">
                    <a:xfrm>
                      <a:off x="0" y="0"/>
                      <a:ext cx="5743575" cy="3448050"/>
                    </a:xfrm>
                    <a:prstGeom prst="rect">
                      <a:avLst/>
                    </a:prstGeom>
                  </pic:spPr>
                </pic:pic>
              </a:graphicData>
            </a:graphic>
          </wp:inline>
        </w:drawing>
      </w:r>
      <w:r w:rsidRPr="00610838">
        <w:rPr>
          <w:rFonts w:ascii="Times New Roman" w:hAnsi="Times New Roman" w:cs="Times New Roman"/>
          <w:b/>
          <w:bCs/>
          <w:sz w:val="24"/>
          <w:szCs w:val="24"/>
          <w:lang w:val="en-GB"/>
        </w:rPr>
        <w:t xml:space="preserve"> </w:t>
      </w:r>
      <w:r w:rsidRPr="00610838">
        <w:rPr>
          <w:rFonts w:ascii="Times New Roman" w:hAnsi="Times New Roman" w:cs="Times New Roman"/>
          <w:b/>
          <w:bCs/>
          <w:sz w:val="20"/>
          <w:szCs w:val="24"/>
          <w:lang w:val="en-GB"/>
        </w:rPr>
        <w:t>Supplementary</w:t>
      </w:r>
      <w:r w:rsidRPr="00610838">
        <w:rPr>
          <w:rFonts w:ascii="Times New Roman" w:hAnsi="Times New Roman" w:cs="Times New Roman"/>
          <w:b/>
          <w:bCs/>
          <w:sz w:val="16"/>
          <w:szCs w:val="24"/>
          <w:lang w:val="en-GB"/>
        </w:rPr>
        <w:t xml:space="preserve"> </w:t>
      </w:r>
      <w:r w:rsidRPr="00610838">
        <w:rPr>
          <w:rFonts w:ascii="Times New Roman" w:hAnsi="Times New Roman" w:cs="Times New Roman"/>
          <w:b/>
          <w:bCs/>
          <w:sz w:val="20"/>
          <w:szCs w:val="24"/>
          <w:lang w:val="en-GB"/>
        </w:rPr>
        <w:t xml:space="preserve">Fig. </w:t>
      </w:r>
      <w:r w:rsidR="00F80471">
        <w:rPr>
          <w:rFonts w:ascii="Times New Roman" w:hAnsi="Times New Roman" w:cs="Times New Roman"/>
          <w:b/>
          <w:bCs/>
          <w:sz w:val="20"/>
          <w:szCs w:val="24"/>
          <w:lang w:val="en-GB"/>
        </w:rPr>
        <w:t>4</w:t>
      </w:r>
      <w:r w:rsidRPr="00610838">
        <w:rPr>
          <w:rFonts w:ascii="Times New Roman" w:hAnsi="Times New Roman" w:cs="Times New Roman"/>
          <w:b/>
          <w:bCs/>
          <w:sz w:val="20"/>
          <w:szCs w:val="24"/>
          <w:lang w:val="en-GB"/>
        </w:rPr>
        <w:t>. Genetic map length per each chromosome for the conventional, organic and initial populations.</w:t>
      </w:r>
      <w:r w:rsidRPr="00610838">
        <w:rPr>
          <w:rFonts w:ascii="Times New Roman" w:hAnsi="Times New Roman" w:cs="Times New Roman"/>
          <w:iCs/>
          <w:sz w:val="20"/>
          <w:szCs w:val="24"/>
          <w:lang w:val="en-GB"/>
        </w:rPr>
        <w:t xml:space="preserve"> The chromosome-wise sum of LD is facetted for chromosomes and plotted against the generation (</w:t>
      </w:r>
      <w:r w:rsidRPr="00610838">
        <w:rPr>
          <w:rFonts w:ascii="Times New Roman" w:hAnsi="Times New Roman" w:cs="Times New Roman"/>
          <w:i/>
          <w:iCs/>
          <w:sz w:val="20"/>
          <w:szCs w:val="24"/>
          <w:lang w:val="en-GB"/>
        </w:rPr>
        <w:t>x</w:t>
      </w:r>
      <w:r w:rsidRPr="00610838">
        <w:rPr>
          <w:rFonts w:ascii="Times New Roman" w:hAnsi="Times New Roman" w:cs="Times New Roman"/>
          <w:iCs/>
          <w:sz w:val="20"/>
          <w:szCs w:val="24"/>
          <w:lang w:val="en-GB"/>
        </w:rPr>
        <w:t>-axis).</w:t>
      </w:r>
      <w:r w:rsidRPr="00610838">
        <w:rPr>
          <w:rFonts w:ascii="Times New Roman" w:hAnsi="Times New Roman" w:cs="Times New Roman"/>
          <w:b/>
          <w:bCs/>
          <w:sz w:val="20"/>
          <w:szCs w:val="24"/>
          <w:lang w:val="en-GB"/>
        </w:rPr>
        <w:t xml:space="preserve"> </w:t>
      </w:r>
      <w:r w:rsidRPr="00610838">
        <w:rPr>
          <w:rFonts w:ascii="Times New Roman" w:hAnsi="Times New Roman" w:cs="Times New Roman"/>
          <w:iCs/>
          <w:sz w:val="20"/>
          <w:szCs w:val="24"/>
          <w:lang w:val="en-GB"/>
        </w:rPr>
        <w:t>A high value is associated with high variability. Decreasing values indicate reduced variability, as observed for the conventional system.</w:t>
      </w:r>
    </w:p>
    <w:p w14:paraId="7142EC7E" w14:textId="7F62BE45" w:rsidR="00F80471" w:rsidRDefault="00F80471" w:rsidP="00F80471">
      <w:pPr>
        <w:rPr>
          <w:rFonts w:ascii="Times New Roman" w:hAnsi="Times New Roman" w:cs="Times New Roman"/>
          <w:b/>
          <w:bCs/>
          <w:sz w:val="20"/>
          <w:szCs w:val="20"/>
          <w:lang w:val="en-GB"/>
        </w:rPr>
      </w:pPr>
      <w:r>
        <w:rPr>
          <w:rFonts w:ascii="Times New Roman" w:hAnsi="Times New Roman" w:cs="Times New Roman"/>
          <w:b/>
          <w:bCs/>
          <w:noProof/>
          <w:sz w:val="20"/>
          <w:szCs w:val="20"/>
          <w:lang w:val="en-GB"/>
        </w:rPr>
        <w:drawing>
          <wp:inline distT="0" distB="0" distL="0" distR="0" wp14:anchorId="4F0C5780" wp14:editId="772FC9EF">
            <wp:extent cx="5751195" cy="2557780"/>
            <wp:effectExtent l="0" t="0" r="190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1195" cy="2557780"/>
                    </a:xfrm>
                    <a:prstGeom prst="rect">
                      <a:avLst/>
                    </a:prstGeom>
                    <a:noFill/>
                    <a:ln>
                      <a:noFill/>
                    </a:ln>
                  </pic:spPr>
                </pic:pic>
              </a:graphicData>
            </a:graphic>
          </wp:inline>
        </w:drawing>
      </w:r>
    </w:p>
    <w:p w14:paraId="13D1D2C7" w14:textId="7CD80DBF" w:rsidR="00F80471" w:rsidRPr="00610838" w:rsidRDefault="00F80471" w:rsidP="00F80471">
      <w:pPr>
        <w:rPr>
          <w:rFonts w:ascii="Times New Roman" w:hAnsi="Times New Roman" w:cs="Times New Roman"/>
          <w:i/>
          <w:iCs/>
          <w:sz w:val="20"/>
          <w:szCs w:val="20"/>
          <w:lang w:val="en-GB"/>
        </w:rPr>
      </w:pPr>
      <w:r w:rsidRPr="00127896">
        <w:rPr>
          <w:rFonts w:ascii="Times New Roman" w:hAnsi="Times New Roman" w:cs="Times New Roman"/>
          <w:b/>
          <w:bCs/>
          <w:sz w:val="20"/>
          <w:szCs w:val="20"/>
          <w:lang w:val="en-GB"/>
        </w:rPr>
        <w:t>Supplementary Figure 4: Comparison of the genetic to physical position of the 9KiSelect consensus map (yellow) and a</w:t>
      </w:r>
      <w:r w:rsidR="00BF510C" w:rsidRPr="00127896">
        <w:rPr>
          <w:rFonts w:ascii="Times New Roman" w:hAnsi="Times New Roman" w:cs="Times New Roman"/>
          <w:b/>
          <w:bCs/>
          <w:sz w:val="20"/>
          <w:szCs w:val="20"/>
          <w:lang w:val="en-GB"/>
        </w:rPr>
        <w:t>n estimated</w:t>
      </w:r>
      <w:r w:rsidRPr="00127896">
        <w:rPr>
          <w:rFonts w:ascii="Times New Roman" w:hAnsi="Times New Roman" w:cs="Times New Roman"/>
          <w:b/>
          <w:bCs/>
          <w:sz w:val="20"/>
          <w:szCs w:val="20"/>
          <w:lang w:val="en-GB"/>
        </w:rPr>
        <w:t xml:space="preserve"> </w:t>
      </w:r>
      <w:r w:rsidR="00BF510C" w:rsidRPr="00127896">
        <w:rPr>
          <w:rFonts w:ascii="Times New Roman" w:hAnsi="Times New Roman" w:cs="Times New Roman"/>
          <w:b/>
          <w:bCs/>
          <w:sz w:val="20"/>
          <w:szCs w:val="20"/>
          <w:lang w:val="en-GB"/>
        </w:rPr>
        <w:t xml:space="preserve">genetic map by the allele frequency variations (blue, </w:t>
      </w:r>
      <w:proofErr w:type="spellStart"/>
      <w:r w:rsidR="00BF510C" w:rsidRPr="00127896">
        <w:rPr>
          <w:rFonts w:ascii="Times New Roman" w:hAnsi="Times New Roman" w:cs="Times New Roman"/>
          <w:b/>
          <w:bCs/>
          <w:sz w:val="20"/>
          <w:szCs w:val="20"/>
          <w:lang w:val="en-GB"/>
        </w:rPr>
        <w:t>AFsim</w:t>
      </w:r>
      <w:proofErr w:type="spellEnd"/>
      <w:r w:rsidR="00BF510C" w:rsidRPr="00127896">
        <w:rPr>
          <w:rFonts w:ascii="Times New Roman" w:hAnsi="Times New Roman" w:cs="Times New Roman"/>
          <w:b/>
          <w:bCs/>
          <w:sz w:val="20"/>
          <w:szCs w:val="20"/>
          <w:lang w:val="en-GB"/>
        </w:rPr>
        <w:t xml:space="preserve">). </w:t>
      </w:r>
      <w:r w:rsidRPr="00127896">
        <w:rPr>
          <w:rFonts w:ascii="Times New Roman" w:hAnsi="Times New Roman" w:cs="Times New Roman"/>
          <w:b/>
          <w:bCs/>
          <w:sz w:val="20"/>
          <w:szCs w:val="20"/>
          <w:lang w:val="en-GB"/>
        </w:rPr>
        <w:t xml:space="preserve"> The genetic distance compared to the physical distance to investigate the recombination event likelihood. </w:t>
      </w:r>
      <w:r w:rsidR="00BF510C" w:rsidRPr="00127896">
        <w:rPr>
          <w:rFonts w:ascii="Times New Roman" w:hAnsi="Times New Roman" w:cs="Times New Roman"/>
          <w:bCs/>
          <w:sz w:val="20"/>
          <w:szCs w:val="20"/>
          <w:lang w:val="en-GB"/>
        </w:rPr>
        <w:t>The genetic position (</w:t>
      </w:r>
      <w:r w:rsidR="00BF510C" w:rsidRPr="00127896">
        <w:rPr>
          <w:rFonts w:ascii="Times New Roman" w:hAnsi="Times New Roman" w:cs="Times New Roman"/>
          <w:bCs/>
          <w:i/>
          <w:sz w:val="20"/>
          <w:szCs w:val="20"/>
          <w:lang w:val="en-GB"/>
        </w:rPr>
        <w:t>y</w:t>
      </w:r>
      <w:r w:rsidR="00BF510C" w:rsidRPr="00127896">
        <w:rPr>
          <w:rFonts w:ascii="Times New Roman" w:hAnsi="Times New Roman" w:cs="Times New Roman"/>
          <w:bCs/>
          <w:sz w:val="20"/>
          <w:szCs w:val="20"/>
          <w:lang w:val="en-GB"/>
        </w:rPr>
        <w:t>-axis) is plotted against the physical position (</w:t>
      </w:r>
      <w:r w:rsidR="00BF510C" w:rsidRPr="00127896">
        <w:rPr>
          <w:rFonts w:ascii="Times New Roman" w:hAnsi="Times New Roman" w:cs="Times New Roman"/>
          <w:bCs/>
          <w:i/>
          <w:sz w:val="20"/>
          <w:szCs w:val="20"/>
          <w:lang w:val="en-GB"/>
        </w:rPr>
        <w:t>x</w:t>
      </w:r>
      <w:r w:rsidR="00BF510C" w:rsidRPr="00127896">
        <w:rPr>
          <w:rFonts w:ascii="Times New Roman" w:hAnsi="Times New Roman" w:cs="Times New Roman"/>
          <w:bCs/>
          <w:sz w:val="20"/>
          <w:szCs w:val="20"/>
          <w:lang w:val="en-GB"/>
        </w:rPr>
        <w:t xml:space="preserve">-axis). Based the genetic position of the 9KiSelect chip, a F4 population of 4,000 individuals was simulated using </w:t>
      </w:r>
      <w:proofErr w:type="spellStart"/>
      <w:r w:rsidR="00BF510C" w:rsidRPr="00127896">
        <w:rPr>
          <w:rFonts w:ascii="Times New Roman" w:hAnsi="Times New Roman" w:cs="Times New Roman"/>
          <w:bCs/>
          <w:sz w:val="20"/>
          <w:szCs w:val="20"/>
          <w:lang w:val="en-GB"/>
        </w:rPr>
        <w:t>AlphaSimR</w:t>
      </w:r>
      <w:proofErr w:type="spellEnd"/>
      <w:r w:rsidR="00BF510C" w:rsidRPr="00127896">
        <w:rPr>
          <w:rFonts w:ascii="Times New Roman" w:hAnsi="Times New Roman" w:cs="Times New Roman"/>
          <w:bCs/>
          <w:sz w:val="20"/>
          <w:szCs w:val="20"/>
          <w:lang w:val="en-GB"/>
        </w:rPr>
        <w:t xml:space="preserve"> for 3,999 markers. For each marker, the allele frequency was calculated and subsequently D’ and the genetic map calculated based on the physical distance and the allele frequency variation of neighbouring markers. Without the </w:t>
      </w:r>
      <w:r w:rsidR="00D30503" w:rsidRPr="00127896">
        <w:rPr>
          <w:rFonts w:ascii="Times New Roman" w:hAnsi="Times New Roman" w:cs="Times New Roman"/>
          <w:bCs/>
          <w:sz w:val="20"/>
          <w:szCs w:val="20"/>
          <w:lang w:val="en-GB"/>
        </w:rPr>
        <w:t>utilization of haplotype information, the correlation of the estimated to real genetic map is greater 0.93. The Pearson correlation of both genetic maps for each chromosome is presented in the bottom right of the plot.</w:t>
      </w:r>
    </w:p>
    <w:bookmarkEnd w:id="25"/>
    <w:p w14:paraId="3EFA2AA2" w14:textId="77777777" w:rsidR="000331ED" w:rsidRPr="00610838" w:rsidRDefault="000331ED" w:rsidP="004D29DB">
      <w:pPr>
        <w:jc w:val="both"/>
        <w:rPr>
          <w:rFonts w:ascii="Times New Roman" w:hAnsi="Times New Roman" w:cs="Times New Roman"/>
          <w:sz w:val="24"/>
          <w:szCs w:val="24"/>
          <w:lang w:val="en-GB"/>
        </w:rPr>
      </w:pPr>
    </w:p>
    <w:p w14:paraId="1E425AC0" w14:textId="2E9AA24B" w:rsidR="00E71980" w:rsidRPr="00610838" w:rsidRDefault="00C35C8D" w:rsidP="00C35C8D">
      <w:pPr>
        <w:rPr>
          <w:rFonts w:ascii="Times New Roman" w:hAnsi="Times New Roman" w:cs="Times New Roman"/>
          <w:iCs/>
          <w:sz w:val="20"/>
          <w:szCs w:val="20"/>
          <w:lang w:val="en-GB"/>
        </w:rPr>
      </w:pPr>
      <w:bookmarkStart w:id="26" w:name="_Hlk54768734"/>
      <w:r w:rsidRPr="00610838">
        <w:rPr>
          <w:rFonts w:ascii="Times New Roman" w:hAnsi="Times New Roman" w:cs="Times New Roman"/>
          <w:noProof/>
          <w:lang w:val="en-GB" w:eastAsia="de-DE"/>
        </w:rPr>
        <w:lastRenderedPageBreak/>
        <w:drawing>
          <wp:inline distT="0" distB="0" distL="0" distR="0" wp14:anchorId="1E4B48FB" wp14:editId="493B87A5">
            <wp:extent cx="5760720" cy="28803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2880360"/>
                    </a:xfrm>
                    <a:prstGeom prst="rect">
                      <a:avLst/>
                    </a:prstGeom>
                    <a:noFill/>
                    <a:ln>
                      <a:noFill/>
                    </a:ln>
                  </pic:spPr>
                </pic:pic>
              </a:graphicData>
            </a:graphic>
          </wp:inline>
        </w:drawing>
      </w:r>
      <w:r w:rsidRPr="00610838">
        <w:rPr>
          <w:rFonts w:ascii="Times New Roman" w:hAnsi="Times New Roman" w:cs="Times New Roman"/>
          <w:b/>
          <w:bCs/>
          <w:sz w:val="20"/>
          <w:szCs w:val="20"/>
          <w:lang w:val="en-GB"/>
        </w:rPr>
        <w:t xml:space="preserve">Supplementary Figure </w:t>
      </w:r>
      <w:r w:rsidR="002B3B13">
        <w:rPr>
          <w:rFonts w:ascii="Times New Roman" w:hAnsi="Times New Roman" w:cs="Times New Roman"/>
          <w:b/>
          <w:bCs/>
          <w:sz w:val="20"/>
          <w:szCs w:val="20"/>
          <w:lang w:val="en-GB"/>
        </w:rPr>
        <w:t>6</w:t>
      </w:r>
      <w:r w:rsidRPr="00610838">
        <w:rPr>
          <w:rFonts w:ascii="Times New Roman" w:hAnsi="Times New Roman" w:cs="Times New Roman"/>
          <w:b/>
          <w:bCs/>
          <w:sz w:val="20"/>
          <w:szCs w:val="20"/>
          <w:lang w:val="en-GB"/>
        </w:rPr>
        <w:t xml:space="preserve">: Summary statistics of annual weather-related values. </w:t>
      </w:r>
      <w:r w:rsidRPr="00610838">
        <w:rPr>
          <w:rFonts w:ascii="Times New Roman" w:hAnsi="Times New Roman" w:cs="Times New Roman"/>
          <w:iCs/>
          <w:sz w:val="20"/>
          <w:szCs w:val="20"/>
          <w:lang w:val="en-GB"/>
        </w:rPr>
        <w:t xml:space="preserve">Nine windows for the most relevant weather characteristics are illustrated. While the </w:t>
      </w:r>
      <w:r w:rsidRPr="00610838">
        <w:rPr>
          <w:rFonts w:ascii="Times New Roman" w:hAnsi="Times New Roman" w:cs="Times New Roman"/>
          <w:i/>
          <w:iCs/>
          <w:sz w:val="20"/>
          <w:szCs w:val="20"/>
          <w:lang w:val="en-GB"/>
        </w:rPr>
        <w:t>y</w:t>
      </w:r>
      <w:r w:rsidRPr="00610838">
        <w:rPr>
          <w:rFonts w:ascii="Times New Roman" w:hAnsi="Times New Roman" w:cs="Times New Roman"/>
          <w:iCs/>
          <w:sz w:val="20"/>
          <w:szCs w:val="20"/>
          <w:lang w:val="en-GB"/>
        </w:rPr>
        <w:t xml:space="preserve">-axis reports the value in the unit given in the sub figure title, the </w:t>
      </w:r>
      <w:r w:rsidRPr="00610838">
        <w:rPr>
          <w:rFonts w:ascii="Times New Roman" w:hAnsi="Times New Roman" w:cs="Times New Roman"/>
          <w:i/>
          <w:iCs/>
          <w:sz w:val="20"/>
          <w:szCs w:val="20"/>
          <w:lang w:val="en-GB"/>
        </w:rPr>
        <w:t>x</w:t>
      </w:r>
      <w:r w:rsidRPr="00610838">
        <w:rPr>
          <w:rFonts w:ascii="Times New Roman" w:hAnsi="Times New Roman" w:cs="Times New Roman"/>
          <w:iCs/>
          <w:sz w:val="20"/>
          <w:szCs w:val="20"/>
          <w:lang w:val="en-GB"/>
        </w:rPr>
        <w:t xml:space="preserve">-axis reports the years. Filled dots indicate the values of the year, while the empty dots present the mean over the period (serval year). As two different weather stations were used in the duration of the experiment, the measurements taken from </w:t>
      </w:r>
      <w:proofErr w:type="gramStart"/>
      <w:r w:rsidRPr="00610838">
        <w:rPr>
          <w:rFonts w:ascii="Times New Roman" w:hAnsi="Times New Roman" w:cs="Times New Roman"/>
          <w:iCs/>
          <w:sz w:val="20"/>
          <w:szCs w:val="20"/>
          <w:lang w:val="en-GB"/>
        </w:rPr>
        <w:t>these deviate</w:t>
      </w:r>
      <w:proofErr w:type="gramEnd"/>
      <w:r w:rsidRPr="00610838">
        <w:rPr>
          <w:rFonts w:ascii="Times New Roman" w:hAnsi="Times New Roman" w:cs="Times New Roman"/>
          <w:iCs/>
          <w:sz w:val="20"/>
          <w:szCs w:val="20"/>
          <w:lang w:val="en-GB"/>
        </w:rPr>
        <w:t xml:space="preserve"> little from each other. To overcome this, the over annual average values (white dots) were calculated for each station separately. The black line between the filled black and the white dot is the annual deviation from the over annual mean. For each of the nine windows, either the mean (temperatures, humidity) or the sum (drought, evapotranspiration, precipitation, radiation, Eta to </w:t>
      </w:r>
      <w:proofErr w:type="spellStart"/>
      <w:r w:rsidRPr="00610838">
        <w:rPr>
          <w:rFonts w:ascii="Times New Roman" w:hAnsi="Times New Roman" w:cs="Times New Roman"/>
          <w:iCs/>
          <w:sz w:val="20"/>
          <w:szCs w:val="20"/>
          <w:lang w:val="en-GB"/>
        </w:rPr>
        <w:t>ETc</w:t>
      </w:r>
      <w:proofErr w:type="spellEnd"/>
      <w:r w:rsidRPr="00610838">
        <w:rPr>
          <w:rFonts w:ascii="Times New Roman" w:hAnsi="Times New Roman" w:cs="Times New Roman"/>
          <w:iCs/>
          <w:sz w:val="20"/>
          <w:szCs w:val="20"/>
          <w:lang w:val="en-GB"/>
        </w:rPr>
        <w:t xml:space="preserve"> ratio) over the reported trait is presented.</w:t>
      </w:r>
    </w:p>
    <w:p w14:paraId="08B7DE71" w14:textId="2537E436" w:rsidR="00E71980" w:rsidRPr="00610838" w:rsidRDefault="00E71980" w:rsidP="00C35C8D">
      <w:pPr>
        <w:rPr>
          <w:rFonts w:ascii="Times New Roman" w:hAnsi="Times New Roman" w:cs="Times New Roman"/>
          <w:i/>
          <w:iCs/>
          <w:sz w:val="28"/>
          <w:szCs w:val="20"/>
          <w:lang w:val="en-GB"/>
        </w:rPr>
      </w:pPr>
      <w:r w:rsidRPr="00610838">
        <w:rPr>
          <w:rFonts w:ascii="Times New Roman" w:hAnsi="Times New Roman" w:cs="Times New Roman"/>
          <w:iCs/>
          <w:sz w:val="20"/>
          <w:szCs w:val="20"/>
          <w:lang w:val="en-GB"/>
        </w:rPr>
        <w:br w:type="page"/>
      </w:r>
      <w:r w:rsidRPr="00610838">
        <w:rPr>
          <w:rFonts w:ascii="Times New Roman" w:hAnsi="Times New Roman" w:cs="Times New Roman"/>
          <w:i/>
          <w:iCs/>
          <w:sz w:val="28"/>
          <w:szCs w:val="20"/>
          <w:lang w:val="en-GB"/>
        </w:rPr>
        <w:lastRenderedPageBreak/>
        <w:t>A</w:t>
      </w:r>
    </w:p>
    <w:p w14:paraId="10DD3BA4" w14:textId="77777777" w:rsidR="004166C8" w:rsidRPr="00610838" w:rsidRDefault="00F10590" w:rsidP="00F10590">
      <w:pPr>
        <w:rPr>
          <w:rFonts w:ascii="Times New Roman" w:hAnsi="Times New Roman" w:cs="Times New Roman"/>
          <w:b/>
          <w:bCs/>
          <w:sz w:val="20"/>
          <w:szCs w:val="20"/>
          <w:lang w:val="en-GB"/>
        </w:rPr>
      </w:pPr>
      <w:bookmarkStart w:id="27" w:name="_Hlk54768769"/>
      <w:bookmarkEnd w:id="26"/>
      <w:r w:rsidRPr="00610838">
        <w:rPr>
          <w:rFonts w:ascii="Times New Roman" w:hAnsi="Times New Roman" w:cs="Times New Roman"/>
          <w:noProof/>
          <w:lang w:val="en-GB" w:eastAsia="de-DE"/>
        </w:rPr>
        <w:drawing>
          <wp:inline distT="0" distB="0" distL="0" distR="0" wp14:anchorId="0BCFA334" wp14:editId="37B4C8B3">
            <wp:extent cx="5760720" cy="3291840"/>
            <wp:effectExtent l="0" t="0" r="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3291840"/>
                    </a:xfrm>
                    <a:prstGeom prst="rect">
                      <a:avLst/>
                    </a:prstGeom>
                  </pic:spPr>
                </pic:pic>
              </a:graphicData>
            </a:graphic>
          </wp:inline>
        </w:drawing>
      </w:r>
    </w:p>
    <w:p w14:paraId="1245CAF6" w14:textId="77777777" w:rsidR="00E71980" w:rsidRPr="00610838" w:rsidRDefault="00E71980" w:rsidP="00F10590">
      <w:pPr>
        <w:rPr>
          <w:rFonts w:ascii="Times New Roman" w:hAnsi="Times New Roman" w:cs="Times New Roman"/>
          <w:i/>
          <w:iCs/>
          <w:sz w:val="28"/>
          <w:szCs w:val="20"/>
          <w:lang w:val="en-GB"/>
        </w:rPr>
      </w:pPr>
      <w:r w:rsidRPr="00610838">
        <w:rPr>
          <w:rFonts w:ascii="Times New Roman" w:hAnsi="Times New Roman" w:cs="Times New Roman"/>
          <w:i/>
          <w:iCs/>
          <w:sz w:val="28"/>
          <w:szCs w:val="20"/>
          <w:lang w:val="en-GB"/>
        </w:rPr>
        <w:t>B</w:t>
      </w:r>
    </w:p>
    <w:p w14:paraId="1A8804AE" w14:textId="77777777" w:rsidR="004166C8" w:rsidRPr="00610838" w:rsidRDefault="004166C8" w:rsidP="00F10590">
      <w:pPr>
        <w:rPr>
          <w:rFonts w:ascii="Times New Roman" w:hAnsi="Times New Roman" w:cs="Times New Roman"/>
          <w:b/>
          <w:bCs/>
          <w:sz w:val="20"/>
          <w:szCs w:val="20"/>
          <w:lang w:val="en-GB"/>
        </w:rPr>
      </w:pPr>
      <w:r w:rsidRPr="00610838">
        <w:rPr>
          <w:rFonts w:ascii="Times New Roman" w:hAnsi="Times New Roman" w:cs="Times New Roman"/>
          <w:b/>
          <w:bCs/>
          <w:noProof/>
          <w:sz w:val="20"/>
          <w:szCs w:val="20"/>
          <w:lang w:val="en-GB" w:eastAsia="de-DE"/>
        </w:rPr>
        <w:drawing>
          <wp:inline distT="0" distB="0" distL="0" distR="0" wp14:anchorId="2D844775" wp14:editId="46B61178">
            <wp:extent cx="5753100" cy="3048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4762"/>
                    <a:stretch/>
                  </pic:blipFill>
                  <pic:spPr bwMode="auto">
                    <a:xfrm>
                      <a:off x="0" y="0"/>
                      <a:ext cx="5753100" cy="3048000"/>
                    </a:xfrm>
                    <a:prstGeom prst="rect">
                      <a:avLst/>
                    </a:prstGeom>
                    <a:noFill/>
                    <a:ln>
                      <a:noFill/>
                    </a:ln>
                    <a:extLst>
                      <a:ext uri="{53640926-AAD7-44D8-BBD7-CCE9431645EC}">
                        <a14:shadowObscured xmlns:a14="http://schemas.microsoft.com/office/drawing/2010/main"/>
                      </a:ext>
                    </a:extLst>
                  </pic:spPr>
                </pic:pic>
              </a:graphicData>
            </a:graphic>
          </wp:inline>
        </w:drawing>
      </w:r>
    </w:p>
    <w:p w14:paraId="6F283B5C" w14:textId="7D50F1FB" w:rsidR="00F10590" w:rsidRPr="00610838" w:rsidRDefault="00F10590" w:rsidP="00F10590">
      <w:pPr>
        <w:rPr>
          <w:rFonts w:ascii="Times New Roman" w:hAnsi="Times New Roman" w:cs="Times New Roman"/>
          <w:bCs/>
          <w:sz w:val="20"/>
          <w:szCs w:val="20"/>
          <w:lang w:val="en-GB"/>
        </w:rPr>
      </w:pPr>
      <w:r w:rsidRPr="00610838">
        <w:rPr>
          <w:rFonts w:ascii="Times New Roman" w:hAnsi="Times New Roman" w:cs="Times New Roman"/>
          <w:b/>
          <w:bCs/>
          <w:sz w:val="20"/>
          <w:szCs w:val="20"/>
          <w:lang w:val="en-GB"/>
        </w:rPr>
        <w:t xml:space="preserve">Supplementary Figure </w:t>
      </w:r>
      <w:r w:rsidR="002B3B13">
        <w:rPr>
          <w:rFonts w:ascii="Times New Roman" w:hAnsi="Times New Roman" w:cs="Times New Roman"/>
          <w:b/>
          <w:bCs/>
          <w:sz w:val="20"/>
          <w:szCs w:val="20"/>
          <w:lang w:val="en-GB"/>
        </w:rPr>
        <w:t>7</w:t>
      </w:r>
      <w:r w:rsidRPr="00610838">
        <w:rPr>
          <w:rFonts w:ascii="Times New Roman" w:hAnsi="Times New Roman" w:cs="Times New Roman"/>
          <w:b/>
          <w:bCs/>
          <w:sz w:val="20"/>
          <w:szCs w:val="20"/>
          <w:lang w:val="en-GB"/>
        </w:rPr>
        <w:t xml:space="preserve">: </w:t>
      </w:r>
      <w:r w:rsidR="00127A2E" w:rsidRPr="00610838">
        <w:rPr>
          <w:rFonts w:ascii="Times New Roman" w:hAnsi="Times New Roman" w:cs="Times New Roman"/>
          <w:b/>
          <w:bCs/>
          <w:sz w:val="20"/>
          <w:szCs w:val="20"/>
          <w:lang w:val="en-GB"/>
        </w:rPr>
        <w:t>Annual vegetation period weather</w:t>
      </w:r>
      <w:r w:rsidRPr="00610838">
        <w:rPr>
          <w:rFonts w:ascii="Times New Roman" w:hAnsi="Times New Roman" w:cs="Times New Roman"/>
          <w:b/>
          <w:bCs/>
          <w:sz w:val="20"/>
          <w:szCs w:val="20"/>
          <w:lang w:val="en-GB"/>
        </w:rPr>
        <w:t>.</w:t>
      </w:r>
      <w:r w:rsidR="00127A2E" w:rsidRPr="00610838">
        <w:rPr>
          <w:rFonts w:ascii="Times New Roman" w:hAnsi="Times New Roman" w:cs="Times New Roman"/>
          <w:b/>
          <w:bCs/>
          <w:sz w:val="20"/>
          <w:szCs w:val="20"/>
          <w:lang w:val="en-GB"/>
        </w:rPr>
        <w:t xml:space="preserve"> A</w:t>
      </w:r>
      <w:r w:rsidRPr="00610838">
        <w:rPr>
          <w:rFonts w:ascii="Times New Roman" w:hAnsi="Times New Roman" w:cs="Times New Roman"/>
          <w:b/>
          <w:bCs/>
          <w:sz w:val="20"/>
          <w:szCs w:val="20"/>
          <w:lang w:val="en-GB"/>
        </w:rPr>
        <w:t xml:space="preserve"> </w:t>
      </w:r>
      <w:r w:rsidR="00127A2E" w:rsidRPr="00610838">
        <w:rPr>
          <w:rFonts w:ascii="Times New Roman" w:hAnsi="Times New Roman" w:cs="Times New Roman"/>
          <w:b/>
          <w:bCs/>
          <w:sz w:val="20"/>
          <w:szCs w:val="20"/>
          <w:lang w:val="en-GB"/>
        </w:rPr>
        <w:t xml:space="preserve">- </w:t>
      </w:r>
      <w:r w:rsidRPr="00610838">
        <w:rPr>
          <w:rFonts w:ascii="Times New Roman" w:hAnsi="Times New Roman" w:cs="Times New Roman"/>
          <w:iCs/>
          <w:sz w:val="20"/>
          <w:szCs w:val="20"/>
          <w:lang w:val="en-GB"/>
        </w:rPr>
        <w:t xml:space="preserve">The average daily temperature in °C (blue), daily sum of evapotranspiration (magenta) and precipitation (green) in </w:t>
      </w:r>
      <w:r w:rsidR="00526926" w:rsidRPr="00610838">
        <w:rPr>
          <w:rFonts w:ascii="Times New Roman" w:hAnsi="Times New Roman" w:cs="Times New Roman"/>
          <w:iCs/>
          <w:sz w:val="20"/>
          <w:szCs w:val="20"/>
          <w:lang w:val="en-GB"/>
        </w:rPr>
        <w:t>millimetres</w:t>
      </w:r>
      <w:r w:rsidRPr="00610838">
        <w:rPr>
          <w:rFonts w:ascii="Times New Roman" w:hAnsi="Times New Roman" w:cs="Times New Roman"/>
          <w:iCs/>
          <w:sz w:val="20"/>
          <w:szCs w:val="20"/>
          <w:lang w:val="en-GB"/>
        </w:rPr>
        <w:t xml:space="preserve"> (</w:t>
      </w:r>
      <w:r w:rsidRPr="00610838">
        <w:rPr>
          <w:rFonts w:ascii="Times New Roman" w:hAnsi="Times New Roman" w:cs="Times New Roman"/>
          <w:i/>
          <w:iCs/>
          <w:sz w:val="20"/>
          <w:szCs w:val="20"/>
          <w:lang w:val="en-GB"/>
        </w:rPr>
        <w:t>y</w:t>
      </w:r>
      <w:r w:rsidRPr="00610838">
        <w:rPr>
          <w:rFonts w:ascii="Times New Roman" w:hAnsi="Times New Roman" w:cs="Times New Roman"/>
          <w:iCs/>
          <w:sz w:val="20"/>
          <w:szCs w:val="20"/>
          <w:lang w:val="en-GB"/>
        </w:rPr>
        <w:t>-axis) for each day of the growing season in days of the year (</w:t>
      </w:r>
      <w:r w:rsidRPr="00610838">
        <w:rPr>
          <w:rFonts w:ascii="Times New Roman" w:hAnsi="Times New Roman" w:cs="Times New Roman"/>
          <w:i/>
          <w:iCs/>
          <w:sz w:val="20"/>
          <w:szCs w:val="20"/>
          <w:lang w:val="en-GB"/>
        </w:rPr>
        <w:t>x</w:t>
      </w:r>
      <w:r w:rsidRPr="00610838">
        <w:rPr>
          <w:rFonts w:ascii="Times New Roman" w:hAnsi="Times New Roman" w:cs="Times New Roman"/>
          <w:iCs/>
          <w:sz w:val="20"/>
          <w:szCs w:val="20"/>
          <w:lang w:val="en-GB"/>
        </w:rPr>
        <w:t>-axis), starting by sawing date to end with the harvest date.</w:t>
      </w:r>
      <w:r w:rsidR="00127A2E" w:rsidRPr="00610838">
        <w:rPr>
          <w:rFonts w:ascii="Times New Roman" w:hAnsi="Times New Roman" w:cs="Times New Roman"/>
          <w:iCs/>
          <w:sz w:val="20"/>
          <w:szCs w:val="20"/>
          <w:lang w:val="en-GB"/>
        </w:rPr>
        <w:t xml:space="preserve"> </w:t>
      </w:r>
      <w:r w:rsidR="00127A2E" w:rsidRPr="00610838">
        <w:rPr>
          <w:rFonts w:ascii="Times New Roman" w:hAnsi="Times New Roman" w:cs="Times New Roman"/>
          <w:b/>
          <w:iCs/>
          <w:sz w:val="20"/>
          <w:szCs w:val="20"/>
          <w:lang w:val="en-GB"/>
        </w:rPr>
        <w:t xml:space="preserve">B </w:t>
      </w:r>
      <w:r w:rsidR="00127A2E" w:rsidRPr="00610838">
        <w:rPr>
          <w:rFonts w:ascii="Times New Roman" w:hAnsi="Times New Roman" w:cs="Times New Roman"/>
          <w:iCs/>
          <w:sz w:val="20"/>
          <w:szCs w:val="20"/>
          <w:lang w:val="en-GB"/>
        </w:rPr>
        <w:t xml:space="preserve">– the measured </w:t>
      </w:r>
      <w:r w:rsidR="00526926">
        <w:rPr>
          <w:rFonts w:ascii="Times New Roman" w:hAnsi="Times New Roman" w:cs="Times New Roman"/>
          <w:iCs/>
          <w:sz w:val="20"/>
          <w:szCs w:val="20"/>
          <w:lang w:val="en-GB"/>
        </w:rPr>
        <w:t xml:space="preserve">daily </w:t>
      </w:r>
      <w:r w:rsidR="00127A2E" w:rsidRPr="00610838">
        <w:rPr>
          <w:rFonts w:ascii="Times New Roman" w:hAnsi="Times New Roman" w:cs="Times New Roman"/>
          <w:iCs/>
          <w:sz w:val="20"/>
          <w:szCs w:val="20"/>
          <w:lang w:val="en-GB"/>
        </w:rPr>
        <w:t>minimal humidity during the anthesis stage. Years are clustered by letters according to their intersection of humidity levels during this developmental stage. High humidity levels were associated with increased potential for fungal attack of the canopy.</w:t>
      </w:r>
    </w:p>
    <w:p w14:paraId="757A2271" w14:textId="77777777" w:rsidR="00F10590" w:rsidRPr="00610838" w:rsidRDefault="00F10590" w:rsidP="00F10590">
      <w:pPr>
        <w:rPr>
          <w:rFonts w:ascii="Times New Roman" w:hAnsi="Times New Roman" w:cs="Times New Roman"/>
          <w:b/>
          <w:bCs/>
          <w:sz w:val="20"/>
          <w:szCs w:val="20"/>
          <w:lang w:val="en-GB"/>
        </w:rPr>
      </w:pPr>
      <w:bookmarkStart w:id="28" w:name="_Hlk54768861"/>
      <w:bookmarkEnd w:id="27"/>
      <w:r w:rsidRPr="00610838">
        <w:rPr>
          <w:rFonts w:ascii="Times New Roman" w:hAnsi="Times New Roman" w:cs="Times New Roman"/>
          <w:noProof/>
          <w:lang w:val="en-GB" w:eastAsia="de-DE"/>
        </w:rPr>
        <w:lastRenderedPageBreak/>
        <w:drawing>
          <wp:inline distT="0" distB="0" distL="0" distR="0" wp14:anchorId="51C90AC0" wp14:editId="28AE3FA5">
            <wp:extent cx="5760720" cy="3630624"/>
            <wp:effectExtent l="0" t="0" r="11430" b="8255"/>
            <wp:docPr id="23" name="Chart 23">
              <a:extLst xmlns:a="http://schemas.openxmlformats.org/drawingml/2006/main">
                <a:ext uri="{FF2B5EF4-FFF2-40B4-BE49-F238E27FC236}">
                  <a16:creationId xmlns:a16="http://schemas.microsoft.com/office/drawing/2014/main" id="{1229CE72-9952-4FC7-ADF6-CB3EE257A3C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9884A26" w14:textId="2560291D" w:rsidR="00F10590" w:rsidRPr="00610838" w:rsidRDefault="00F10590" w:rsidP="00F10590">
      <w:pPr>
        <w:rPr>
          <w:rFonts w:ascii="Times New Roman" w:hAnsi="Times New Roman" w:cs="Times New Roman"/>
          <w:b/>
          <w:bCs/>
          <w:sz w:val="20"/>
          <w:szCs w:val="20"/>
          <w:lang w:val="en-GB"/>
        </w:rPr>
      </w:pPr>
      <w:r w:rsidRPr="00610838">
        <w:rPr>
          <w:rFonts w:ascii="Times New Roman" w:hAnsi="Times New Roman" w:cs="Times New Roman"/>
          <w:noProof/>
          <w:lang w:val="en-GB" w:eastAsia="de-DE"/>
        </w:rPr>
        <w:drawing>
          <wp:inline distT="0" distB="0" distL="0" distR="0" wp14:anchorId="3FCC52E4" wp14:editId="1C94C647">
            <wp:extent cx="5760720" cy="3229833"/>
            <wp:effectExtent l="0" t="0" r="11430" b="8890"/>
            <wp:docPr id="24" name="Chart 24">
              <a:extLst xmlns:a="http://schemas.openxmlformats.org/drawingml/2006/main">
                <a:ext uri="{FF2B5EF4-FFF2-40B4-BE49-F238E27FC236}">
                  <a16:creationId xmlns:a16="http://schemas.microsoft.com/office/drawing/2014/main" id="{4F3576E8-4051-4BDB-92AB-07DF517043F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bookmarkStart w:id="29" w:name="_Hlk50548765"/>
      <w:r w:rsidRPr="00610838">
        <w:rPr>
          <w:rFonts w:ascii="Times New Roman" w:hAnsi="Times New Roman" w:cs="Times New Roman"/>
          <w:b/>
          <w:bCs/>
          <w:sz w:val="20"/>
          <w:szCs w:val="20"/>
          <w:lang w:val="en-GB"/>
        </w:rPr>
        <w:t xml:space="preserve">Supplementary Figure </w:t>
      </w:r>
      <w:bookmarkEnd w:id="29"/>
      <w:r w:rsidR="002B3B13">
        <w:rPr>
          <w:rFonts w:ascii="Times New Roman" w:hAnsi="Times New Roman" w:cs="Times New Roman"/>
          <w:b/>
          <w:bCs/>
          <w:sz w:val="20"/>
          <w:szCs w:val="20"/>
          <w:lang w:val="en-GB"/>
        </w:rPr>
        <w:t>8</w:t>
      </w:r>
      <w:r w:rsidRPr="00610838">
        <w:rPr>
          <w:rFonts w:ascii="Times New Roman" w:hAnsi="Times New Roman" w:cs="Times New Roman"/>
          <w:b/>
          <w:bCs/>
          <w:sz w:val="20"/>
          <w:szCs w:val="20"/>
          <w:lang w:val="en-GB"/>
        </w:rPr>
        <w:t xml:space="preserve">: Annual grain yield of conventional (A) and organic (B) populations. </w:t>
      </w:r>
      <w:r w:rsidRPr="00610838">
        <w:rPr>
          <w:rFonts w:ascii="Times New Roman" w:hAnsi="Times New Roman" w:cs="Times New Roman"/>
          <w:iCs/>
          <w:sz w:val="20"/>
          <w:szCs w:val="20"/>
          <w:lang w:val="en-GB"/>
        </w:rPr>
        <w:t xml:space="preserve">While the left </w:t>
      </w:r>
      <w:r w:rsidR="003C1FB5" w:rsidRPr="00610838">
        <w:rPr>
          <w:rFonts w:ascii="Times New Roman" w:hAnsi="Times New Roman" w:cs="Times New Roman"/>
          <w:i/>
          <w:iCs/>
          <w:sz w:val="20"/>
          <w:szCs w:val="20"/>
          <w:lang w:val="en-GB"/>
        </w:rPr>
        <w:t>y</w:t>
      </w:r>
      <w:r w:rsidRPr="00610838">
        <w:rPr>
          <w:rFonts w:ascii="Times New Roman" w:hAnsi="Times New Roman" w:cs="Times New Roman"/>
          <w:iCs/>
          <w:sz w:val="20"/>
          <w:szCs w:val="20"/>
          <w:lang w:val="en-GB"/>
        </w:rPr>
        <w:t>-</w:t>
      </w:r>
      <w:r w:rsidR="003C1FB5" w:rsidRPr="00610838">
        <w:rPr>
          <w:rFonts w:ascii="Times New Roman" w:hAnsi="Times New Roman" w:cs="Times New Roman"/>
          <w:iCs/>
          <w:sz w:val="20"/>
          <w:szCs w:val="20"/>
          <w:lang w:val="en-GB"/>
        </w:rPr>
        <w:t>a</w:t>
      </w:r>
      <w:r w:rsidRPr="00610838">
        <w:rPr>
          <w:rFonts w:ascii="Times New Roman" w:hAnsi="Times New Roman" w:cs="Times New Roman"/>
          <w:iCs/>
          <w:sz w:val="20"/>
          <w:szCs w:val="20"/>
          <w:lang w:val="en-GB"/>
        </w:rPr>
        <w:t xml:space="preserve">xis is associated to the red, green and purple lines of relative yield, the right </w:t>
      </w:r>
      <w:r w:rsidR="003C1FB5" w:rsidRPr="00610838">
        <w:rPr>
          <w:rFonts w:ascii="Times New Roman" w:hAnsi="Times New Roman" w:cs="Times New Roman"/>
          <w:i/>
          <w:iCs/>
          <w:sz w:val="20"/>
          <w:szCs w:val="20"/>
          <w:lang w:val="en-GB"/>
        </w:rPr>
        <w:t>y</w:t>
      </w:r>
      <w:r w:rsidRPr="00610838">
        <w:rPr>
          <w:rFonts w:ascii="Times New Roman" w:hAnsi="Times New Roman" w:cs="Times New Roman"/>
          <w:iCs/>
          <w:sz w:val="20"/>
          <w:szCs w:val="20"/>
          <w:lang w:val="en-GB"/>
        </w:rPr>
        <w:t>-</w:t>
      </w:r>
      <w:r w:rsidR="003C1FB5" w:rsidRPr="00610838">
        <w:rPr>
          <w:rFonts w:ascii="Times New Roman" w:hAnsi="Times New Roman" w:cs="Times New Roman"/>
          <w:iCs/>
          <w:sz w:val="20"/>
          <w:szCs w:val="20"/>
          <w:lang w:val="en-GB"/>
        </w:rPr>
        <w:t>a</w:t>
      </w:r>
      <w:r w:rsidRPr="00610838">
        <w:rPr>
          <w:rFonts w:ascii="Times New Roman" w:hAnsi="Times New Roman" w:cs="Times New Roman"/>
          <w:iCs/>
          <w:sz w:val="20"/>
          <w:szCs w:val="20"/>
          <w:lang w:val="en-GB"/>
        </w:rPr>
        <w:t xml:space="preserve">xis presents the actual </w:t>
      </w:r>
      <w:proofErr w:type="spellStart"/>
      <w:r w:rsidRPr="00610838">
        <w:rPr>
          <w:rFonts w:ascii="Times New Roman" w:hAnsi="Times New Roman" w:cs="Times New Roman"/>
          <w:iCs/>
          <w:sz w:val="20"/>
          <w:szCs w:val="20"/>
          <w:lang w:val="en-GB"/>
        </w:rPr>
        <w:t>deci</w:t>
      </w:r>
      <w:proofErr w:type="spellEnd"/>
      <w:r w:rsidR="00E0579E" w:rsidRPr="00610838">
        <w:rPr>
          <w:rFonts w:ascii="Times New Roman" w:hAnsi="Times New Roman" w:cs="Times New Roman"/>
          <w:iCs/>
          <w:sz w:val="20"/>
          <w:szCs w:val="20"/>
          <w:lang w:val="en-GB"/>
        </w:rPr>
        <w:t xml:space="preserve"> tones</w:t>
      </w:r>
      <w:r w:rsidRPr="00610838">
        <w:rPr>
          <w:rFonts w:ascii="Times New Roman" w:hAnsi="Times New Roman" w:cs="Times New Roman"/>
          <w:iCs/>
          <w:sz w:val="20"/>
          <w:szCs w:val="20"/>
          <w:lang w:val="en-GB"/>
        </w:rPr>
        <w:t xml:space="preserve"> pre </w:t>
      </w:r>
      <w:proofErr w:type="spellStart"/>
      <w:r w:rsidRPr="00610838">
        <w:rPr>
          <w:rFonts w:ascii="Times New Roman" w:hAnsi="Times New Roman" w:cs="Times New Roman"/>
          <w:iCs/>
          <w:sz w:val="20"/>
          <w:szCs w:val="20"/>
          <w:lang w:val="en-GB"/>
        </w:rPr>
        <w:t>hectar</w:t>
      </w:r>
      <w:proofErr w:type="spellEnd"/>
      <w:r w:rsidRPr="00610838">
        <w:rPr>
          <w:rFonts w:ascii="Times New Roman" w:hAnsi="Times New Roman" w:cs="Times New Roman"/>
          <w:iCs/>
          <w:sz w:val="20"/>
          <w:szCs w:val="20"/>
          <w:lang w:val="en-GB"/>
        </w:rPr>
        <w:t xml:space="preserve"> yield for the bars. The purple line is the annual yield compared to the mean yield of the first three years (of the population – 1999 [F4] to 2001 [F6]). The red and green line are relative yield compared to the average spring barley grain yield in Germany (red)</w:t>
      </w:r>
      <w:r w:rsidR="00125D4C" w:rsidRPr="00610838">
        <w:rPr>
          <w:rFonts w:ascii="Times New Roman" w:hAnsi="Times New Roman" w:cs="Times New Roman"/>
          <w:iCs/>
          <w:sz w:val="20"/>
          <w:szCs w:val="20"/>
          <w:lang w:val="en-GB"/>
        </w:rPr>
        <w:fldChar w:fldCharType="begin" w:fldLock="1"/>
      </w:r>
      <w:r w:rsidR="003C1FB5" w:rsidRPr="00610838">
        <w:rPr>
          <w:rFonts w:ascii="Times New Roman" w:hAnsi="Times New Roman" w:cs="Times New Roman"/>
          <w:iCs/>
          <w:sz w:val="20"/>
          <w:szCs w:val="20"/>
          <w:lang w:val="en-GB"/>
        </w:rPr>
        <w:instrText>ADDIN CSL_CITATION {"citationItems":[{"id":"ITEM-1","itemData":{"URL":"https://de.statista.com/statistik/daten/studie/262","author":[{"dropping-particle":"","family":"Proplanta","given":"","non-dropping-particle":"","parse-names":false,"suffix":""}],"id":"ITEM-1","issued":{"date-parts":[["2020"]]},"title":"Spring Barley Yield Nordrhein Westfalen","type":"webpage"},"uris":["http://www.mendeley.com/documents/?uuid=d7591364-c74d-4bc2-af3b-dc9a2f5ca71d"]}],"mendeley":{"formattedCitation":"&lt;sup&gt;36&lt;/sup&gt;","plainTextFormattedCitation":"36","previouslyFormattedCitation":"&lt;sup&gt;36&lt;/sup&gt;"},"properties":{"noteIndex":0},"schema":"https://github.com/citation-style-language/schema/raw/master/csl-citation.json"}</w:instrText>
      </w:r>
      <w:r w:rsidR="00125D4C" w:rsidRPr="00610838">
        <w:rPr>
          <w:rFonts w:ascii="Times New Roman" w:hAnsi="Times New Roman" w:cs="Times New Roman"/>
          <w:iCs/>
          <w:sz w:val="20"/>
          <w:szCs w:val="20"/>
          <w:lang w:val="en-GB"/>
        </w:rPr>
        <w:fldChar w:fldCharType="separate"/>
      </w:r>
      <w:r w:rsidR="003C1FB5" w:rsidRPr="00610838">
        <w:rPr>
          <w:rFonts w:ascii="Times New Roman" w:hAnsi="Times New Roman" w:cs="Times New Roman"/>
          <w:iCs/>
          <w:noProof/>
          <w:sz w:val="20"/>
          <w:szCs w:val="20"/>
          <w:vertAlign w:val="superscript"/>
          <w:lang w:val="en-GB"/>
        </w:rPr>
        <w:t>36</w:t>
      </w:r>
      <w:r w:rsidR="00125D4C" w:rsidRPr="00610838">
        <w:rPr>
          <w:rFonts w:ascii="Times New Roman" w:hAnsi="Times New Roman" w:cs="Times New Roman"/>
          <w:iCs/>
          <w:sz w:val="20"/>
          <w:szCs w:val="20"/>
          <w:lang w:val="en-GB"/>
        </w:rPr>
        <w:fldChar w:fldCharType="end"/>
      </w:r>
      <w:r w:rsidRPr="00610838">
        <w:rPr>
          <w:rFonts w:ascii="Times New Roman" w:hAnsi="Times New Roman" w:cs="Times New Roman"/>
          <w:iCs/>
          <w:sz w:val="20"/>
          <w:szCs w:val="20"/>
          <w:lang w:val="en-GB"/>
        </w:rPr>
        <w:t xml:space="preserve"> and </w:t>
      </w:r>
      <w:r w:rsidR="00E0579E" w:rsidRPr="00610838">
        <w:rPr>
          <w:rFonts w:ascii="Times New Roman" w:hAnsi="Times New Roman" w:cs="Times New Roman"/>
          <w:iCs/>
          <w:sz w:val="20"/>
          <w:szCs w:val="20"/>
          <w:lang w:val="en-GB"/>
        </w:rPr>
        <w:t xml:space="preserve">North Rhine Westphalia </w:t>
      </w:r>
      <w:r w:rsidRPr="00610838">
        <w:rPr>
          <w:rFonts w:ascii="Times New Roman" w:hAnsi="Times New Roman" w:cs="Times New Roman"/>
          <w:iCs/>
          <w:sz w:val="20"/>
          <w:szCs w:val="20"/>
          <w:lang w:val="en-GB"/>
        </w:rPr>
        <w:t>(State, green)</w:t>
      </w:r>
      <w:r w:rsidR="00125D4C" w:rsidRPr="00610838">
        <w:rPr>
          <w:rFonts w:ascii="Times New Roman" w:hAnsi="Times New Roman" w:cs="Times New Roman"/>
          <w:iCs/>
          <w:sz w:val="20"/>
          <w:szCs w:val="20"/>
          <w:lang w:val="en-GB"/>
        </w:rPr>
        <w:fldChar w:fldCharType="begin" w:fldLock="1"/>
      </w:r>
      <w:r w:rsidR="003C1FB5" w:rsidRPr="00610838">
        <w:rPr>
          <w:rFonts w:ascii="Times New Roman" w:hAnsi="Times New Roman" w:cs="Times New Roman"/>
          <w:iCs/>
          <w:sz w:val="20"/>
          <w:szCs w:val="20"/>
          <w:lang w:val="en-GB"/>
        </w:rPr>
        <w:instrText>ADDIN CSL_CITATION {"citationItems":[{"id":"ITEM-1","itemData":{"URL":"https://www.proplanta.de/Maps/Sommergerste+Statist","author":[{"dropping-particle":"","family":"Statista","given":"","non-dropping-particle":"","parse-names":false,"suffix":""}],"id":"ITEM-1","issued":{"date-parts":[["2020"]]},"title":"Spring Barley Yield Germany","type":"webpage"},"uris":["http://www.mendeley.com/documents/?uuid=39833828-1209-4c4a-9ce7-ff0f601cee81"]}],"mendeley":{"formattedCitation":"&lt;sup&gt;37&lt;/sup&gt;","plainTextFormattedCitation":"37","previouslyFormattedCitation":"&lt;sup&gt;37&lt;/sup&gt;"},"properties":{"noteIndex":0},"schema":"https://github.com/citation-style-language/schema/raw/master/csl-citation.json"}</w:instrText>
      </w:r>
      <w:r w:rsidR="00125D4C" w:rsidRPr="00610838">
        <w:rPr>
          <w:rFonts w:ascii="Times New Roman" w:hAnsi="Times New Roman" w:cs="Times New Roman"/>
          <w:iCs/>
          <w:sz w:val="20"/>
          <w:szCs w:val="20"/>
          <w:lang w:val="en-GB"/>
        </w:rPr>
        <w:fldChar w:fldCharType="separate"/>
      </w:r>
      <w:r w:rsidR="003C1FB5" w:rsidRPr="00610838">
        <w:rPr>
          <w:rFonts w:ascii="Times New Roman" w:hAnsi="Times New Roman" w:cs="Times New Roman"/>
          <w:iCs/>
          <w:noProof/>
          <w:sz w:val="20"/>
          <w:szCs w:val="20"/>
          <w:vertAlign w:val="superscript"/>
          <w:lang w:val="en-GB"/>
        </w:rPr>
        <w:t>37</w:t>
      </w:r>
      <w:r w:rsidR="00125D4C" w:rsidRPr="00610838">
        <w:rPr>
          <w:rFonts w:ascii="Times New Roman" w:hAnsi="Times New Roman" w:cs="Times New Roman"/>
          <w:iCs/>
          <w:sz w:val="20"/>
          <w:szCs w:val="20"/>
          <w:lang w:val="en-GB"/>
        </w:rPr>
        <w:fldChar w:fldCharType="end"/>
      </w:r>
      <w:r w:rsidRPr="00610838">
        <w:rPr>
          <w:rFonts w:ascii="Times New Roman" w:hAnsi="Times New Roman" w:cs="Times New Roman"/>
          <w:iCs/>
          <w:sz w:val="20"/>
          <w:szCs w:val="20"/>
          <w:lang w:val="en-GB"/>
        </w:rPr>
        <w:t>. This ratio is based on the direct relation of seasonal values. Light green bars indicate the year for which pool sequencing was performed (2007 as well), and dark blue bar indicate the years with distinct yield decrease.</w:t>
      </w:r>
    </w:p>
    <w:bookmarkEnd w:id="28"/>
    <w:p w14:paraId="2C9192CF" w14:textId="77777777" w:rsidR="00CA134D" w:rsidRPr="00610838" w:rsidRDefault="00CA134D" w:rsidP="004D29DB">
      <w:pPr>
        <w:rPr>
          <w:rFonts w:ascii="Times New Roman" w:hAnsi="Times New Roman" w:cs="Times New Roman"/>
          <w:i/>
          <w:iCs/>
          <w:sz w:val="20"/>
          <w:szCs w:val="20"/>
          <w:lang w:val="en-GB"/>
        </w:rPr>
      </w:pPr>
    </w:p>
    <w:p w14:paraId="5187AC65" w14:textId="75160BFB" w:rsidR="00B00DFB" w:rsidRPr="00610838" w:rsidRDefault="00AB15DE" w:rsidP="004D29DB">
      <w:pPr>
        <w:rPr>
          <w:rFonts w:ascii="Times New Roman" w:hAnsi="Times New Roman" w:cs="Times New Roman"/>
          <w:bCs/>
          <w:sz w:val="20"/>
          <w:szCs w:val="20"/>
          <w:lang w:val="en-GB"/>
        </w:rPr>
      </w:pPr>
      <w:bookmarkStart w:id="30" w:name="_Hlk54772444"/>
      <w:r w:rsidRPr="00610838">
        <w:rPr>
          <w:rFonts w:ascii="Times New Roman" w:hAnsi="Times New Roman" w:cs="Times New Roman"/>
          <w:noProof/>
          <w:lang w:val="en-GB" w:eastAsia="de-DE"/>
        </w:rPr>
        <w:lastRenderedPageBreak/>
        <w:drawing>
          <wp:inline distT="0" distB="0" distL="0" distR="0" wp14:anchorId="77B67AA3" wp14:editId="2E8BC6C3">
            <wp:extent cx="5760720" cy="3960495"/>
            <wp:effectExtent l="0" t="0" r="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GS_GBS_MACEtoCASP_HC.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60720" cy="3960495"/>
                    </a:xfrm>
                    <a:prstGeom prst="rect">
                      <a:avLst/>
                    </a:prstGeom>
                  </pic:spPr>
                </pic:pic>
              </a:graphicData>
            </a:graphic>
          </wp:inline>
        </w:drawing>
      </w:r>
      <w:r w:rsidRPr="00610838">
        <w:rPr>
          <w:rFonts w:ascii="Times New Roman" w:hAnsi="Times New Roman" w:cs="Times New Roman"/>
          <w:b/>
          <w:bCs/>
          <w:sz w:val="20"/>
          <w:szCs w:val="20"/>
          <w:lang w:val="en-GB"/>
        </w:rPr>
        <w:t xml:space="preserve">Supplementary Figure </w:t>
      </w:r>
      <w:r w:rsidR="002B3B13">
        <w:rPr>
          <w:rFonts w:ascii="Times New Roman" w:hAnsi="Times New Roman" w:cs="Times New Roman"/>
          <w:b/>
          <w:bCs/>
          <w:sz w:val="20"/>
          <w:szCs w:val="20"/>
          <w:lang w:val="en-GB"/>
        </w:rPr>
        <w:t>9</w:t>
      </w:r>
      <w:r w:rsidRPr="00610838">
        <w:rPr>
          <w:rFonts w:ascii="Times New Roman" w:hAnsi="Times New Roman" w:cs="Times New Roman"/>
          <w:b/>
          <w:bCs/>
          <w:sz w:val="20"/>
          <w:szCs w:val="20"/>
          <w:lang w:val="en-GB"/>
        </w:rPr>
        <w:t xml:space="preserve">: </w:t>
      </w:r>
      <w:r w:rsidR="00B00DFB" w:rsidRPr="00610838">
        <w:rPr>
          <w:rFonts w:ascii="Times New Roman" w:hAnsi="Times New Roman" w:cs="Times New Roman"/>
          <w:b/>
          <w:bCs/>
          <w:sz w:val="20"/>
          <w:szCs w:val="20"/>
          <w:lang w:val="en-GB"/>
        </w:rPr>
        <w:t>The correlation of pool obtained allele frequency for three tested sequencing strategies (</w:t>
      </w:r>
      <w:proofErr w:type="spellStart"/>
      <w:r w:rsidR="00B00DFB" w:rsidRPr="00610838">
        <w:rPr>
          <w:rFonts w:ascii="Times New Roman" w:hAnsi="Times New Roman" w:cs="Times New Roman"/>
          <w:b/>
          <w:bCs/>
          <w:sz w:val="20"/>
          <w:szCs w:val="20"/>
          <w:lang w:val="en-GB"/>
        </w:rPr>
        <w:t>WGrS</w:t>
      </w:r>
      <w:proofErr w:type="spellEnd"/>
      <w:r w:rsidR="00B00DFB" w:rsidRPr="00610838">
        <w:rPr>
          <w:rFonts w:ascii="Times New Roman" w:hAnsi="Times New Roman" w:cs="Times New Roman"/>
          <w:b/>
          <w:bCs/>
          <w:sz w:val="20"/>
          <w:szCs w:val="20"/>
          <w:lang w:val="en-GB"/>
        </w:rPr>
        <w:t>, GBS, MACE)</w:t>
      </w:r>
      <w:r w:rsidR="00843E97" w:rsidRPr="00610838">
        <w:rPr>
          <w:rFonts w:ascii="Times New Roman" w:hAnsi="Times New Roman" w:cs="Times New Roman"/>
          <w:b/>
          <w:bCs/>
          <w:sz w:val="20"/>
          <w:szCs w:val="20"/>
          <w:lang w:val="en-GB"/>
        </w:rPr>
        <w:t>.</w:t>
      </w:r>
      <w:r w:rsidR="008973B2" w:rsidRPr="00610838">
        <w:rPr>
          <w:rFonts w:ascii="Times New Roman" w:hAnsi="Times New Roman" w:cs="Times New Roman"/>
          <w:bCs/>
          <w:sz w:val="20"/>
          <w:szCs w:val="20"/>
          <w:lang w:val="en-GB"/>
        </w:rPr>
        <w:t xml:space="preserve"> Three different methods were compared on their accuracy for pool sequencing of large pools.</w:t>
      </w:r>
      <w:r w:rsidR="00843E97" w:rsidRPr="00610838">
        <w:rPr>
          <w:rFonts w:ascii="Times New Roman" w:hAnsi="Times New Roman" w:cs="Times New Roman"/>
          <w:b/>
          <w:bCs/>
          <w:sz w:val="20"/>
          <w:szCs w:val="20"/>
          <w:lang w:val="en-GB"/>
        </w:rPr>
        <w:t xml:space="preserve"> A</w:t>
      </w:r>
      <w:r w:rsidR="00843E97" w:rsidRPr="00610838">
        <w:rPr>
          <w:rFonts w:ascii="Times New Roman" w:hAnsi="Times New Roman" w:cs="Times New Roman"/>
          <w:bCs/>
          <w:sz w:val="20"/>
          <w:szCs w:val="20"/>
          <w:lang w:val="en-GB"/>
        </w:rPr>
        <w:t xml:space="preserve"> – SNP-based pool AF compared to the KASP assay detected allele frequency for </w:t>
      </w:r>
      <w:proofErr w:type="spellStart"/>
      <w:r w:rsidR="00843E97" w:rsidRPr="00610838">
        <w:rPr>
          <w:rFonts w:ascii="Times New Roman" w:hAnsi="Times New Roman" w:cs="Times New Roman"/>
          <w:bCs/>
          <w:sz w:val="20"/>
          <w:szCs w:val="20"/>
          <w:lang w:val="en-GB"/>
        </w:rPr>
        <w:t>WGrS</w:t>
      </w:r>
      <w:proofErr w:type="spellEnd"/>
      <w:r w:rsidR="00843E97" w:rsidRPr="00610838">
        <w:rPr>
          <w:rFonts w:ascii="Times New Roman" w:hAnsi="Times New Roman" w:cs="Times New Roman"/>
          <w:bCs/>
          <w:sz w:val="20"/>
          <w:szCs w:val="20"/>
          <w:lang w:val="en-GB"/>
        </w:rPr>
        <w:t xml:space="preserve">. </w:t>
      </w:r>
      <w:r w:rsidR="00843E97" w:rsidRPr="00610838">
        <w:rPr>
          <w:rFonts w:ascii="Times New Roman" w:hAnsi="Times New Roman" w:cs="Times New Roman"/>
          <w:b/>
          <w:bCs/>
          <w:sz w:val="20"/>
          <w:szCs w:val="20"/>
          <w:lang w:val="en-GB"/>
        </w:rPr>
        <w:t>B</w:t>
      </w:r>
      <w:r w:rsidR="00843E97" w:rsidRPr="00610838">
        <w:rPr>
          <w:rFonts w:ascii="Times New Roman" w:hAnsi="Times New Roman" w:cs="Times New Roman"/>
          <w:bCs/>
          <w:sz w:val="20"/>
          <w:szCs w:val="20"/>
          <w:lang w:val="en-GB"/>
        </w:rPr>
        <w:t xml:space="preserve"> – Gene haplotype-based pool AF compared to KASP assay for </w:t>
      </w:r>
      <w:proofErr w:type="spellStart"/>
      <w:r w:rsidR="00843E97" w:rsidRPr="00610838">
        <w:rPr>
          <w:rFonts w:ascii="Times New Roman" w:hAnsi="Times New Roman" w:cs="Times New Roman"/>
          <w:bCs/>
          <w:sz w:val="20"/>
          <w:szCs w:val="20"/>
          <w:lang w:val="en-GB"/>
        </w:rPr>
        <w:t>WGrS</w:t>
      </w:r>
      <w:proofErr w:type="spellEnd"/>
      <w:r w:rsidR="00843E97" w:rsidRPr="00610838">
        <w:rPr>
          <w:rFonts w:ascii="Times New Roman" w:hAnsi="Times New Roman" w:cs="Times New Roman"/>
          <w:bCs/>
          <w:sz w:val="20"/>
          <w:szCs w:val="20"/>
          <w:lang w:val="en-GB"/>
        </w:rPr>
        <w:t xml:space="preserve">. </w:t>
      </w:r>
      <w:r w:rsidR="00843E97" w:rsidRPr="00610838">
        <w:rPr>
          <w:rFonts w:ascii="Times New Roman" w:hAnsi="Times New Roman" w:cs="Times New Roman"/>
          <w:b/>
          <w:bCs/>
          <w:sz w:val="20"/>
          <w:szCs w:val="20"/>
          <w:lang w:val="en-GB"/>
        </w:rPr>
        <w:t xml:space="preserve">C </w:t>
      </w:r>
      <w:r w:rsidR="00843E97" w:rsidRPr="00610838">
        <w:rPr>
          <w:rFonts w:ascii="Times New Roman" w:hAnsi="Times New Roman" w:cs="Times New Roman"/>
          <w:bCs/>
          <w:sz w:val="20"/>
          <w:szCs w:val="20"/>
          <w:lang w:val="en-GB"/>
        </w:rPr>
        <w:t xml:space="preserve">– SNP-based pool AF to KASP for GBS. </w:t>
      </w:r>
      <w:r w:rsidR="00843E97" w:rsidRPr="00610838">
        <w:rPr>
          <w:rFonts w:ascii="Times New Roman" w:hAnsi="Times New Roman" w:cs="Times New Roman"/>
          <w:b/>
          <w:bCs/>
          <w:sz w:val="20"/>
          <w:szCs w:val="20"/>
          <w:lang w:val="en-GB"/>
        </w:rPr>
        <w:t>D</w:t>
      </w:r>
      <w:r w:rsidR="00843E97" w:rsidRPr="00610838">
        <w:rPr>
          <w:rFonts w:ascii="Times New Roman" w:hAnsi="Times New Roman" w:cs="Times New Roman"/>
          <w:bCs/>
          <w:sz w:val="20"/>
          <w:szCs w:val="20"/>
          <w:lang w:val="en-GB"/>
        </w:rPr>
        <w:t xml:space="preserve"> - Gene haplotype-based pool AF compared to KASP assay for GBS. </w:t>
      </w:r>
      <w:r w:rsidR="00843E97" w:rsidRPr="00610838">
        <w:rPr>
          <w:rFonts w:ascii="Times New Roman" w:hAnsi="Times New Roman" w:cs="Times New Roman"/>
          <w:b/>
          <w:bCs/>
          <w:sz w:val="20"/>
          <w:szCs w:val="20"/>
          <w:lang w:val="en-GB"/>
        </w:rPr>
        <w:t xml:space="preserve">E </w:t>
      </w:r>
      <w:r w:rsidR="00843E97" w:rsidRPr="00610838">
        <w:rPr>
          <w:rFonts w:ascii="Times New Roman" w:hAnsi="Times New Roman" w:cs="Times New Roman"/>
          <w:bCs/>
          <w:sz w:val="20"/>
          <w:szCs w:val="20"/>
          <w:lang w:val="en-GB"/>
        </w:rPr>
        <w:t xml:space="preserve">– SNP-based pool AF to KASP for MACE </w:t>
      </w:r>
      <w:proofErr w:type="spellStart"/>
      <w:r w:rsidR="00843E97" w:rsidRPr="00610838">
        <w:rPr>
          <w:rFonts w:ascii="Times New Roman" w:hAnsi="Times New Roman" w:cs="Times New Roman"/>
          <w:bCs/>
          <w:sz w:val="20"/>
          <w:szCs w:val="20"/>
          <w:lang w:val="en-GB"/>
        </w:rPr>
        <w:t>RNAseq</w:t>
      </w:r>
      <w:proofErr w:type="spellEnd"/>
      <w:r w:rsidR="00843E97" w:rsidRPr="00610838">
        <w:rPr>
          <w:rFonts w:ascii="Times New Roman" w:hAnsi="Times New Roman" w:cs="Times New Roman"/>
          <w:bCs/>
          <w:sz w:val="20"/>
          <w:szCs w:val="20"/>
          <w:lang w:val="en-GB"/>
        </w:rPr>
        <w:t xml:space="preserve">. </w:t>
      </w:r>
      <w:r w:rsidR="008973B2" w:rsidRPr="00610838">
        <w:rPr>
          <w:rFonts w:ascii="Times New Roman" w:hAnsi="Times New Roman" w:cs="Times New Roman"/>
          <w:bCs/>
          <w:sz w:val="20"/>
          <w:szCs w:val="20"/>
          <w:lang w:val="en-GB"/>
        </w:rPr>
        <w:t>F</w:t>
      </w:r>
      <w:r w:rsidR="00843E97" w:rsidRPr="00610838">
        <w:rPr>
          <w:rFonts w:ascii="Times New Roman" w:hAnsi="Times New Roman" w:cs="Times New Roman"/>
          <w:bCs/>
          <w:sz w:val="20"/>
          <w:szCs w:val="20"/>
          <w:lang w:val="en-GB"/>
        </w:rPr>
        <w:t xml:space="preserve"> - Gene haplotype-based pool AF compared to KASP assay for </w:t>
      </w:r>
      <w:r w:rsidR="008973B2" w:rsidRPr="00610838">
        <w:rPr>
          <w:rFonts w:ascii="Times New Roman" w:hAnsi="Times New Roman" w:cs="Times New Roman"/>
          <w:bCs/>
          <w:sz w:val="20"/>
          <w:szCs w:val="20"/>
          <w:lang w:val="en-GB"/>
        </w:rPr>
        <w:t xml:space="preserve">MACE </w:t>
      </w:r>
      <w:proofErr w:type="spellStart"/>
      <w:r w:rsidR="008973B2" w:rsidRPr="00610838">
        <w:rPr>
          <w:rFonts w:ascii="Times New Roman" w:hAnsi="Times New Roman" w:cs="Times New Roman"/>
          <w:bCs/>
          <w:sz w:val="20"/>
          <w:szCs w:val="20"/>
          <w:lang w:val="en-GB"/>
        </w:rPr>
        <w:t>RNAseq</w:t>
      </w:r>
      <w:proofErr w:type="spellEnd"/>
      <w:r w:rsidR="00843E97" w:rsidRPr="00610838">
        <w:rPr>
          <w:rFonts w:ascii="Times New Roman" w:hAnsi="Times New Roman" w:cs="Times New Roman"/>
          <w:bCs/>
          <w:sz w:val="20"/>
          <w:szCs w:val="20"/>
          <w:lang w:val="en-GB"/>
        </w:rPr>
        <w:t>.</w:t>
      </w:r>
      <w:r w:rsidR="008973B2" w:rsidRPr="00610838">
        <w:rPr>
          <w:rFonts w:ascii="Times New Roman" w:hAnsi="Times New Roman" w:cs="Times New Roman"/>
          <w:bCs/>
          <w:sz w:val="20"/>
          <w:szCs w:val="20"/>
          <w:lang w:val="en-GB"/>
        </w:rPr>
        <w:t xml:space="preserve"> The dotted line indicates the optimal match of individual (KASP assay) and pool sequencing. Each point represents a single locus – for A, C and E, a locus is a SNP; for B, D and F, a locus is a gene, related to a KASP marker. The colo</w:t>
      </w:r>
      <w:r w:rsidR="00D159B8" w:rsidRPr="00610838">
        <w:rPr>
          <w:rFonts w:ascii="Times New Roman" w:hAnsi="Times New Roman" w:cs="Times New Roman"/>
          <w:bCs/>
          <w:sz w:val="20"/>
          <w:szCs w:val="20"/>
          <w:lang w:val="en-GB"/>
        </w:rPr>
        <w:t>u</w:t>
      </w:r>
      <w:r w:rsidR="008973B2" w:rsidRPr="00610838">
        <w:rPr>
          <w:rFonts w:ascii="Times New Roman" w:hAnsi="Times New Roman" w:cs="Times New Roman"/>
          <w:bCs/>
          <w:sz w:val="20"/>
          <w:szCs w:val="20"/>
          <w:lang w:val="en-GB"/>
        </w:rPr>
        <w:t>r of the points presents the read coverage of the locus. The red line is a regression through all points.</w:t>
      </w:r>
    </w:p>
    <w:bookmarkEnd w:id="30"/>
    <w:p w14:paraId="109320CE" w14:textId="77777777" w:rsidR="00F10590" w:rsidRPr="00610838" w:rsidRDefault="00F10590">
      <w:pPr>
        <w:rPr>
          <w:rFonts w:ascii="Times New Roman" w:hAnsi="Times New Roman" w:cs="Times New Roman"/>
          <w:b/>
          <w:bCs/>
          <w:sz w:val="20"/>
          <w:szCs w:val="20"/>
          <w:lang w:val="en-GB"/>
        </w:rPr>
      </w:pPr>
    </w:p>
    <w:p w14:paraId="775E2CEA" w14:textId="77777777" w:rsidR="008D4871" w:rsidRPr="00610838" w:rsidRDefault="008D4871" w:rsidP="004D29DB">
      <w:pPr>
        <w:rPr>
          <w:rFonts w:ascii="Times New Roman" w:hAnsi="Times New Roman" w:cs="Times New Roman"/>
          <w:b/>
          <w:bCs/>
          <w:sz w:val="20"/>
          <w:szCs w:val="20"/>
          <w:lang w:val="en-GB"/>
        </w:rPr>
      </w:pPr>
    </w:p>
    <w:p w14:paraId="72EE020B" w14:textId="77777777" w:rsidR="00E87A32" w:rsidRPr="00610838" w:rsidRDefault="00E87A32" w:rsidP="004D29DB">
      <w:pPr>
        <w:rPr>
          <w:rFonts w:ascii="Times New Roman" w:hAnsi="Times New Roman" w:cs="Times New Roman"/>
          <w:b/>
          <w:bCs/>
          <w:sz w:val="20"/>
          <w:szCs w:val="20"/>
          <w:lang w:val="en-GB"/>
        </w:rPr>
      </w:pPr>
      <w:r w:rsidRPr="00610838">
        <w:rPr>
          <w:rFonts w:ascii="Times New Roman" w:hAnsi="Times New Roman" w:cs="Times New Roman"/>
          <w:b/>
          <w:bCs/>
          <w:sz w:val="20"/>
          <w:szCs w:val="20"/>
          <w:lang w:val="en-GB"/>
        </w:rPr>
        <w:t>References:</w:t>
      </w:r>
    </w:p>
    <w:p w14:paraId="2FD155B6" w14:textId="77777777" w:rsidR="003C1FB5" w:rsidRPr="00610838" w:rsidRDefault="00125D4C"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b/>
          <w:bCs/>
          <w:sz w:val="20"/>
          <w:szCs w:val="20"/>
          <w:lang w:val="en-GB"/>
        </w:rPr>
        <w:fldChar w:fldCharType="begin" w:fldLock="1"/>
      </w:r>
      <w:r w:rsidR="00E87A32" w:rsidRPr="00610838">
        <w:rPr>
          <w:rFonts w:ascii="Times New Roman" w:hAnsi="Times New Roman" w:cs="Times New Roman"/>
          <w:b/>
          <w:bCs/>
          <w:sz w:val="20"/>
          <w:szCs w:val="20"/>
          <w:lang w:val="en-GB"/>
        </w:rPr>
        <w:instrText xml:space="preserve">ADDIN Mendeley Bibliography CSL_BIBLIOGRAPHY </w:instrText>
      </w:r>
      <w:r w:rsidRPr="00610838">
        <w:rPr>
          <w:rFonts w:ascii="Times New Roman" w:hAnsi="Times New Roman" w:cs="Times New Roman"/>
          <w:b/>
          <w:bCs/>
          <w:sz w:val="20"/>
          <w:szCs w:val="20"/>
          <w:lang w:val="en-GB"/>
        </w:rPr>
        <w:fldChar w:fldCharType="separate"/>
      </w:r>
      <w:r w:rsidR="003C1FB5" w:rsidRPr="00610838">
        <w:rPr>
          <w:rFonts w:ascii="Times New Roman" w:hAnsi="Times New Roman" w:cs="Times New Roman"/>
          <w:noProof/>
          <w:sz w:val="20"/>
          <w:szCs w:val="24"/>
          <w:lang w:val="en-GB"/>
        </w:rPr>
        <w:t>1.</w:t>
      </w:r>
      <w:r w:rsidR="003C1FB5" w:rsidRPr="00610838">
        <w:rPr>
          <w:rFonts w:ascii="Times New Roman" w:hAnsi="Times New Roman" w:cs="Times New Roman"/>
          <w:noProof/>
          <w:sz w:val="20"/>
          <w:szCs w:val="24"/>
          <w:lang w:val="en-GB"/>
        </w:rPr>
        <w:tab/>
        <w:t xml:space="preserve">Mayer, K. F. X. </w:t>
      </w:r>
      <w:r w:rsidR="003C1FB5" w:rsidRPr="00610838">
        <w:rPr>
          <w:rFonts w:ascii="Times New Roman" w:hAnsi="Times New Roman" w:cs="Times New Roman"/>
          <w:i/>
          <w:iCs/>
          <w:noProof/>
          <w:sz w:val="20"/>
          <w:szCs w:val="24"/>
          <w:lang w:val="en-GB"/>
        </w:rPr>
        <w:t>et al.</w:t>
      </w:r>
      <w:r w:rsidR="003C1FB5" w:rsidRPr="00610838">
        <w:rPr>
          <w:rFonts w:ascii="Times New Roman" w:hAnsi="Times New Roman" w:cs="Times New Roman"/>
          <w:noProof/>
          <w:sz w:val="20"/>
          <w:szCs w:val="24"/>
          <w:lang w:val="en-GB"/>
        </w:rPr>
        <w:t xml:space="preserve"> A physical, genetic and functional sequence assembly of the barley genome. </w:t>
      </w:r>
      <w:r w:rsidR="003C1FB5" w:rsidRPr="00610838">
        <w:rPr>
          <w:rFonts w:ascii="Times New Roman" w:hAnsi="Times New Roman" w:cs="Times New Roman"/>
          <w:i/>
          <w:iCs/>
          <w:noProof/>
          <w:sz w:val="20"/>
          <w:szCs w:val="24"/>
          <w:lang w:val="en-GB"/>
        </w:rPr>
        <w:t>Nature</w:t>
      </w:r>
      <w:r w:rsidR="003C1FB5" w:rsidRPr="00610838">
        <w:rPr>
          <w:rFonts w:ascii="Times New Roman" w:hAnsi="Times New Roman" w:cs="Times New Roman"/>
          <w:noProof/>
          <w:sz w:val="20"/>
          <w:szCs w:val="24"/>
          <w:lang w:val="en-GB"/>
        </w:rPr>
        <w:t xml:space="preserve"> </w:t>
      </w:r>
      <w:r w:rsidR="003C1FB5" w:rsidRPr="00610838">
        <w:rPr>
          <w:rFonts w:ascii="Times New Roman" w:hAnsi="Times New Roman" w:cs="Times New Roman"/>
          <w:b/>
          <w:bCs/>
          <w:noProof/>
          <w:sz w:val="20"/>
          <w:szCs w:val="24"/>
          <w:lang w:val="en-GB"/>
        </w:rPr>
        <w:t>491</w:t>
      </w:r>
      <w:r w:rsidR="003C1FB5" w:rsidRPr="00610838">
        <w:rPr>
          <w:rFonts w:ascii="Times New Roman" w:hAnsi="Times New Roman" w:cs="Times New Roman"/>
          <w:noProof/>
          <w:sz w:val="20"/>
          <w:szCs w:val="24"/>
          <w:lang w:val="en-GB"/>
        </w:rPr>
        <w:t>, 711–716 (2012).</w:t>
      </w:r>
    </w:p>
    <w:p w14:paraId="0CD1E862"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2.</w:t>
      </w:r>
      <w:r w:rsidRPr="00610838">
        <w:rPr>
          <w:rFonts w:ascii="Times New Roman" w:hAnsi="Times New Roman" w:cs="Times New Roman"/>
          <w:noProof/>
          <w:sz w:val="20"/>
          <w:szCs w:val="24"/>
          <w:lang w:val="en-GB"/>
        </w:rPr>
        <w:tab/>
        <w:t xml:space="preserve">Li, H. Aligning sequence reads, clone sequences and assembly contigs with BWA-MEM. </w:t>
      </w:r>
      <w:r w:rsidRPr="00610838">
        <w:rPr>
          <w:rFonts w:ascii="Times New Roman" w:hAnsi="Times New Roman" w:cs="Times New Roman"/>
          <w:b/>
          <w:bCs/>
          <w:noProof/>
          <w:sz w:val="20"/>
          <w:szCs w:val="24"/>
          <w:lang w:val="en-GB"/>
        </w:rPr>
        <w:t>00</w:t>
      </w:r>
      <w:r w:rsidRPr="00610838">
        <w:rPr>
          <w:rFonts w:ascii="Times New Roman" w:hAnsi="Times New Roman" w:cs="Times New Roman"/>
          <w:noProof/>
          <w:sz w:val="20"/>
          <w:szCs w:val="24"/>
          <w:lang w:val="en-GB"/>
        </w:rPr>
        <w:t>, 1–3 (2013).</w:t>
      </w:r>
    </w:p>
    <w:p w14:paraId="6BCCB318"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3.</w:t>
      </w:r>
      <w:r w:rsidRPr="00610838">
        <w:rPr>
          <w:rFonts w:ascii="Times New Roman" w:hAnsi="Times New Roman" w:cs="Times New Roman"/>
          <w:noProof/>
          <w:sz w:val="20"/>
          <w:szCs w:val="24"/>
          <w:lang w:val="en-GB"/>
        </w:rPr>
        <w:tab/>
        <w:t xml:space="preserve">Bolger, A. M., Lohse, M. &amp; Usadel, B. Trimmomatic: A flexible trimmer for Illumina sequence data. </w:t>
      </w:r>
      <w:r w:rsidRPr="00610838">
        <w:rPr>
          <w:rFonts w:ascii="Times New Roman" w:hAnsi="Times New Roman" w:cs="Times New Roman"/>
          <w:i/>
          <w:iCs/>
          <w:noProof/>
          <w:sz w:val="20"/>
          <w:szCs w:val="24"/>
          <w:lang w:val="en-GB"/>
        </w:rPr>
        <w:t>Bioinformatics</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30</w:t>
      </w:r>
      <w:r w:rsidRPr="00610838">
        <w:rPr>
          <w:rFonts w:ascii="Times New Roman" w:hAnsi="Times New Roman" w:cs="Times New Roman"/>
          <w:noProof/>
          <w:sz w:val="20"/>
          <w:szCs w:val="24"/>
          <w:lang w:val="en-GB"/>
        </w:rPr>
        <w:t>, 2114–2120 (2014).</w:t>
      </w:r>
    </w:p>
    <w:p w14:paraId="26FF821A"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4.</w:t>
      </w:r>
      <w:r w:rsidRPr="00610838">
        <w:rPr>
          <w:rFonts w:ascii="Times New Roman" w:hAnsi="Times New Roman" w:cs="Times New Roman"/>
          <w:noProof/>
          <w:sz w:val="20"/>
          <w:szCs w:val="24"/>
          <w:lang w:val="en-GB"/>
        </w:rPr>
        <w:tab/>
        <w:t xml:space="preserve">Andrews, S. FastQC - A quality control tool for high throughput sequence data. </w:t>
      </w:r>
      <w:r w:rsidRPr="00610838">
        <w:rPr>
          <w:rFonts w:ascii="Times New Roman" w:hAnsi="Times New Roman" w:cs="Times New Roman"/>
          <w:i/>
          <w:iCs/>
          <w:noProof/>
          <w:sz w:val="20"/>
          <w:szCs w:val="24"/>
          <w:lang w:val="en-GB"/>
        </w:rPr>
        <w:t>Babraham Bioinforma.</w:t>
      </w:r>
      <w:r w:rsidRPr="00610838">
        <w:rPr>
          <w:rFonts w:ascii="Times New Roman" w:hAnsi="Times New Roman" w:cs="Times New Roman"/>
          <w:noProof/>
          <w:sz w:val="20"/>
          <w:szCs w:val="24"/>
          <w:lang w:val="en-GB"/>
        </w:rPr>
        <w:t xml:space="preserve"> http://www.bioinformatics.babraham.ac.uk/projects/ (2010).</w:t>
      </w:r>
    </w:p>
    <w:p w14:paraId="332EE5F4"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5.</w:t>
      </w:r>
      <w:r w:rsidRPr="00610838">
        <w:rPr>
          <w:rFonts w:ascii="Times New Roman" w:hAnsi="Times New Roman" w:cs="Times New Roman"/>
          <w:noProof/>
          <w:sz w:val="20"/>
          <w:szCs w:val="24"/>
          <w:lang w:val="en-GB"/>
        </w:rPr>
        <w:tab/>
        <w:t xml:space="preserve">Tarasov, A., Vilella, A. J., Cuppen, E., Nijman, I. J. &amp; Prins, P. Sambamba: Fast processing of NGS alignment formats. </w:t>
      </w:r>
      <w:r w:rsidRPr="00610838">
        <w:rPr>
          <w:rFonts w:ascii="Times New Roman" w:hAnsi="Times New Roman" w:cs="Times New Roman"/>
          <w:i/>
          <w:iCs/>
          <w:noProof/>
          <w:sz w:val="20"/>
          <w:szCs w:val="24"/>
          <w:lang w:val="en-GB"/>
        </w:rPr>
        <w:t>Bioinformatics</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31</w:t>
      </w:r>
      <w:r w:rsidRPr="00610838">
        <w:rPr>
          <w:rFonts w:ascii="Times New Roman" w:hAnsi="Times New Roman" w:cs="Times New Roman"/>
          <w:noProof/>
          <w:sz w:val="20"/>
          <w:szCs w:val="24"/>
          <w:lang w:val="en-GB"/>
        </w:rPr>
        <w:t>, 2032–2034 (2015).</w:t>
      </w:r>
    </w:p>
    <w:p w14:paraId="2938988F"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6.</w:t>
      </w:r>
      <w:r w:rsidRPr="00610838">
        <w:rPr>
          <w:rFonts w:ascii="Times New Roman" w:hAnsi="Times New Roman" w:cs="Times New Roman"/>
          <w:noProof/>
          <w:sz w:val="20"/>
          <w:szCs w:val="24"/>
          <w:lang w:val="en-GB"/>
        </w:rPr>
        <w:tab/>
        <w:t xml:space="preserve">Li, H. </w:t>
      </w:r>
      <w:r w:rsidRPr="00610838">
        <w:rPr>
          <w:rFonts w:ascii="Times New Roman" w:hAnsi="Times New Roman" w:cs="Times New Roman"/>
          <w:i/>
          <w:iCs/>
          <w:noProof/>
          <w:sz w:val="20"/>
          <w:szCs w:val="24"/>
          <w:lang w:val="en-GB"/>
        </w:rPr>
        <w:t>et al.</w:t>
      </w:r>
      <w:r w:rsidRPr="00610838">
        <w:rPr>
          <w:rFonts w:ascii="Times New Roman" w:hAnsi="Times New Roman" w:cs="Times New Roman"/>
          <w:noProof/>
          <w:sz w:val="20"/>
          <w:szCs w:val="24"/>
          <w:lang w:val="en-GB"/>
        </w:rPr>
        <w:t xml:space="preserve"> The Sequence Alignment/Map format and SAMtools. </w:t>
      </w:r>
      <w:r w:rsidRPr="00610838">
        <w:rPr>
          <w:rFonts w:ascii="Times New Roman" w:hAnsi="Times New Roman" w:cs="Times New Roman"/>
          <w:i/>
          <w:iCs/>
          <w:noProof/>
          <w:sz w:val="20"/>
          <w:szCs w:val="24"/>
          <w:lang w:val="en-GB"/>
        </w:rPr>
        <w:t>Bioinformatics</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25</w:t>
      </w:r>
      <w:r w:rsidRPr="00610838">
        <w:rPr>
          <w:rFonts w:ascii="Times New Roman" w:hAnsi="Times New Roman" w:cs="Times New Roman"/>
          <w:noProof/>
          <w:sz w:val="20"/>
          <w:szCs w:val="24"/>
          <w:lang w:val="en-GB"/>
        </w:rPr>
        <w:t>, 2078–2079 (2009).</w:t>
      </w:r>
    </w:p>
    <w:p w14:paraId="7B417465"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lastRenderedPageBreak/>
        <w:t>7.</w:t>
      </w:r>
      <w:r w:rsidRPr="00610838">
        <w:rPr>
          <w:rFonts w:ascii="Times New Roman" w:hAnsi="Times New Roman" w:cs="Times New Roman"/>
          <w:noProof/>
          <w:sz w:val="20"/>
          <w:szCs w:val="24"/>
          <w:lang w:val="en-GB"/>
        </w:rPr>
        <w:tab/>
        <w:t xml:space="preserve">Cunningham, F. </w:t>
      </w:r>
      <w:r w:rsidRPr="00610838">
        <w:rPr>
          <w:rFonts w:ascii="Times New Roman" w:hAnsi="Times New Roman" w:cs="Times New Roman"/>
          <w:i/>
          <w:iCs/>
          <w:noProof/>
          <w:sz w:val="20"/>
          <w:szCs w:val="24"/>
          <w:lang w:val="en-GB"/>
        </w:rPr>
        <w:t>et al.</w:t>
      </w:r>
      <w:r w:rsidRPr="00610838">
        <w:rPr>
          <w:rFonts w:ascii="Times New Roman" w:hAnsi="Times New Roman" w:cs="Times New Roman"/>
          <w:noProof/>
          <w:sz w:val="20"/>
          <w:szCs w:val="24"/>
          <w:lang w:val="en-GB"/>
        </w:rPr>
        <w:t xml:space="preserve"> Ensembl 2019. </w:t>
      </w:r>
      <w:r w:rsidRPr="00610838">
        <w:rPr>
          <w:rFonts w:ascii="Times New Roman" w:hAnsi="Times New Roman" w:cs="Times New Roman"/>
          <w:i/>
          <w:iCs/>
          <w:noProof/>
          <w:sz w:val="20"/>
          <w:szCs w:val="24"/>
          <w:lang w:val="en-GB"/>
        </w:rPr>
        <w:t>Nucleic Acids Res.</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47</w:t>
      </w:r>
      <w:r w:rsidRPr="00610838">
        <w:rPr>
          <w:rFonts w:ascii="Times New Roman" w:hAnsi="Times New Roman" w:cs="Times New Roman"/>
          <w:noProof/>
          <w:sz w:val="20"/>
          <w:szCs w:val="24"/>
          <w:lang w:val="en-GB"/>
        </w:rPr>
        <w:t>, D745–D751 (2019).</w:t>
      </w:r>
    </w:p>
    <w:p w14:paraId="191B4DB7"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8.</w:t>
      </w:r>
      <w:r w:rsidRPr="00610838">
        <w:rPr>
          <w:rFonts w:ascii="Times New Roman" w:hAnsi="Times New Roman" w:cs="Times New Roman"/>
          <w:noProof/>
          <w:sz w:val="20"/>
          <w:szCs w:val="24"/>
          <w:lang w:val="en-GB"/>
        </w:rPr>
        <w:tab/>
        <w:t xml:space="preserve">Yao, Z. </w:t>
      </w:r>
      <w:r w:rsidRPr="00610838">
        <w:rPr>
          <w:rFonts w:ascii="Times New Roman" w:hAnsi="Times New Roman" w:cs="Times New Roman"/>
          <w:i/>
          <w:iCs/>
          <w:noProof/>
          <w:sz w:val="20"/>
          <w:szCs w:val="24"/>
          <w:lang w:val="en-GB"/>
        </w:rPr>
        <w:t>et al.</w:t>
      </w:r>
      <w:r w:rsidRPr="00610838">
        <w:rPr>
          <w:rFonts w:ascii="Times New Roman" w:hAnsi="Times New Roman" w:cs="Times New Roman"/>
          <w:noProof/>
          <w:sz w:val="20"/>
          <w:szCs w:val="24"/>
          <w:lang w:val="en-GB"/>
        </w:rPr>
        <w:t xml:space="preserve"> Evaluation of variant calling tools for large plant genome re-sequencing. </w:t>
      </w:r>
      <w:r w:rsidRPr="00610838">
        <w:rPr>
          <w:rFonts w:ascii="Times New Roman" w:hAnsi="Times New Roman" w:cs="Times New Roman"/>
          <w:i/>
          <w:iCs/>
          <w:noProof/>
          <w:sz w:val="20"/>
          <w:szCs w:val="24"/>
          <w:lang w:val="en-GB"/>
        </w:rPr>
        <w:t>BMC Bioinformatics</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21</w:t>
      </w:r>
      <w:r w:rsidRPr="00610838">
        <w:rPr>
          <w:rFonts w:ascii="Times New Roman" w:hAnsi="Times New Roman" w:cs="Times New Roman"/>
          <w:noProof/>
          <w:sz w:val="20"/>
          <w:szCs w:val="24"/>
          <w:lang w:val="en-GB"/>
        </w:rPr>
        <w:t>, 360 (2020).</w:t>
      </w:r>
    </w:p>
    <w:p w14:paraId="4781253F"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9.</w:t>
      </w:r>
      <w:r w:rsidRPr="00610838">
        <w:rPr>
          <w:rFonts w:ascii="Times New Roman" w:hAnsi="Times New Roman" w:cs="Times New Roman"/>
          <w:noProof/>
          <w:sz w:val="20"/>
          <w:szCs w:val="24"/>
          <w:lang w:val="en-GB"/>
        </w:rPr>
        <w:tab/>
        <w:t xml:space="preserve">Jackman, S., Tahk, A., Zeileis, A., Maimone, C. &amp; Fearon, J. </w:t>
      </w:r>
      <w:r w:rsidRPr="00610838">
        <w:rPr>
          <w:rFonts w:ascii="Times New Roman" w:hAnsi="Times New Roman" w:cs="Times New Roman"/>
          <w:i/>
          <w:iCs/>
          <w:noProof/>
          <w:sz w:val="20"/>
          <w:szCs w:val="24"/>
          <w:lang w:val="en-GB"/>
        </w:rPr>
        <w:t>Political Science Computational Laboratory, Stanford University: Package ‘ pscl ’</w:t>
      </w:r>
      <w:r w:rsidRPr="00610838">
        <w:rPr>
          <w:rFonts w:ascii="Times New Roman" w:hAnsi="Times New Roman" w:cs="Times New Roman"/>
          <w:noProof/>
          <w:sz w:val="20"/>
          <w:szCs w:val="24"/>
          <w:lang w:val="en-GB"/>
        </w:rPr>
        <w:t>. http://pscl.stanford.edu/ (2013).</w:t>
      </w:r>
    </w:p>
    <w:p w14:paraId="407EAB77"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7B27AF">
        <w:rPr>
          <w:rFonts w:ascii="Times New Roman" w:hAnsi="Times New Roman" w:cs="Times New Roman"/>
          <w:noProof/>
          <w:sz w:val="20"/>
          <w:szCs w:val="24"/>
        </w:rPr>
        <w:t>10.</w:t>
      </w:r>
      <w:r w:rsidRPr="007B27AF">
        <w:rPr>
          <w:rFonts w:ascii="Times New Roman" w:hAnsi="Times New Roman" w:cs="Times New Roman"/>
          <w:noProof/>
          <w:sz w:val="20"/>
          <w:szCs w:val="24"/>
        </w:rPr>
        <w:tab/>
        <w:t xml:space="preserve">Von Korff, M., Wang, H., Léon, J. &amp; Pillen, K. AB-QTL analysis in spring barley. </w:t>
      </w:r>
      <w:r w:rsidRPr="00610838">
        <w:rPr>
          <w:rFonts w:ascii="Times New Roman" w:hAnsi="Times New Roman" w:cs="Times New Roman"/>
          <w:noProof/>
          <w:sz w:val="20"/>
          <w:szCs w:val="24"/>
          <w:lang w:val="en-GB"/>
        </w:rPr>
        <w:t xml:space="preserve">I. Detection of resistance genes against powdery mildew, leaf rust and scald introgressed from wild barley. </w:t>
      </w:r>
      <w:r w:rsidRPr="00610838">
        <w:rPr>
          <w:rFonts w:ascii="Times New Roman" w:hAnsi="Times New Roman" w:cs="Times New Roman"/>
          <w:i/>
          <w:iCs/>
          <w:noProof/>
          <w:sz w:val="20"/>
          <w:szCs w:val="24"/>
          <w:lang w:val="en-GB"/>
        </w:rPr>
        <w:t>Theor. Appl. Genet.</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111</w:t>
      </w:r>
      <w:r w:rsidRPr="00610838">
        <w:rPr>
          <w:rFonts w:ascii="Times New Roman" w:hAnsi="Times New Roman" w:cs="Times New Roman"/>
          <w:noProof/>
          <w:sz w:val="20"/>
          <w:szCs w:val="24"/>
          <w:lang w:val="en-GB"/>
        </w:rPr>
        <w:t>, 583–590 (2005).</w:t>
      </w:r>
    </w:p>
    <w:p w14:paraId="5684DC4E"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11.</w:t>
      </w:r>
      <w:r w:rsidRPr="00610838">
        <w:rPr>
          <w:rFonts w:ascii="Times New Roman" w:hAnsi="Times New Roman" w:cs="Times New Roman"/>
          <w:noProof/>
          <w:sz w:val="20"/>
          <w:szCs w:val="24"/>
          <w:lang w:val="en-GB"/>
        </w:rPr>
        <w:tab/>
        <w:t xml:space="preserve">Bedawy, I. M. A., Dehne, H. W., Léon, J. &amp; Naz, A. A. Mining the global diversity of barley for Fusarium resistance using leaf and spike inoculations. </w:t>
      </w:r>
      <w:r w:rsidRPr="00610838">
        <w:rPr>
          <w:rFonts w:ascii="Times New Roman" w:hAnsi="Times New Roman" w:cs="Times New Roman"/>
          <w:i/>
          <w:iCs/>
          <w:noProof/>
          <w:sz w:val="20"/>
          <w:szCs w:val="24"/>
          <w:lang w:val="en-GB"/>
        </w:rPr>
        <w:t>Euphytica</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214</w:t>
      </w:r>
      <w:r w:rsidRPr="00610838">
        <w:rPr>
          <w:rFonts w:ascii="Times New Roman" w:hAnsi="Times New Roman" w:cs="Times New Roman"/>
          <w:noProof/>
          <w:sz w:val="20"/>
          <w:szCs w:val="24"/>
          <w:lang w:val="en-GB"/>
        </w:rPr>
        <w:t>, (2018).</w:t>
      </w:r>
    </w:p>
    <w:p w14:paraId="420481A4"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12.</w:t>
      </w:r>
      <w:r w:rsidRPr="00610838">
        <w:rPr>
          <w:rFonts w:ascii="Times New Roman" w:hAnsi="Times New Roman" w:cs="Times New Roman"/>
          <w:noProof/>
          <w:sz w:val="20"/>
          <w:szCs w:val="24"/>
          <w:lang w:val="en-GB"/>
        </w:rPr>
        <w:tab/>
        <w:t xml:space="preserve">Lüpken, T. </w:t>
      </w:r>
      <w:r w:rsidRPr="00610838">
        <w:rPr>
          <w:rFonts w:ascii="Times New Roman" w:hAnsi="Times New Roman" w:cs="Times New Roman"/>
          <w:i/>
          <w:iCs/>
          <w:noProof/>
          <w:sz w:val="20"/>
          <w:szCs w:val="24"/>
          <w:lang w:val="en-GB"/>
        </w:rPr>
        <w:t>et al.</w:t>
      </w:r>
      <w:r w:rsidRPr="00610838">
        <w:rPr>
          <w:rFonts w:ascii="Times New Roman" w:hAnsi="Times New Roman" w:cs="Times New Roman"/>
          <w:noProof/>
          <w:sz w:val="20"/>
          <w:szCs w:val="24"/>
          <w:lang w:val="en-GB"/>
        </w:rPr>
        <w:t xml:space="preserve"> High-resolution mapping of the barley Ryd3 locus controlling tolerance to BYDV. </w:t>
      </w:r>
      <w:r w:rsidRPr="00610838">
        <w:rPr>
          <w:rFonts w:ascii="Times New Roman" w:hAnsi="Times New Roman" w:cs="Times New Roman"/>
          <w:i/>
          <w:iCs/>
          <w:noProof/>
          <w:sz w:val="20"/>
          <w:szCs w:val="24"/>
          <w:lang w:val="en-GB"/>
        </w:rPr>
        <w:t>Mol. Breed.</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33</w:t>
      </w:r>
      <w:r w:rsidRPr="00610838">
        <w:rPr>
          <w:rFonts w:ascii="Times New Roman" w:hAnsi="Times New Roman" w:cs="Times New Roman"/>
          <w:noProof/>
          <w:sz w:val="20"/>
          <w:szCs w:val="24"/>
          <w:lang w:val="en-GB"/>
        </w:rPr>
        <w:t>, 477–488 (2014).</w:t>
      </w:r>
    </w:p>
    <w:p w14:paraId="41EE3A3C"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13.</w:t>
      </w:r>
      <w:r w:rsidRPr="00610838">
        <w:rPr>
          <w:rFonts w:ascii="Times New Roman" w:hAnsi="Times New Roman" w:cs="Times New Roman"/>
          <w:noProof/>
          <w:sz w:val="20"/>
          <w:szCs w:val="24"/>
          <w:lang w:val="en-GB"/>
        </w:rPr>
        <w:tab/>
        <w:t xml:space="preserve">Dragan, P. </w:t>
      </w:r>
      <w:r w:rsidRPr="00610838">
        <w:rPr>
          <w:rFonts w:ascii="Times New Roman" w:hAnsi="Times New Roman" w:cs="Times New Roman"/>
          <w:i/>
          <w:iCs/>
          <w:noProof/>
          <w:sz w:val="20"/>
          <w:szCs w:val="24"/>
          <w:lang w:val="en-GB"/>
        </w:rPr>
        <w:t>et al.</w:t>
      </w:r>
      <w:r w:rsidRPr="00610838">
        <w:rPr>
          <w:rFonts w:ascii="Times New Roman" w:hAnsi="Times New Roman" w:cs="Times New Roman"/>
          <w:noProof/>
          <w:sz w:val="20"/>
          <w:szCs w:val="24"/>
          <w:lang w:val="en-GB"/>
        </w:rPr>
        <w:t xml:space="preserve"> Genetic Fine Mapping of a Novel Leaf Rust Resistance Gene and a Barley Yellow Dwarf Virus Tolerance (BYDV) Introgressed from Hordeum bulbosum by the Use of the 9K iSelect Chip. in </w:t>
      </w:r>
      <w:r w:rsidRPr="00610838">
        <w:rPr>
          <w:rFonts w:ascii="Times New Roman" w:hAnsi="Times New Roman" w:cs="Times New Roman"/>
          <w:i/>
          <w:iCs/>
          <w:noProof/>
          <w:sz w:val="20"/>
          <w:szCs w:val="24"/>
          <w:lang w:val="en-GB"/>
        </w:rPr>
        <w:t>Advance in Barley Sciences</w:t>
      </w:r>
      <w:r w:rsidRPr="00610838">
        <w:rPr>
          <w:rFonts w:ascii="Times New Roman" w:hAnsi="Times New Roman" w:cs="Times New Roman"/>
          <w:noProof/>
          <w:sz w:val="20"/>
          <w:szCs w:val="24"/>
          <w:lang w:val="en-GB"/>
        </w:rPr>
        <w:t xml:space="preserve"> 269–284 (Springer Netherlands, 2013). doi:10.1007/978-94-007-4682-4_23.</w:t>
      </w:r>
    </w:p>
    <w:p w14:paraId="6B3CD87A"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14.</w:t>
      </w:r>
      <w:r w:rsidRPr="00610838">
        <w:rPr>
          <w:rFonts w:ascii="Times New Roman" w:hAnsi="Times New Roman" w:cs="Times New Roman"/>
          <w:noProof/>
          <w:sz w:val="20"/>
          <w:szCs w:val="24"/>
          <w:lang w:val="en-GB"/>
        </w:rPr>
        <w:tab/>
        <w:t xml:space="preserve">Schmalenbach, I., March, T. J., Pillen, K., Bringezu, T. &amp; Waugh, R. High-resolution genotyping of wild barley introgression lines and fine-mapping of the threshability locus thresh-1 using the illumina goldengate assay. </w:t>
      </w:r>
      <w:r w:rsidRPr="00610838">
        <w:rPr>
          <w:rFonts w:ascii="Times New Roman" w:hAnsi="Times New Roman" w:cs="Times New Roman"/>
          <w:i/>
          <w:iCs/>
          <w:noProof/>
          <w:sz w:val="20"/>
          <w:szCs w:val="24"/>
          <w:lang w:val="en-GB"/>
        </w:rPr>
        <w:t>G3 Genes, Genomes, Genet.</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1</w:t>
      </w:r>
      <w:r w:rsidRPr="00610838">
        <w:rPr>
          <w:rFonts w:ascii="Times New Roman" w:hAnsi="Times New Roman" w:cs="Times New Roman"/>
          <w:noProof/>
          <w:sz w:val="20"/>
          <w:szCs w:val="24"/>
          <w:lang w:val="en-GB"/>
        </w:rPr>
        <w:t>, 187–196 (2011).</w:t>
      </w:r>
    </w:p>
    <w:p w14:paraId="1849A181"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15.</w:t>
      </w:r>
      <w:r w:rsidRPr="00610838">
        <w:rPr>
          <w:rFonts w:ascii="Times New Roman" w:hAnsi="Times New Roman" w:cs="Times New Roman"/>
          <w:noProof/>
          <w:sz w:val="20"/>
          <w:szCs w:val="24"/>
          <w:lang w:val="en-GB"/>
        </w:rPr>
        <w:tab/>
        <w:t xml:space="preserve">Liller, C. B. </w:t>
      </w:r>
      <w:r w:rsidRPr="00610838">
        <w:rPr>
          <w:rFonts w:ascii="Times New Roman" w:hAnsi="Times New Roman" w:cs="Times New Roman"/>
          <w:i/>
          <w:iCs/>
          <w:noProof/>
          <w:sz w:val="20"/>
          <w:szCs w:val="24"/>
          <w:lang w:val="en-GB"/>
        </w:rPr>
        <w:t>et al.</w:t>
      </w:r>
      <w:r w:rsidRPr="00610838">
        <w:rPr>
          <w:rFonts w:ascii="Times New Roman" w:hAnsi="Times New Roman" w:cs="Times New Roman"/>
          <w:noProof/>
          <w:sz w:val="20"/>
          <w:szCs w:val="24"/>
          <w:lang w:val="en-GB"/>
        </w:rPr>
        <w:t xml:space="preserve"> Fine mapping of a major QTL for awn length in barley using a multiparent mapping population. </w:t>
      </w:r>
      <w:r w:rsidRPr="00610838">
        <w:rPr>
          <w:rFonts w:ascii="Times New Roman" w:hAnsi="Times New Roman" w:cs="Times New Roman"/>
          <w:i/>
          <w:iCs/>
          <w:noProof/>
          <w:sz w:val="20"/>
          <w:szCs w:val="24"/>
          <w:lang w:val="en-GB"/>
        </w:rPr>
        <w:t>Theor. Appl. Genet.</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130</w:t>
      </w:r>
      <w:r w:rsidRPr="00610838">
        <w:rPr>
          <w:rFonts w:ascii="Times New Roman" w:hAnsi="Times New Roman" w:cs="Times New Roman"/>
          <w:noProof/>
          <w:sz w:val="20"/>
          <w:szCs w:val="24"/>
          <w:lang w:val="en-GB"/>
        </w:rPr>
        <w:t>, 269–281 (2017).</w:t>
      </w:r>
    </w:p>
    <w:p w14:paraId="5BC59BF7"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16.</w:t>
      </w:r>
      <w:r w:rsidRPr="00610838">
        <w:rPr>
          <w:rFonts w:ascii="Times New Roman" w:hAnsi="Times New Roman" w:cs="Times New Roman"/>
          <w:noProof/>
          <w:sz w:val="20"/>
          <w:szCs w:val="24"/>
          <w:lang w:val="en-GB"/>
        </w:rPr>
        <w:tab/>
        <w:t xml:space="preserve">Komatsuda, T., Maxim, P., Senthil, N. &amp; Mano, Y. High-density AFLP map of nonbrittle rachis 1 (btr1) and 2 (btr2) genes in barley (Hordeum vulgare L.). </w:t>
      </w:r>
      <w:r w:rsidRPr="00610838">
        <w:rPr>
          <w:rFonts w:ascii="Times New Roman" w:hAnsi="Times New Roman" w:cs="Times New Roman"/>
          <w:i/>
          <w:iCs/>
          <w:noProof/>
          <w:sz w:val="20"/>
          <w:szCs w:val="24"/>
          <w:lang w:val="en-GB"/>
        </w:rPr>
        <w:t>Theor. Appl. Genet.</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109</w:t>
      </w:r>
      <w:r w:rsidRPr="00610838">
        <w:rPr>
          <w:rFonts w:ascii="Times New Roman" w:hAnsi="Times New Roman" w:cs="Times New Roman"/>
          <w:noProof/>
          <w:sz w:val="20"/>
          <w:szCs w:val="24"/>
          <w:lang w:val="en-GB"/>
        </w:rPr>
        <w:t>, 986–995 (2004).</w:t>
      </w:r>
    </w:p>
    <w:p w14:paraId="46FD4539"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17.</w:t>
      </w:r>
      <w:r w:rsidRPr="00610838">
        <w:rPr>
          <w:rFonts w:ascii="Times New Roman" w:hAnsi="Times New Roman" w:cs="Times New Roman"/>
          <w:noProof/>
          <w:sz w:val="20"/>
          <w:szCs w:val="24"/>
          <w:lang w:val="en-GB"/>
        </w:rPr>
        <w:tab/>
        <w:t xml:space="preserve">Watt, C., Zhou, G., McFawn, L. A., Chalmers, K. J. &amp; Li, C. Fine mapping of qGL5H, a major grain length locus in barley (Hordeum vulgare L.). </w:t>
      </w:r>
      <w:r w:rsidRPr="00610838">
        <w:rPr>
          <w:rFonts w:ascii="Times New Roman" w:hAnsi="Times New Roman" w:cs="Times New Roman"/>
          <w:i/>
          <w:iCs/>
          <w:noProof/>
          <w:sz w:val="20"/>
          <w:szCs w:val="24"/>
          <w:lang w:val="en-GB"/>
        </w:rPr>
        <w:t>Theor. Appl. Genet.</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132</w:t>
      </w:r>
      <w:r w:rsidRPr="00610838">
        <w:rPr>
          <w:rFonts w:ascii="Times New Roman" w:hAnsi="Times New Roman" w:cs="Times New Roman"/>
          <w:noProof/>
          <w:sz w:val="20"/>
          <w:szCs w:val="24"/>
          <w:lang w:val="en-GB"/>
        </w:rPr>
        <w:t>, 883–893 (2019).</w:t>
      </w:r>
    </w:p>
    <w:p w14:paraId="7D556429"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18.</w:t>
      </w:r>
      <w:r w:rsidRPr="00610838">
        <w:rPr>
          <w:rFonts w:ascii="Times New Roman" w:hAnsi="Times New Roman" w:cs="Times New Roman"/>
          <w:noProof/>
          <w:sz w:val="20"/>
          <w:szCs w:val="24"/>
          <w:lang w:val="en-GB"/>
        </w:rPr>
        <w:tab/>
        <w:t>Barley Gene Function Annotation. https://webblast.ipk-gatersleben.de/barley_ibsc/downloads/.</w:t>
      </w:r>
    </w:p>
    <w:p w14:paraId="4FF06B89"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19.</w:t>
      </w:r>
      <w:r w:rsidRPr="00610838">
        <w:rPr>
          <w:rFonts w:ascii="Times New Roman" w:hAnsi="Times New Roman" w:cs="Times New Roman"/>
          <w:noProof/>
          <w:sz w:val="20"/>
          <w:szCs w:val="24"/>
          <w:lang w:val="en-GB"/>
        </w:rPr>
        <w:tab/>
        <w:t>Takahashi, R., Bashir, K., Ishimaru, Y., Nishizawa, N. K. &amp; Nakanishi, H. Takahashi ('12) - The role of heavy-metal ATPases, HMAs, in zinc. 1605–1607 (2012).</w:t>
      </w:r>
    </w:p>
    <w:p w14:paraId="555A3D50"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20.</w:t>
      </w:r>
      <w:r w:rsidRPr="00610838">
        <w:rPr>
          <w:rFonts w:ascii="Times New Roman" w:hAnsi="Times New Roman" w:cs="Times New Roman"/>
          <w:noProof/>
          <w:sz w:val="20"/>
          <w:szCs w:val="24"/>
          <w:lang w:val="en-GB"/>
        </w:rPr>
        <w:tab/>
        <w:t xml:space="preserve">Marzec, M. &amp; Alqudah, A. M. Key hormonal components regulate agronomically important traits in barley. </w:t>
      </w:r>
      <w:r w:rsidRPr="00610838">
        <w:rPr>
          <w:rFonts w:ascii="Times New Roman" w:hAnsi="Times New Roman" w:cs="Times New Roman"/>
          <w:i/>
          <w:iCs/>
          <w:noProof/>
          <w:sz w:val="20"/>
          <w:szCs w:val="24"/>
          <w:lang w:val="en-GB"/>
        </w:rPr>
        <w:t>Int. J. Mol. Sci.</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19</w:t>
      </w:r>
      <w:r w:rsidRPr="00610838">
        <w:rPr>
          <w:rFonts w:ascii="Times New Roman" w:hAnsi="Times New Roman" w:cs="Times New Roman"/>
          <w:noProof/>
          <w:sz w:val="20"/>
          <w:szCs w:val="24"/>
          <w:lang w:val="en-GB"/>
        </w:rPr>
        <w:t>, 1–12 (2018).</w:t>
      </w:r>
    </w:p>
    <w:p w14:paraId="01EEF80A"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21.</w:t>
      </w:r>
      <w:r w:rsidRPr="00610838">
        <w:rPr>
          <w:rFonts w:ascii="Times New Roman" w:hAnsi="Times New Roman" w:cs="Times New Roman"/>
          <w:noProof/>
          <w:sz w:val="20"/>
          <w:szCs w:val="24"/>
          <w:lang w:val="en-GB"/>
        </w:rPr>
        <w:tab/>
        <w:t xml:space="preserve">Sato, K. </w:t>
      </w:r>
      <w:r w:rsidRPr="00610838">
        <w:rPr>
          <w:rFonts w:ascii="Times New Roman" w:hAnsi="Times New Roman" w:cs="Times New Roman"/>
          <w:i/>
          <w:iCs/>
          <w:noProof/>
          <w:sz w:val="20"/>
          <w:szCs w:val="24"/>
          <w:lang w:val="en-GB"/>
        </w:rPr>
        <w:t>et al.</w:t>
      </w:r>
      <w:r w:rsidRPr="00610838">
        <w:rPr>
          <w:rFonts w:ascii="Times New Roman" w:hAnsi="Times New Roman" w:cs="Times New Roman"/>
          <w:noProof/>
          <w:sz w:val="20"/>
          <w:szCs w:val="24"/>
          <w:lang w:val="en-GB"/>
        </w:rPr>
        <w:t xml:space="preserve"> Alanine aminotransferase controls seed dormancy in barley. </w:t>
      </w:r>
      <w:r w:rsidRPr="00610838">
        <w:rPr>
          <w:rFonts w:ascii="Times New Roman" w:hAnsi="Times New Roman" w:cs="Times New Roman"/>
          <w:i/>
          <w:iCs/>
          <w:noProof/>
          <w:sz w:val="20"/>
          <w:szCs w:val="24"/>
          <w:lang w:val="en-GB"/>
        </w:rPr>
        <w:t>Nat. Commun.</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7</w:t>
      </w:r>
      <w:r w:rsidRPr="00610838">
        <w:rPr>
          <w:rFonts w:ascii="Times New Roman" w:hAnsi="Times New Roman" w:cs="Times New Roman"/>
          <w:noProof/>
          <w:sz w:val="20"/>
          <w:szCs w:val="24"/>
          <w:lang w:val="en-GB"/>
        </w:rPr>
        <w:t>, 1–9 (2016).</w:t>
      </w:r>
    </w:p>
    <w:p w14:paraId="47AE402B"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22.</w:t>
      </w:r>
      <w:r w:rsidRPr="00610838">
        <w:rPr>
          <w:rFonts w:ascii="Times New Roman" w:hAnsi="Times New Roman" w:cs="Times New Roman"/>
          <w:noProof/>
          <w:sz w:val="20"/>
          <w:szCs w:val="24"/>
          <w:lang w:val="en-GB"/>
        </w:rPr>
        <w:tab/>
        <w:t xml:space="preserve">Alqudah, A. M., Koppolu, R., Wolde, G. M., Graner, A. &amp; Schnurbusch, T. The genetic architecture of barley plant stature. </w:t>
      </w:r>
      <w:r w:rsidRPr="00610838">
        <w:rPr>
          <w:rFonts w:ascii="Times New Roman" w:hAnsi="Times New Roman" w:cs="Times New Roman"/>
          <w:i/>
          <w:iCs/>
          <w:noProof/>
          <w:sz w:val="20"/>
          <w:szCs w:val="24"/>
          <w:lang w:val="en-GB"/>
        </w:rPr>
        <w:t>Front. Genet.</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7</w:t>
      </w:r>
      <w:r w:rsidRPr="00610838">
        <w:rPr>
          <w:rFonts w:ascii="Times New Roman" w:hAnsi="Times New Roman" w:cs="Times New Roman"/>
          <w:noProof/>
          <w:sz w:val="20"/>
          <w:szCs w:val="24"/>
          <w:lang w:val="en-GB"/>
        </w:rPr>
        <w:t>, 117 (2016).</w:t>
      </w:r>
    </w:p>
    <w:p w14:paraId="02E095BB"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23.</w:t>
      </w:r>
      <w:r w:rsidRPr="00610838">
        <w:rPr>
          <w:rFonts w:ascii="Times New Roman" w:hAnsi="Times New Roman" w:cs="Times New Roman"/>
          <w:noProof/>
          <w:sz w:val="20"/>
          <w:szCs w:val="24"/>
          <w:lang w:val="en-GB"/>
        </w:rPr>
        <w:tab/>
        <w:t xml:space="preserve">Mulki, M. A., Bi, X. &amp; von Korff, M. Flowering locus T3 controls spikelet initiation but not floral development. </w:t>
      </w:r>
      <w:r w:rsidRPr="00610838">
        <w:rPr>
          <w:rFonts w:ascii="Times New Roman" w:hAnsi="Times New Roman" w:cs="Times New Roman"/>
          <w:i/>
          <w:iCs/>
          <w:noProof/>
          <w:sz w:val="20"/>
          <w:szCs w:val="24"/>
          <w:lang w:val="en-GB"/>
        </w:rPr>
        <w:t>Plant Physiol.</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178</w:t>
      </w:r>
      <w:r w:rsidRPr="00610838">
        <w:rPr>
          <w:rFonts w:ascii="Times New Roman" w:hAnsi="Times New Roman" w:cs="Times New Roman"/>
          <w:noProof/>
          <w:sz w:val="20"/>
          <w:szCs w:val="24"/>
          <w:lang w:val="en-GB"/>
        </w:rPr>
        <w:t>, 1170–1186 (2018).</w:t>
      </w:r>
    </w:p>
    <w:p w14:paraId="7CDCE4D2"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24.</w:t>
      </w:r>
      <w:r w:rsidRPr="00610838">
        <w:rPr>
          <w:rFonts w:ascii="Times New Roman" w:hAnsi="Times New Roman" w:cs="Times New Roman"/>
          <w:noProof/>
          <w:sz w:val="20"/>
          <w:szCs w:val="24"/>
          <w:lang w:val="en-GB"/>
        </w:rPr>
        <w:tab/>
        <w:t xml:space="preserve">Guan, J. C. </w:t>
      </w:r>
      <w:r w:rsidRPr="00610838">
        <w:rPr>
          <w:rFonts w:ascii="Times New Roman" w:hAnsi="Times New Roman" w:cs="Times New Roman"/>
          <w:i/>
          <w:iCs/>
          <w:noProof/>
          <w:sz w:val="20"/>
          <w:szCs w:val="24"/>
          <w:lang w:val="en-GB"/>
        </w:rPr>
        <w:t>et al.</w:t>
      </w:r>
      <w:r w:rsidRPr="00610838">
        <w:rPr>
          <w:rFonts w:ascii="Times New Roman" w:hAnsi="Times New Roman" w:cs="Times New Roman"/>
          <w:noProof/>
          <w:sz w:val="20"/>
          <w:szCs w:val="24"/>
          <w:lang w:val="en-GB"/>
        </w:rPr>
        <w:t xml:space="preserve"> Diverse roles of strigolactone signaling in maize architecture and the uncoupling of a branching-specific subnetwork. </w:t>
      </w:r>
      <w:r w:rsidRPr="00610838">
        <w:rPr>
          <w:rFonts w:ascii="Times New Roman" w:hAnsi="Times New Roman" w:cs="Times New Roman"/>
          <w:i/>
          <w:iCs/>
          <w:noProof/>
          <w:sz w:val="20"/>
          <w:szCs w:val="24"/>
          <w:lang w:val="en-GB"/>
        </w:rPr>
        <w:t>Plant Physiol.</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160</w:t>
      </w:r>
      <w:r w:rsidRPr="00610838">
        <w:rPr>
          <w:rFonts w:ascii="Times New Roman" w:hAnsi="Times New Roman" w:cs="Times New Roman"/>
          <w:noProof/>
          <w:sz w:val="20"/>
          <w:szCs w:val="24"/>
          <w:lang w:val="en-GB"/>
        </w:rPr>
        <w:t>, 1303–1317 (2012).</w:t>
      </w:r>
    </w:p>
    <w:p w14:paraId="41434DD8"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25.</w:t>
      </w:r>
      <w:r w:rsidRPr="00610838">
        <w:rPr>
          <w:rFonts w:ascii="Times New Roman" w:hAnsi="Times New Roman" w:cs="Times New Roman"/>
          <w:noProof/>
          <w:sz w:val="20"/>
          <w:szCs w:val="24"/>
          <w:lang w:val="en-GB"/>
        </w:rPr>
        <w:tab/>
        <w:t xml:space="preserve">Xu, Y. </w:t>
      </w:r>
      <w:r w:rsidRPr="00610838">
        <w:rPr>
          <w:rFonts w:ascii="Times New Roman" w:hAnsi="Times New Roman" w:cs="Times New Roman"/>
          <w:i/>
          <w:iCs/>
          <w:noProof/>
          <w:sz w:val="20"/>
          <w:szCs w:val="24"/>
          <w:lang w:val="en-GB"/>
        </w:rPr>
        <w:t>et al.</w:t>
      </w:r>
      <w:r w:rsidRPr="00610838">
        <w:rPr>
          <w:rFonts w:ascii="Times New Roman" w:hAnsi="Times New Roman" w:cs="Times New Roman"/>
          <w:noProof/>
          <w:sz w:val="20"/>
          <w:szCs w:val="24"/>
          <w:lang w:val="en-GB"/>
        </w:rPr>
        <w:t xml:space="preserve"> Characterization of the sdw1 semi-dwarf gene in barley. </w:t>
      </w:r>
      <w:r w:rsidRPr="00610838">
        <w:rPr>
          <w:rFonts w:ascii="Times New Roman" w:hAnsi="Times New Roman" w:cs="Times New Roman"/>
          <w:i/>
          <w:iCs/>
          <w:noProof/>
          <w:sz w:val="20"/>
          <w:szCs w:val="24"/>
          <w:lang w:val="en-GB"/>
        </w:rPr>
        <w:t>BMC Plant Biol.</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17</w:t>
      </w:r>
      <w:r w:rsidRPr="00610838">
        <w:rPr>
          <w:rFonts w:ascii="Times New Roman" w:hAnsi="Times New Roman" w:cs="Times New Roman"/>
          <w:noProof/>
          <w:sz w:val="20"/>
          <w:szCs w:val="24"/>
          <w:lang w:val="en-GB"/>
        </w:rPr>
        <w:t>, 1–10 (2017).</w:t>
      </w:r>
    </w:p>
    <w:p w14:paraId="4E0E241F"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26.</w:t>
      </w:r>
      <w:r w:rsidRPr="00610838">
        <w:rPr>
          <w:rFonts w:ascii="Times New Roman" w:hAnsi="Times New Roman" w:cs="Times New Roman"/>
          <w:noProof/>
          <w:sz w:val="20"/>
          <w:szCs w:val="24"/>
          <w:lang w:val="en-GB"/>
        </w:rPr>
        <w:tab/>
        <w:t xml:space="preserve">Itoh, H. </w:t>
      </w:r>
      <w:r w:rsidRPr="00610838">
        <w:rPr>
          <w:rFonts w:ascii="Times New Roman" w:hAnsi="Times New Roman" w:cs="Times New Roman"/>
          <w:i/>
          <w:iCs/>
          <w:noProof/>
          <w:sz w:val="20"/>
          <w:szCs w:val="24"/>
          <w:lang w:val="en-GB"/>
        </w:rPr>
        <w:t>et al.</w:t>
      </w:r>
      <w:r w:rsidRPr="00610838">
        <w:rPr>
          <w:rFonts w:ascii="Times New Roman" w:hAnsi="Times New Roman" w:cs="Times New Roman"/>
          <w:noProof/>
          <w:sz w:val="20"/>
          <w:szCs w:val="24"/>
          <w:lang w:val="en-GB"/>
        </w:rPr>
        <w:t xml:space="preserve"> A rice semi-dwarf gene, Tan-Ginbozu (D35), encodes the gibberellin biosynthesis enzyme, ent-kaurene oxidase. </w:t>
      </w:r>
      <w:r w:rsidRPr="00610838">
        <w:rPr>
          <w:rFonts w:ascii="Times New Roman" w:hAnsi="Times New Roman" w:cs="Times New Roman"/>
          <w:i/>
          <w:iCs/>
          <w:noProof/>
          <w:sz w:val="20"/>
          <w:szCs w:val="24"/>
          <w:lang w:val="en-GB"/>
        </w:rPr>
        <w:t>Plant Mol. Biol.</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54</w:t>
      </w:r>
      <w:r w:rsidRPr="00610838">
        <w:rPr>
          <w:rFonts w:ascii="Times New Roman" w:hAnsi="Times New Roman" w:cs="Times New Roman"/>
          <w:noProof/>
          <w:sz w:val="20"/>
          <w:szCs w:val="24"/>
          <w:lang w:val="en-GB"/>
        </w:rPr>
        <w:t>, 533–547 (2004).</w:t>
      </w:r>
    </w:p>
    <w:p w14:paraId="0F8C8C23"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27.</w:t>
      </w:r>
      <w:r w:rsidRPr="00610838">
        <w:rPr>
          <w:rFonts w:ascii="Times New Roman" w:hAnsi="Times New Roman" w:cs="Times New Roman"/>
          <w:noProof/>
          <w:sz w:val="20"/>
          <w:szCs w:val="24"/>
          <w:lang w:val="en-GB"/>
        </w:rPr>
        <w:tab/>
        <w:t xml:space="preserve">Wang, G. </w:t>
      </w:r>
      <w:r w:rsidRPr="00610838">
        <w:rPr>
          <w:rFonts w:ascii="Times New Roman" w:hAnsi="Times New Roman" w:cs="Times New Roman"/>
          <w:i/>
          <w:iCs/>
          <w:noProof/>
          <w:sz w:val="20"/>
          <w:szCs w:val="24"/>
          <w:lang w:val="en-GB"/>
        </w:rPr>
        <w:t>et al.</w:t>
      </w:r>
      <w:r w:rsidRPr="00610838">
        <w:rPr>
          <w:rFonts w:ascii="Times New Roman" w:hAnsi="Times New Roman" w:cs="Times New Roman"/>
          <w:noProof/>
          <w:sz w:val="20"/>
          <w:szCs w:val="24"/>
          <w:lang w:val="en-GB"/>
        </w:rPr>
        <w:t xml:space="preserve"> Association of barley photoperiod and vernalization genes with QTLs for flowering time and agronomic traits in a BC2DH population and a set of wild barley introgression lines. </w:t>
      </w:r>
      <w:r w:rsidRPr="00610838">
        <w:rPr>
          <w:rFonts w:ascii="Times New Roman" w:hAnsi="Times New Roman" w:cs="Times New Roman"/>
          <w:i/>
          <w:iCs/>
          <w:noProof/>
          <w:sz w:val="20"/>
          <w:szCs w:val="24"/>
          <w:lang w:val="en-GB"/>
        </w:rPr>
        <w:t>Theor. Appl. Genet.</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120</w:t>
      </w:r>
      <w:r w:rsidRPr="00610838">
        <w:rPr>
          <w:rFonts w:ascii="Times New Roman" w:hAnsi="Times New Roman" w:cs="Times New Roman"/>
          <w:noProof/>
          <w:sz w:val="20"/>
          <w:szCs w:val="24"/>
          <w:lang w:val="en-GB"/>
        </w:rPr>
        <w:t>, 1559–1574 (2010).</w:t>
      </w:r>
    </w:p>
    <w:p w14:paraId="1DE8CA26"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lastRenderedPageBreak/>
        <w:t>28.</w:t>
      </w:r>
      <w:r w:rsidRPr="00610838">
        <w:rPr>
          <w:rFonts w:ascii="Times New Roman" w:hAnsi="Times New Roman" w:cs="Times New Roman"/>
          <w:noProof/>
          <w:sz w:val="20"/>
          <w:szCs w:val="24"/>
          <w:lang w:val="en-GB"/>
        </w:rPr>
        <w:tab/>
        <w:t xml:space="preserve">Afsharyan, N. P., Sannemann, W., Léon, J. &amp; Ballvora, A. Effect of epistasis and environment on flowering time in barley reveals a novel flowering-delaying QTL allele. </w:t>
      </w:r>
      <w:r w:rsidRPr="00610838">
        <w:rPr>
          <w:rFonts w:ascii="Times New Roman" w:hAnsi="Times New Roman" w:cs="Times New Roman"/>
          <w:i/>
          <w:iCs/>
          <w:noProof/>
          <w:sz w:val="20"/>
          <w:szCs w:val="24"/>
          <w:lang w:val="en-GB"/>
        </w:rPr>
        <w:t>J. Exp. Bot.</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71</w:t>
      </w:r>
      <w:r w:rsidRPr="00610838">
        <w:rPr>
          <w:rFonts w:ascii="Times New Roman" w:hAnsi="Times New Roman" w:cs="Times New Roman"/>
          <w:noProof/>
          <w:sz w:val="20"/>
          <w:szCs w:val="24"/>
          <w:lang w:val="en-GB"/>
        </w:rPr>
        <w:t>, 893–906 (2020).</w:t>
      </w:r>
    </w:p>
    <w:p w14:paraId="069FC676"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29.</w:t>
      </w:r>
      <w:r w:rsidRPr="00610838">
        <w:rPr>
          <w:rFonts w:ascii="Times New Roman" w:hAnsi="Times New Roman" w:cs="Times New Roman"/>
          <w:noProof/>
          <w:sz w:val="20"/>
          <w:szCs w:val="24"/>
          <w:lang w:val="en-GB"/>
        </w:rPr>
        <w:tab/>
        <w:t xml:space="preserve">Yan, L. </w:t>
      </w:r>
      <w:r w:rsidRPr="00610838">
        <w:rPr>
          <w:rFonts w:ascii="Times New Roman" w:hAnsi="Times New Roman" w:cs="Times New Roman"/>
          <w:i/>
          <w:iCs/>
          <w:noProof/>
          <w:sz w:val="20"/>
          <w:szCs w:val="24"/>
          <w:lang w:val="en-GB"/>
        </w:rPr>
        <w:t>et al.</w:t>
      </w:r>
      <w:r w:rsidRPr="00610838">
        <w:rPr>
          <w:rFonts w:ascii="Times New Roman" w:hAnsi="Times New Roman" w:cs="Times New Roman"/>
          <w:noProof/>
          <w:sz w:val="20"/>
          <w:szCs w:val="24"/>
          <w:lang w:val="en-GB"/>
        </w:rPr>
        <w:t xml:space="preserve"> The Wheat VRN2 Gene Is a Flowering Repressor Down-Regulated by Vernalization. </w:t>
      </w:r>
      <w:r w:rsidRPr="00610838">
        <w:rPr>
          <w:rFonts w:ascii="Times New Roman" w:hAnsi="Times New Roman" w:cs="Times New Roman"/>
          <w:i/>
          <w:iCs/>
          <w:noProof/>
          <w:sz w:val="20"/>
          <w:szCs w:val="24"/>
          <w:lang w:val="en-GB"/>
        </w:rPr>
        <w:t>Science (80-. ).</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303</w:t>
      </w:r>
      <w:r w:rsidRPr="00610838">
        <w:rPr>
          <w:rFonts w:ascii="Times New Roman" w:hAnsi="Times New Roman" w:cs="Times New Roman"/>
          <w:noProof/>
          <w:sz w:val="20"/>
          <w:szCs w:val="24"/>
          <w:lang w:val="en-GB"/>
        </w:rPr>
        <w:t>, 1640–1644 (2004).</w:t>
      </w:r>
    </w:p>
    <w:p w14:paraId="3A8D4840"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30.</w:t>
      </w:r>
      <w:r w:rsidRPr="00610838">
        <w:rPr>
          <w:rFonts w:ascii="Times New Roman" w:hAnsi="Times New Roman" w:cs="Times New Roman"/>
          <w:noProof/>
          <w:sz w:val="20"/>
          <w:szCs w:val="24"/>
          <w:lang w:val="en-GB"/>
        </w:rPr>
        <w:tab/>
        <w:t xml:space="preserve">Naz, A. A., Arifuzzaman, M., Muzammil, S., Pillen, K. &amp; Léon, J. Wild barley introgression lines revealed novel QTL alleles for root and related shoot traits in the cultivated barley (Hordeum vulgare L.). </w:t>
      </w:r>
      <w:r w:rsidRPr="00610838">
        <w:rPr>
          <w:rFonts w:ascii="Times New Roman" w:hAnsi="Times New Roman" w:cs="Times New Roman"/>
          <w:i/>
          <w:iCs/>
          <w:noProof/>
          <w:sz w:val="20"/>
          <w:szCs w:val="24"/>
          <w:lang w:val="en-GB"/>
        </w:rPr>
        <w:t>BMC Genet.</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15</w:t>
      </w:r>
      <w:r w:rsidRPr="00610838">
        <w:rPr>
          <w:rFonts w:ascii="Times New Roman" w:hAnsi="Times New Roman" w:cs="Times New Roman"/>
          <w:noProof/>
          <w:sz w:val="20"/>
          <w:szCs w:val="24"/>
          <w:lang w:val="en-GB"/>
        </w:rPr>
        <w:t>, 1–12 (2014).</w:t>
      </w:r>
    </w:p>
    <w:p w14:paraId="59199F9B"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31.</w:t>
      </w:r>
      <w:r w:rsidRPr="00610838">
        <w:rPr>
          <w:rFonts w:ascii="Times New Roman" w:hAnsi="Times New Roman" w:cs="Times New Roman"/>
          <w:noProof/>
          <w:sz w:val="20"/>
          <w:szCs w:val="24"/>
          <w:lang w:val="en-GB"/>
        </w:rPr>
        <w:tab/>
        <w:t xml:space="preserve">Reinert, S., Kortz, A., Léon, J. &amp; Naz, A. A. Genome-wide association mapping in the global diversity set reveals new QTL controlling root system and related shoot variation in barley. </w:t>
      </w:r>
      <w:r w:rsidRPr="00610838">
        <w:rPr>
          <w:rFonts w:ascii="Times New Roman" w:hAnsi="Times New Roman" w:cs="Times New Roman"/>
          <w:i/>
          <w:iCs/>
          <w:noProof/>
          <w:sz w:val="20"/>
          <w:szCs w:val="24"/>
          <w:lang w:val="en-GB"/>
        </w:rPr>
        <w:t>Front. Plant Sci.</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7</w:t>
      </w:r>
      <w:r w:rsidRPr="00610838">
        <w:rPr>
          <w:rFonts w:ascii="Times New Roman" w:hAnsi="Times New Roman" w:cs="Times New Roman"/>
          <w:noProof/>
          <w:sz w:val="20"/>
          <w:szCs w:val="24"/>
          <w:lang w:val="en-GB"/>
        </w:rPr>
        <w:t>, (2016).</w:t>
      </w:r>
    </w:p>
    <w:p w14:paraId="470CEDC7"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32.</w:t>
      </w:r>
      <w:r w:rsidRPr="00610838">
        <w:rPr>
          <w:rFonts w:ascii="Times New Roman" w:hAnsi="Times New Roman" w:cs="Times New Roman"/>
          <w:noProof/>
          <w:sz w:val="20"/>
          <w:szCs w:val="24"/>
          <w:lang w:val="en-GB"/>
        </w:rPr>
        <w:tab/>
        <w:t xml:space="preserve">Oyiga, B. C. </w:t>
      </w:r>
      <w:r w:rsidRPr="00610838">
        <w:rPr>
          <w:rFonts w:ascii="Times New Roman" w:hAnsi="Times New Roman" w:cs="Times New Roman"/>
          <w:i/>
          <w:iCs/>
          <w:noProof/>
          <w:sz w:val="20"/>
          <w:szCs w:val="24"/>
          <w:lang w:val="en-GB"/>
        </w:rPr>
        <w:t>et al.</w:t>
      </w:r>
      <w:r w:rsidRPr="00610838">
        <w:rPr>
          <w:rFonts w:ascii="Times New Roman" w:hAnsi="Times New Roman" w:cs="Times New Roman"/>
          <w:noProof/>
          <w:sz w:val="20"/>
          <w:szCs w:val="24"/>
          <w:lang w:val="en-GB"/>
        </w:rPr>
        <w:t xml:space="preserve"> Genetic components of root architecture and anatomy adjustments to water-deficit stress in spring barley. </w:t>
      </w:r>
      <w:r w:rsidRPr="00610838">
        <w:rPr>
          <w:rFonts w:ascii="Times New Roman" w:hAnsi="Times New Roman" w:cs="Times New Roman"/>
          <w:i/>
          <w:iCs/>
          <w:noProof/>
          <w:sz w:val="20"/>
          <w:szCs w:val="24"/>
          <w:lang w:val="en-GB"/>
        </w:rPr>
        <w:t>Plant Cell Environ.</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43</w:t>
      </w:r>
      <w:r w:rsidRPr="00610838">
        <w:rPr>
          <w:rFonts w:ascii="Times New Roman" w:hAnsi="Times New Roman" w:cs="Times New Roman"/>
          <w:noProof/>
          <w:sz w:val="20"/>
          <w:szCs w:val="24"/>
          <w:lang w:val="en-GB"/>
        </w:rPr>
        <w:t>, 692–711 (2020).</w:t>
      </w:r>
    </w:p>
    <w:p w14:paraId="560AB76B"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33.</w:t>
      </w:r>
      <w:r w:rsidRPr="00610838">
        <w:rPr>
          <w:rFonts w:ascii="Times New Roman" w:hAnsi="Times New Roman" w:cs="Times New Roman"/>
          <w:noProof/>
          <w:sz w:val="20"/>
          <w:szCs w:val="24"/>
          <w:lang w:val="en-GB"/>
        </w:rPr>
        <w:tab/>
        <w:t xml:space="preserve">Muzammil, S. </w:t>
      </w:r>
      <w:r w:rsidRPr="00610838">
        <w:rPr>
          <w:rFonts w:ascii="Times New Roman" w:hAnsi="Times New Roman" w:cs="Times New Roman"/>
          <w:i/>
          <w:iCs/>
          <w:noProof/>
          <w:sz w:val="20"/>
          <w:szCs w:val="24"/>
          <w:lang w:val="en-GB"/>
        </w:rPr>
        <w:t>et al.</w:t>
      </w:r>
      <w:r w:rsidRPr="00610838">
        <w:rPr>
          <w:rFonts w:ascii="Times New Roman" w:hAnsi="Times New Roman" w:cs="Times New Roman"/>
          <w:noProof/>
          <w:sz w:val="20"/>
          <w:szCs w:val="24"/>
          <w:lang w:val="en-GB"/>
        </w:rPr>
        <w:t xml:space="preserve"> An Ancestral Allele of Pyrroline-5-carboxylate synthase1 Promotes Proline Accumulation and Drought Adaptation in Cultivated Barley. </w:t>
      </w:r>
      <w:r w:rsidRPr="00610838">
        <w:rPr>
          <w:rFonts w:ascii="Times New Roman" w:hAnsi="Times New Roman" w:cs="Times New Roman"/>
          <w:i/>
          <w:iCs/>
          <w:noProof/>
          <w:sz w:val="20"/>
          <w:szCs w:val="24"/>
          <w:lang w:val="en-GB"/>
        </w:rPr>
        <w:t>Plant Physiol.</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178</w:t>
      </w:r>
      <w:r w:rsidRPr="00610838">
        <w:rPr>
          <w:rFonts w:ascii="Times New Roman" w:hAnsi="Times New Roman" w:cs="Times New Roman"/>
          <w:noProof/>
          <w:sz w:val="20"/>
          <w:szCs w:val="24"/>
          <w:lang w:val="en-GB"/>
        </w:rPr>
        <w:t>, 771–782 (2018).</w:t>
      </w:r>
    </w:p>
    <w:p w14:paraId="742B72B0"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34.</w:t>
      </w:r>
      <w:r w:rsidRPr="00610838">
        <w:rPr>
          <w:rFonts w:ascii="Times New Roman" w:hAnsi="Times New Roman" w:cs="Times New Roman"/>
          <w:noProof/>
          <w:sz w:val="20"/>
          <w:szCs w:val="24"/>
          <w:lang w:val="en-GB"/>
        </w:rPr>
        <w:tab/>
        <w:t xml:space="preserve">Honsdorf, N., March, T. J., Berger, B., Tester, M. &amp; Pillen, K. High-throughput phenotyping to detect drought tolerance QTL in wild barley introgression lines. </w:t>
      </w:r>
      <w:r w:rsidRPr="00610838">
        <w:rPr>
          <w:rFonts w:ascii="Times New Roman" w:hAnsi="Times New Roman" w:cs="Times New Roman"/>
          <w:i/>
          <w:iCs/>
          <w:noProof/>
          <w:sz w:val="20"/>
          <w:szCs w:val="24"/>
          <w:lang w:val="en-GB"/>
        </w:rPr>
        <w:t>PLoS One</w:t>
      </w:r>
      <w:r w:rsidRPr="00610838">
        <w:rPr>
          <w:rFonts w:ascii="Times New Roman" w:hAnsi="Times New Roman" w:cs="Times New Roman"/>
          <w:noProof/>
          <w:sz w:val="20"/>
          <w:szCs w:val="24"/>
          <w:lang w:val="en-GB"/>
        </w:rPr>
        <w:t xml:space="preserve"> </w:t>
      </w:r>
      <w:r w:rsidRPr="00610838">
        <w:rPr>
          <w:rFonts w:ascii="Times New Roman" w:hAnsi="Times New Roman" w:cs="Times New Roman"/>
          <w:b/>
          <w:bCs/>
          <w:noProof/>
          <w:sz w:val="20"/>
          <w:szCs w:val="24"/>
          <w:lang w:val="en-GB"/>
        </w:rPr>
        <w:t>9</w:t>
      </w:r>
      <w:r w:rsidRPr="00610838">
        <w:rPr>
          <w:rFonts w:ascii="Times New Roman" w:hAnsi="Times New Roman" w:cs="Times New Roman"/>
          <w:noProof/>
          <w:sz w:val="20"/>
          <w:szCs w:val="24"/>
          <w:lang w:val="en-GB"/>
        </w:rPr>
        <w:t>, (2014).</w:t>
      </w:r>
    </w:p>
    <w:p w14:paraId="41DBBC94"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35.</w:t>
      </w:r>
      <w:r w:rsidRPr="00610838">
        <w:rPr>
          <w:rFonts w:ascii="Times New Roman" w:hAnsi="Times New Roman" w:cs="Times New Roman"/>
          <w:noProof/>
          <w:sz w:val="20"/>
          <w:szCs w:val="24"/>
          <w:lang w:val="en-GB"/>
        </w:rPr>
        <w:tab/>
        <w:t xml:space="preserve">Mohammed, K. A. H. &amp; Léon, J. Improving crop varieties of spring barley for drought and heat tolerance with AB-QTL-analysis. </w:t>
      </w:r>
      <w:r w:rsidRPr="00610838">
        <w:rPr>
          <w:rFonts w:ascii="Times New Roman" w:hAnsi="Times New Roman" w:cs="Times New Roman"/>
          <w:i/>
          <w:iCs/>
          <w:noProof/>
          <w:sz w:val="20"/>
          <w:szCs w:val="24"/>
          <w:lang w:val="en-GB"/>
        </w:rPr>
        <w:t>Diss. Univ. Bonn</w:t>
      </w:r>
      <w:r w:rsidRPr="00610838">
        <w:rPr>
          <w:rFonts w:ascii="Times New Roman" w:hAnsi="Times New Roman" w:cs="Times New Roman"/>
          <w:noProof/>
          <w:sz w:val="20"/>
          <w:szCs w:val="24"/>
          <w:lang w:val="en-GB"/>
        </w:rPr>
        <w:t xml:space="preserve"> 150 (2004).</w:t>
      </w:r>
    </w:p>
    <w:p w14:paraId="25DE504F"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szCs w:val="24"/>
          <w:lang w:val="en-GB"/>
        </w:rPr>
      </w:pPr>
      <w:r w:rsidRPr="00610838">
        <w:rPr>
          <w:rFonts w:ascii="Times New Roman" w:hAnsi="Times New Roman" w:cs="Times New Roman"/>
          <w:noProof/>
          <w:sz w:val="20"/>
          <w:szCs w:val="24"/>
          <w:lang w:val="en-GB"/>
        </w:rPr>
        <w:t>36.</w:t>
      </w:r>
      <w:r w:rsidRPr="00610838">
        <w:rPr>
          <w:rFonts w:ascii="Times New Roman" w:hAnsi="Times New Roman" w:cs="Times New Roman"/>
          <w:noProof/>
          <w:sz w:val="20"/>
          <w:szCs w:val="24"/>
          <w:lang w:val="en-GB"/>
        </w:rPr>
        <w:tab/>
        <w:t>Proplanta. Spring Barley Yield Nordrhein Westfalen. https://de.statista.com/statistik/daten/studie/262 (2020).</w:t>
      </w:r>
    </w:p>
    <w:p w14:paraId="5CBBB8AB" w14:textId="77777777" w:rsidR="003C1FB5" w:rsidRPr="00610838" w:rsidRDefault="003C1FB5" w:rsidP="003C1FB5">
      <w:pPr>
        <w:widowControl w:val="0"/>
        <w:autoSpaceDE w:val="0"/>
        <w:autoSpaceDN w:val="0"/>
        <w:adjustRightInd w:val="0"/>
        <w:spacing w:line="240" w:lineRule="auto"/>
        <w:ind w:left="640" w:hanging="640"/>
        <w:rPr>
          <w:rFonts w:ascii="Times New Roman" w:hAnsi="Times New Roman" w:cs="Times New Roman"/>
          <w:noProof/>
          <w:sz w:val="20"/>
          <w:lang w:val="en-GB"/>
        </w:rPr>
      </w:pPr>
      <w:r w:rsidRPr="00610838">
        <w:rPr>
          <w:rFonts w:ascii="Times New Roman" w:hAnsi="Times New Roman" w:cs="Times New Roman"/>
          <w:noProof/>
          <w:sz w:val="20"/>
          <w:szCs w:val="24"/>
          <w:lang w:val="en-GB"/>
        </w:rPr>
        <w:t>37.</w:t>
      </w:r>
      <w:r w:rsidRPr="00610838">
        <w:rPr>
          <w:rFonts w:ascii="Times New Roman" w:hAnsi="Times New Roman" w:cs="Times New Roman"/>
          <w:noProof/>
          <w:sz w:val="20"/>
          <w:szCs w:val="24"/>
          <w:lang w:val="en-GB"/>
        </w:rPr>
        <w:tab/>
        <w:t>Statista. Spring Barley Yield Germany. https://www.proplanta.de/Maps/Sommergerste+Statist (2020).</w:t>
      </w:r>
    </w:p>
    <w:p w14:paraId="28A86D63" w14:textId="77777777" w:rsidR="00E87A32" w:rsidRPr="00610838" w:rsidRDefault="00125D4C" w:rsidP="004D29DB">
      <w:pPr>
        <w:rPr>
          <w:rFonts w:ascii="Times New Roman" w:hAnsi="Times New Roman" w:cs="Times New Roman"/>
          <w:b/>
          <w:bCs/>
          <w:sz w:val="20"/>
          <w:szCs w:val="20"/>
          <w:lang w:val="en-GB"/>
        </w:rPr>
      </w:pPr>
      <w:r w:rsidRPr="00610838">
        <w:rPr>
          <w:rFonts w:ascii="Times New Roman" w:hAnsi="Times New Roman" w:cs="Times New Roman"/>
          <w:b/>
          <w:bCs/>
          <w:sz w:val="20"/>
          <w:szCs w:val="20"/>
          <w:lang w:val="en-GB"/>
        </w:rPr>
        <w:fldChar w:fldCharType="end"/>
      </w:r>
    </w:p>
    <w:sectPr w:rsidR="00E87A32" w:rsidRPr="00610838" w:rsidSect="001E59AF">
      <w:pgSz w:w="11906" w:h="16838"/>
      <w:pgMar w:top="1134"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080A5D" w14:textId="77777777" w:rsidR="00EB14F0" w:rsidRDefault="00EB14F0" w:rsidP="00E23A1C">
      <w:pPr>
        <w:spacing w:after="0" w:line="240" w:lineRule="auto"/>
      </w:pPr>
      <w:r>
        <w:separator/>
      </w:r>
    </w:p>
  </w:endnote>
  <w:endnote w:type="continuationSeparator" w:id="0">
    <w:p w14:paraId="6472FEC5" w14:textId="77777777" w:rsidR="00EB14F0" w:rsidRDefault="00EB14F0" w:rsidP="00E23A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52829F" w14:textId="77777777" w:rsidR="00EB14F0" w:rsidRDefault="00EB14F0" w:rsidP="00E23A1C">
      <w:pPr>
        <w:spacing w:after="0" w:line="240" w:lineRule="auto"/>
      </w:pPr>
      <w:r>
        <w:separator/>
      </w:r>
    </w:p>
  </w:footnote>
  <w:footnote w:type="continuationSeparator" w:id="0">
    <w:p w14:paraId="5E28969F" w14:textId="77777777" w:rsidR="00EB14F0" w:rsidRDefault="00EB14F0" w:rsidP="00E23A1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2A7"/>
    <w:rsid w:val="00003281"/>
    <w:rsid w:val="00011E92"/>
    <w:rsid w:val="00021497"/>
    <w:rsid w:val="00030851"/>
    <w:rsid w:val="00030FA5"/>
    <w:rsid w:val="000331ED"/>
    <w:rsid w:val="000705D1"/>
    <w:rsid w:val="000D01ED"/>
    <w:rsid w:val="000F1652"/>
    <w:rsid w:val="00100DA1"/>
    <w:rsid w:val="00102407"/>
    <w:rsid w:val="00124C19"/>
    <w:rsid w:val="00125D4C"/>
    <w:rsid w:val="00127896"/>
    <w:rsid w:val="00127A2E"/>
    <w:rsid w:val="00134D69"/>
    <w:rsid w:val="00142329"/>
    <w:rsid w:val="00166544"/>
    <w:rsid w:val="0017719D"/>
    <w:rsid w:val="0019273B"/>
    <w:rsid w:val="00194932"/>
    <w:rsid w:val="001A4264"/>
    <w:rsid w:val="001A7858"/>
    <w:rsid w:val="001D6789"/>
    <w:rsid w:val="001D6F84"/>
    <w:rsid w:val="001E59AF"/>
    <w:rsid w:val="002136E3"/>
    <w:rsid w:val="00221701"/>
    <w:rsid w:val="0022643E"/>
    <w:rsid w:val="002276E4"/>
    <w:rsid w:val="002300F4"/>
    <w:rsid w:val="0023508D"/>
    <w:rsid w:val="002379B1"/>
    <w:rsid w:val="00240120"/>
    <w:rsid w:val="00253EA5"/>
    <w:rsid w:val="002562B1"/>
    <w:rsid w:val="00271A72"/>
    <w:rsid w:val="0028065E"/>
    <w:rsid w:val="00281651"/>
    <w:rsid w:val="0029606A"/>
    <w:rsid w:val="002A3B1F"/>
    <w:rsid w:val="002B3B13"/>
    <w:rsid w:val="002F148A"/>
    <w:rsid w:val="00320A99"/>
    <w:rsid w:val="003220B5"/>
    <w:rsid w:val="00337630"/>
    <w:rsid w:val="00356034"/>
    <w:rsid w:val="00381F6E"/>
    <w:rsid w:val="0038313E"/>
    <w:rsid w:val="00391B63"/>
    <w:rsid w:val="003C1FB5"/>
    <w:rsid w:val="003F56AB"/>
    <w:rsid w:val="004166C8"/>
    <w:rsid w:val="00420185"/>
    <w:rsid w:val="004429F4"/>
    <w:rsid w:val="00455352"/>
    <w:rsid w:val="00466B9C"/>
    <w:rsid w:val="00477949"/>
    <w:rsid w:val="004858BF"/>
    <w:rsid w:val="004958C0"/>
    <w:rsid w:val="004C0C98"/>
    <w:rsid w:val="004C22A7"/>
    <w:rsid w:val="004C487B"/>
    <w:rsid w:val="004D29DB"/>
    <w:rsid w:val="00516351"/>
    <w:rsid w:val="0052212E"/>
    <w:rsid w:val="00526926"/>
    <w:rsid w:val="005321C1"/>
    <w:rsid w:val="00534B96"/>
    <w:rsid w:val="00561A3F"/>
    <w:rsid w:val="00577537"/>
    <w:rsid w:val="005A2D10"/>
    <w:rsid w:val="005A3773"/>
    <w:rsid w:val="005B5145"/>
    <w:rsid w:val="005D3127"/>
    <w:rsid w:val="005D443F"/>
    <w:rsid w:val="00607945"/>
    <w:rsid w:val="00610838"/>
    <w:rsid w:val="00646130"/>
    <w:rsid w:val="00664B78"/>
    <w:rsid w:val="006808A8"/>
    <w:rsid w:val="0068497C"/>
    <w:rsid w:val="006910D1"/>
    <w:rsid w:val="006B3025"/>
    <w:rsid w:val="006B3991"/>
    <w:rsid w:val="006D0A12"/>
    <w:rsid w:val="006D3E5F"/>
    <w:rsid w:val="006F0297"/>
    <w:rsid w:val="006F0474"/>
    <w:rsid w:val="00714C26"/>
    <w:rsid w:val="00773797"/>
    <w:rsid w:val="00774AF7"/>
    <w:rsid w:val="00775256"/>
    <w:rsid w:val="007A2290"/>
    <w:rsid w:val="007A4862"/>
    <w:rsid w:val="007B257F"/>
    <w:rsid w:val="007B26A8"/>
    <w:rsid w:val="007B27AF"/>
    <w:rsid w:val="007C1542"/>
    <w:rsid w:val="007D38B0"/>
    <w:rsid w:val="007D4BD6"/>
    <w:rsid w:val="007F610C"/>
    <w:rsid w:val="00814F84"/>
    <w:rsid w:val="00826ECA"/>
    <w:rsid w:val="00843E97"/>
    <w:rsid w:val="00845FD7"/>
    <w:rsid w:val="00850F9E"/>
    <w:rsid w:val="0085134E"/>
    <w:rsid w:val="008569D5"/>
    <w:rsid w:val="00866841"/>
    <w:rsid w:val="00875F8D"/>
    <w:rsid w:val="008973B2"/>
    <w:rsid w:val="008A3324"/>
    <w:rsid w:val="008A43E1"/>
    <w:rsid w:val="008B10B6"/>
    <w:rsid w:val="008C6E34"/>
    <w:rsid w:val="008D4871"/>
    <w:rsid w:val="008F0082"/>
    <w:rsid w:val="00905292"/>
    <w:rsid w:val="0092203D"/>
    <w:rsid w:val="009731D5"/>
    <w:rsid w:val="00977350"/>
    <w:rsid w:val="009810A9"/>
    <w:rsid w:val="009A2062"/>
    <w:rsid w:val="009A5F39"/>
    <w:rsid w:val="009D3228"/>
    <w:rsid w:val="00A019CE"/>
    <w:rsid w:val="00A15893"/>
    <w:rsid w:val="00A3038C"/>
    <w:rsid w:val="00A452EC"/>
    <w:rsid w:val="00A50DF4"/>
    <w:rsid w:val="00A667CF"/>
    <w:rsid w:val="00A66A3D"/>
    <w:rsid w:val="00A91694"/>
    <w:rsid w:val="00A93033"/>
    <w:rsid w:val="00AB15DE"/>
    <w:rsid w:val="00AB7965"/>
    <w:rsid w:val="00AC1B87"/>
    <w:rsid w:val="00AC7CBC"/>
    <w:rsid w:val="00AD625C"/>
    <w:rsid w:val="00AE403A"/>
    <w:rsid w:val="00AF302D"/>
    <w:rsid w:val="00B00DFB"/>
    <w:rsid w:val="00B03CDF"/>
    <w:rsid w:val="00B666CF"/>
    <w:rsid w:val="00BA7255"/>
    <w:rsid w:val="00BC2D66"/>
    <w:rsid w:val="00BD4E11"/>
    <w:rsid w:val="00BF510C"/>
    <w:rsid w:val="00C206A2"/>
    <w:rsid w:val="00C35C8D"/>
    <w:rsid w:val="00C41756"/>
    <w:rsid w:val="00C427FD"/>
    <w:rsid w:val="00C902D5"/>
    <w:rsid w:val="00CA134D"/>
    <w:rsid w:val="00CA21DE"/>
    <w:rsid w:val="00CB75AF"/>
    <w:rsid w:val="00CC07ED"/>
    <w:rsid w:val="00CD6881"/>
    <w:rsid w:val="00CF1A21"/>
    <w:rsid w:val="00D055EC"/>
    <w:rsid w:val="00D159B8"/>
    <w:rsid w:val="00D30503"/>
    <w:rsid w:val="00D5272E"/>
    <w:rsid w:val="00D65461"/>
    <w:rsid w:val="00D823FD"/>
    <w:rsid w:val="00D91044"/>
    <w:rsid w:val="00DA068B"/>
    <w:rsid w:val="00DC2E9A"/>
    <w:rsid w:val="00DD082A"/>
    <w:rsid w:val="00DE31DB"/>
    <w:rsid w:val="00DE3E09"/>
    <w:rsid w:val="00E05530"/>
    <w:rsid w:val="00E0579E"/>
    <w:rsid w:val="00E23A1C"/>
    <w:rsid w:val="00E23F61"/>
    <w:rsid w:val="00E5679C"/>
    <w:rsid w:val="00E71980"/>
    <w:rsid w:val="00E75243"/>
    <w:rsid w:val="00E81C21"/>
    <w:rsid w:val="00E87A32"/>
    <w:rsid w:val="00E9386F"/>
    <w:rsid w:val="00EB14F0"/>
    <w:rsid w:val="00EB3BE5"/>
    <w:rsid w:val="00ED7D97"/>
    <w:rsid w:val="00EE2A10"/>
    <w:rsid w:val="00EE50E6"/>
    <w:rsid w:val="00EE7B60"/>
    <w:rsid w:val="00F10590"/>
    <w:rsid w:val="00F37838"/>
    <w:rsid w:val="00F5007E"/>
    <w:rsid w:val="00F577DC"/>
    <w:rsid w:val="00F80471"/>
    <w:rsid w:val="00F92856"/>
    <w:rsid w:val="00FB4C73"/>
    <w:rsid w:val="00FD7388"/>
    <w:rsid w:val="00FF7DC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B927A"/>
  <w15:docId w15:val="{D9B50D95-B7AF-4117-930B-48F134D43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125D4C"/>
  </w:style>
  <w:style w:type="paragraph" w:styleId="berschrift1">
    <w:name w:val="heading 1"/>
    <w:basedOn w:val="Standard"/>
    <w:next w:val="Standard"/>
    <w:link w:val="berschrift1Zchn"/>
    <w:uiPriority w:val="9"/>
    <w:qFormat/>
    <w:rsid w:val="004C22A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uiPriority w:val="9"/>
    <w:unhideWhenUsed/>
    <w:qFormat/>
    <w:rsid w:val="004C22A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4C22A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C22A7"/>
    <w:rPr>
      <w:rFonts w:ascii="Segoe UI" w:hAnsi="Segoe UI" w:cs="Segoe UI"/>
      <w:sz w:val="18"/>
      <w:szCs w:val="18"/>
    </w:rPr>
  </w:style>
  <w:style w:type="character" w:customStyle="1" w:styleId="berschrift2Zchn">
    <w:name w:val="Überschrift 2 Zchn"/>
    <w:basedOn w:val="Absatz-Standardschriftart"/>
    <w:link w:val="berschrift2"/>
    <w:uiPriority w:val="9"/>
    <w:qFormat/>
    <w:rsid w:val="004C22A7"/>
    <w:rPr>
      <w:rFonts w:asciiTheme="majorHAnsi" w:eastAsiaTheme="majorEastAsia" w:hAnsiTheme="majorHAnsi" w:cstheme="majorBidi"/>
      <w:color w:val="365F91" w:themeColor="accent1" w:themeShade="BF"/>
      <w:sz w:val="26"/>
      <w:szCs w:val="26"/>
    </w:rPr>
  </w:style>
  <w:style w:type="paragraph" w:styleId="Beschriftung">
    <w:name w:val="caption"/>
    <w:basedOn w:val="Standard"/>
    <w:next w:val="Standard"/>
    <w:uiPriority w:val="35"/>
    <w:unhideWhenUsed/>
    <w:qFormat/>
    <w:rsid w:val="004C22A7"/>
    <w:pPr>
      <w:spacing w:line="240" w:lineRule="auto"/>
    </w:pPr>
    <w:rPr>
      <w:i/>
      <w:iCs/>
      <w:color w:val="1F497D" w:themeColor="text2"/>
      <w:sz w:val="18"/>
      <w:szCs w:val="18"/>
    </w:rPr>
  </w:style>
  <w:style w:type="character" w:styleId="Kommentarzeichen">
    <w:name w:val="annotation reference"/>
    <w:basedOn w:val="Absatz-Standardschriftart"/>
    <w:uiPriority w:val="99"/>
    <w:semiHidden/>
    <w:unhideWhenUsed/>
    <w:qFormat/>
    <w:rsid w:val="004C22A7"/>
    <w:rPr>
      <w:sz w:val="16"/>
      <w:szCs w:val="16"/>
    </w:rPr>
  </w:style>
  <w:style w:type="character" w:customStyle="1" w:styleId="KommentartextZchn">
    <w:name w:val="Kommentartext Zchn"/>
    <w:basedOn w:val="Absatz-Standardschriftart"/>
    <w:link w:val="Kommentartext"/>
    <w:uiPriority w:val="99"/>
    <w:semiHidden/>
    <w:qFormat/>
    <w:rsid w:val="004C22A7"/>
    <w:rPr>
      <w:sz w:val="20"/>
      <w:szCs w:val="20"/>
    </w:rPr>
  </w:style>
  <w:style w:type="paragraph" w:styleId="Kommentartext">
    <w:name w:val="annotation text"/>
    <w:basedOn w:val="Standard"/>
    <w:link w:val="KommentartextZchn"/>
    <w:uiPriority w:val="99"/>
    <w:semiHidden/>
    <w:unhideWhenUsed/>
    <w:qFormat/>
    <w:rsid w:val="004C22A7"/>
    <w:pPr>
      <w:spacing w:line="240" w:lineRule="auto"/>
    </w:pPr>
    <w:rPr>
      <w:sz w:val="20"/>
      <w:szCs w:val="20"/>
    </w:rPr>
  </w:style>
  <w:style w:type="character" w:customStyle="1" w:styleId="CommentTextChar1">
    <w:name w:val="Comment Text Char1"/>
    <w:basedOn w:val="Absatz-Standardschriftart"/>
    <w:uiPriority w:val="99"/>
    <w:semiHidden/>
    <w:rsid w:val="004C22A7"/>
    <w:rPr>
      <w:sz w:val="20"/>
      <w:szCs w:val="20"/>
    </w:rPr>
  </w:style>
  <w:style w:type="character" w:customStyle="1" w:styleId="berschrift1Zchn">
    <w:name w:val="Überschrift 1 Zchn"/>
    <w:basedOn w:val="Absatz-Standardschriftart"/>
    <w:link w:val="berschrift1"/>
    <w:uiPriority w:val="9"/>
    <w:qFormat/>
    <w:rsid w:val="004C22A7"/>
    <w:rPr>
      <w:rFonts w:asciiTheme="majorHAnsi" w:eastAsiaTheme="majorEastAsia" w:hAnsiTheme="majorHAnsi" w:cstheme="majorBidi"/>
      <w:color w:val="365F91" w:themeColor="accent1" w:themeShade="BF"/>
      <w:sz w:val="32"/>
      <w:szCs w:val="32"/>
    </w:rPr>
  </w:style>
  <w:style w:type="character" w:styleId="Hervorhebung">
    <w:name w:val="Emphasis"/>
    <w:basedOn w:val="Absatz-Standardschriftart"/>
    <w:uiPriority w:val="20"/>
    <w:qFormat/>
    <w:rsid w:val="004C22A7"/>
    <w:rPr>
      <w:i/>
      <w:iCs/>
    </w:rPr>
  </w:style>
  <w:style w:type="character" w:customStyle="1" w:styleId="highlighted">
    <w:name w:val="highlighted"/>
    <w:basedOn w:val="Absatz-Standardschriftart"/>
    <w:rsid w:val="004C22A7"/>
  </w:style>
  <w:style w:type="table" w:customStyle="1" w:styleId="PlainTable21">
    <w:name w:val="Plain Table 21"/>
    <w:basedOn w:val="NormaleTabelle"/>
    <w:uiPriority w:val="42"/>
    <w:rsid w:val="000F165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Kommentarthema">
    <w:name w:val="annotation subject"/>
    <w:basedOn w:val="Kommentartext"/>
    <w:next w:val="Kommentartext"/>
    <w:link w:val="KommentarthemaZchn"/>
    <w:uiPriority w:val="99"/>
    <w:semiHidden/>
    <w:unhideWhenUsed/>
    <w:rsid w:val="00814F84"/>
    <w:rPr>
      <w:b/>
      <w:bCs/>
    </w:rPr>
  </w:style>
  <w:style w:type="character" w:customStyle="1" w:styleId="KommentarthemaZchn">
    <w:name w:val="Kommentarthema Zchn"/>
    <w:basedOn w:val="KommentartextZchn"/>
    <w:link w:val="Kommentarthema"/>
    <w:uiPriority w:val="99"/>
    <w:semiHidden/>
    <w:rsid w:val="00814F84"/>
    <w:rPr>
      <w:b/>
      <w:bCs/>
      <w:sz w:val="20"/>
      <w:szCs w:val="20"/>
    </w:rPr>
  </w:style>
  <w:style w:type="character" w:styleId="Hyperlink">
    <w:name w:val="Hyperlink"/>
    <w:basedOn w:val="Absatz-Standardschriftart"/>
    <w:uiPriority w:val="99"/>
    <w:unhideWhenUsed/>
    <w:rsid w:val="00866841"/>
    <w:rPr>
      <w:color w:val="0000FF" w:themeColor="hyperlink"/>
      <w:u w:val="single"/>
    </w:rPr>
  </w:style>
  <w:style w:type="character" w:customStyle="1" w:styleId="UnresolvedMention1">
    <w:name w:val="Unresolved Mention1"/>
    <w:basedOn w:val="Absatz-Standardschriftart"/>
    <w:uiPriority w:val="99"/>
    <w:semiHidden/>
    <w:unhideWhenUsed/>
    <w:rsid w:val="00866841"/>
    <w:rPr>
      <w:color w:val="605E5C"/>
      <w:shd w:val="clear" w:color="auto" w:fill="E1DFDD"/>
    </w:rPr>
  </w:style>
  <w:style w:type="character" w:customStyle="1" w:styleId="Internetverknpfung">
    <w:name w:val="Internetverknüpfung"/>
    <w:basedOn w:val="Absatz-Standardschriftart"/>
    <w:uiPriority w:val="99"/>
    <w:unhideWhenUsed/>
    <w:rsid w:val="00E81C21"/>
    <w:rPr>
      <w:color w:val="0000FF" w:themeColor="hyperlink"/>
      <w:u w:val="single"/>
    </w:rPr>
  </w:style>
  <w:style w:type="character" w:customStyle="1" w:styleId="tlid-translation">
    <w:name w:val="tlid-translation"/>
    <w:basedOn w:val="Absatz-Standardschriftart"/>
    <w:qFormat/>
    <w:rsid w:val="00E81C21"/>
  </w:style>
  <w:style w:type="paragraph" w:customStyle="1" w:styleId="SOMContent">
    <w:name w:val="SOMContent"/>
    <w:basedOn w:val="Standard"/>
    <w:rsid w:val="008A43E1"/>
    <w:pPr>
      <w:spacing w:before="120" w:after="0" w:line="240" w:lineRule="auto"/>
    </w:pPr>
    <w:rPr>
      <w:rFonts w:ascii="Times New Roman" w:eastAsia="Times New Roman" w:hAnsi="Times New Roman" w:cs="Times New Roman"/>
      <w:sz w:val="24"/>
      <w:szCs w:val="24"/>
      <w:lang w:val="en-US"/>
    </w:rPr>
  </w:style>
  <w:style w:type="paragraph" w:customStyle="1" w:styleId="Teaser">
    <w:name w:val="Teaser"/>
    <w:basedOn w:val="Standard"/>
    <w:rsid w:val="008A43E1"/>
    <w:pPr>
      <w:spacing w:before="120" w:after="0" w:line="240" w:lineRule="auto"/>
    </w:pPr>
    <w:rPr>
      <w:rFonts w:ascii="Times New Roman" w:eastAsia="Times New Roman" w:hAnsi="Times New Roman" w:cs="Times New Roman"/>
      <w:sz w:val="24"/>
      <w:szCs w:val="24"/>
      <w:lang w:val="en-US"/>
    </w:rPr>
  </w:style>
  <w:style w:type="table" w:styleId="Tabellenraster">
    <w:name w:val="Table Grid"/>
    <w:basedOn w:val="NormaleTabelle"/>
    <w:uiPriority w:val="59"/>
    <w:rsid w:val="008513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
    <w:name w:val="Plain Table 31"/>
    <w:basedOn w:val="NormaleTabelle"/>
    <w:uiPriority w:val="43"/>
    <w:rsid w:val="0085134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51">
    <w:name w:val="Plain Table 51"/>
    <w:basedOn w:val="NormaleTabelle"/>
    <w:uiPriority w:val="45"/>
    <w:rsid w:val="00714C2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Kopfzeile">
    <w:name w:val="header"/>
    <w:basedOn w:val="Standard"/>
    <w:link w:val="KopfzeileZchn"/>
    <w:uiPriority w:val="99"/>
    <w:unhideWhenUsed/>
    <w:rsid w:val="00E23A1C"/>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rsid w:val="00E23A1C"/>
  </w:style>
  <w:style w:type="paragraph" w:styleId="Fuzeile">
    <w:name w:val="footer"/>
    <w:basedOn w:val="Standard"/>
    <w:link w:val="FuzeileZchn"/>
    <w:uiPriority w:val="99"/>
    <w:unhideWhenUsed/>
    <w:rsid w:val="00E23A1C"/>
    <w:pPr>
      <w:tabs>
        <w:tab w:val="center" w:pos="4703"/>
        <w:tab w:val="right" w:pos="9406"/>
      </w:tabs>
      <w:spacing w:after="0" w:line="240" w:lineRule="auto"/>
    </w:pPr>
  </w:style>
  <w:style w:type="character" w:customStyle="1" w:styleId="FuzeileZchn">
    <w:name w:val="Fußzeile Zchn"/>
    <w:basedOn w:val="Absatz-Standardschriftart"/>
    <w:link w:val="Fuzeile"/>
    <w:uiPriority w:val="99"/>
    <w:rsid w:val="00E23A1C"/>
  </w:style>
  <w:style w:type="character" w:styleId="NichtaufgelsteErwhnung">
    <w:name w:val="Unresolved Mention"/>
    <w:basedOn w:val="Absatz-Standardschriftart"/>
    <w:uiPriority w:val="99"/>
    <w:semiHidden/>
    <w:unhideWhenUsed/>
    <w:rsid w:val="00E23F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6252">
      <w:bodyDiv w:val="1"/>
      <w:marLeft w:val="0"/>
      <w:marRight w:val="0"/>
      <w:marTop w:val="0"/>
      <w:marBottom w:val="0"/>
      <w:divBdr>
        <w:top w:val="none" w:sz="0" w:space="0" w:color="auto"/>
        <w:left w:val="none" w:sz="0" w:space="0" w:color="auto"/>
        <w:bottom w:val="none" w:sz="0" w:space="0" w:color="auto"/>
        <w:right w:val="none" w:sz="0" w:space="0" w:color="auto"/>
      </w:divBdr>
    </w:div>
    <w:div w:id="74404729">
      <w:bodyDiv w:val="1"/>
      <w:marLeft w:val="0"/>
      <w:marRight w:val="0"/>
      <w:marTop w:val="0"/>
      <w:marBottom w:val="0"/>
      <w:divBdr>
        <w:top w:val="none" w:sz="0" w:space="0" w:color="auto"/>
        <w:left w:val="none" w:sz="0" w:space="0" w:color="auto"/>
        <w:bottom w:val="none" w:sz="0" w:space="0" w:color="auto"/>
        <w:right w:val="none" w:sz="0" w:space="0" w:color="auto"/>
      </w:divBdr>
    </w:div>
    <w:div w:id="165244568">
      <w:bodyDiv w:val="1"/>
      <w:marLeft w:val="0"/>
      <w:marRight w:val="0"/>
      <w:marTop w:val="0"/>
      <w:marBottom w:val="0"/>
      <w:divBdr>
        <w:top w:val="none" w:sz="0" w:space="0" w:color="auto"/>
        <w:left w:val="none" w:sz="0" w:space="0" w:color="auto"/>
        <w:bottom w:val="none" w:sz="0" w:space="0" w:color="auto"/>
        <w:right w:val="none" w:sz="0" w:space="0" w:color="auto"/>
      </w:divBdr>
    </w:div>
    <w:div w:id="245040259">
      <w:bodyDiv w:val="1"/>
      <w:marLeft w:val="0"/>
      <w:marRight w:val="0"/>
      <w:marTop w:val="0"/>
      <w:marBottom w:val="0"/>
      <w:divBdr>
        <w:top w:val="none" w:sz="0" w:space="0" w:color="auto"/>
        <w:left w:val="none" w:sz="0" w:space="0" w:color="auto"/>
        <w:bottom w:val="none" w:sz="0" w:space="0" w:color="auto"/>
        <w:right w:val="none" w:sz="0" w:space="0" w:color="auto"/>
      </w:divBdr>
    </w:div>
    <w:div w:id="296184063">
      <w:bodyDiv w:val="1"/>
      <w:marLeft w:val="0"/>
      <w:marRight w:val="0"/>
      <w:marTop w:val="0"/>
      <w:marBottom w:val="0"/>
      <w:divBdr>
        <w:top w:val="none" w:sz="0" w:space="0" w:color="auto"/>
        <w:left w:val="none" w:sz="0" w:space="0" w:color="auto"/>
        <w:bottom w:val="none" w:sz="0" w:space="0" w:color="auto"/>
        <w:right w:val="none" w:sz="0" w:space="0" w:color="auto"/>
      </w:divBdr>
    </w:div>
    <w:div w:id="438960754">
      <w:bodyDiv w:val="1"/>
      <w:marLeft w:val="0"/>
      <w:marRight w:val="0"/>
      <w:marTop w:val="0"/>
      <w:marBottom w:val="0"/>
      <w:divBdr>
        <w:top w:val="none" w:sz="0" w:space="0" w:color="auto"/>
        <w:left w:val="none" w:sz="0" w:space="0" w:color="auto"/>
        <w:bottom w:val="none" w:sz="0" w:space="0" w:color="auto"/>
        <w:right w:val="none" w:sz="0" w:space="0" w:color="auto"/>
      </w:divBdr>
    </w:div>
    <w:div w:id="696199571">
      <w:bodyDiv w:val="1"/>
      <w:marLeft w:val="0"/>
      <w:marRight w:val="0"/>
      <w:marTop w:val="0"/>
      <w:marBottom w:val="0"/>
      <w:divBdr>
        <w:top w:val="none" w:sz="0" w:space="0" w:color="auto"/>
        <w:left w:val="none" w:sz="0" w:space="0" w:color="auto"/>
        <w:bottom w:val="none" w:sz="0" w:space="0" w:color="auto"/>
        <w:right w:val="none" w:sz="0" w:space="0" w:color="auto"/>
      </w:divBdr>
    </w:div>
    <w:div w:id="725757296">
      <w:bodyDiv w:val="1"/>
      <w:marLeft w:val="0"/>
      <w:marRight w:val="0"/>
      <w:marTop w:val="0"/>
      <w:marBottom w:val="0"/>
      <w:divBdr>
        <w:top w:val="none" w:sz="0" w:space="0" w:color="auto"/>
        <w:left w:val="none" w:sz="0" w:space="0" w:color="auto"/>
        <w:bottom w:val="none" w:sz="0" w:space="0" w:color="auto"/>
        <w:right w:val="none" w:sz="0" w:space="0" w:color="auto"/>
      </w:divBdr>
    </w:div>
    <w:div w:id="755058987">
      <w:bodyDiv w:val="1"/>
      <w:marLeft w:val="0"/>
      <w:marRight w:val="0"/>
      <w:marTop w:val="0"/>
      <w:marBottom w:val="0"/>
      <w:divBdr>
        <w:top w:val="none" w:sz="0" w:space="0" w:color="auto"/>
        <w:left w:val="none" w:sz="0" w:space="0" w:color="auto"/>
        <w:bottom w:val="none" w:sz="0" w:space="0" w:color="auto"/>
        <w:right w:val="none" w:sz="0" w:space="0" w:color="auto"/>
      </w:divBdr>
    </w:div>
    <w:div w:id="1037044245">
      <w:bodyDiv w:val="1"/>
      <w:marLeft w:val="0"/>
      <w:marRight w:val="0"/>
      <w:marTop w:val="0"/>
      <w:marBottom w:val="0"/>
      <w:divBdr>
        <w:top w:val="none" w:sz="0" w:space="0" w:color="auto"/>
        <w:left w:val="none" w:sz="0" w:space="0" w:color="auto"/>
        <w:bottom w:val="none" w:sz="0" w:space="0" w:color="auto"/>
        <w:right w:val="none" w:sz="0" w:space="0" w:color="auto"/>
      </w:divBdr>
    </w:div>
    <w:div w:id="1201823972">
      <w:bodyDiv w:val="1"/>
      <w:marLeft w:val="0"/>
      <w:marRight w:val="0"/>
      <w:marTop w:val="0"/>
      <w:marBottom w:val="0"/>
      <w:divBdr>
        <w:top w:val="none" w:sz="0" w:space="0" w:color="auto"/>
        <w:left w:val="none" w:sz="0" w:space="0" w:color="auto"/>
        <w:bottom w:val="none" w:sz="0" w:space="0" w:color="auto"/>
        <w:right w:val="none" w:sz="0" w:space="0" w:color="auto"/>
      </w:divBdr>
    </w:div>
    <w:div w:id="1232471964">
      <w:bodyDiv w:val="1"/>
      <w:marLeft w:val="0"/>
      <w:marRight w:val="0"/>
      <w:marTop w:val="0"/>
      <w:marBottom w:val="0"/>
      <w:divBdr>
        <w:top w:val="none" w:sz="0" w:space="0" w:color="auto"/>
        <w:left w:val="none" w:sz="0" w:space="0" w:color="auto"/>
        <w:bottom w:val="none" w:sz="0" w:space="0" w:color="auto"/>
        <w:right w:val="none" w:sz="0" w:space="0" w:color="auto"/>
      </w:divBdr>
    </w:div>
    <w:div w:id="1291547031">
      <w:bodyDiv w:val="1"/>
      <w:marLeft w:val="0"/>
      <w:marRight w:val="0"/>
      <w:marTop w:val="0"/>
      <w:marBottom w:val="0"/>
      <w:divBdr>
        <w:top w:val="none" w:sz="0" w:space="0" w:color="auto"/>
        <w:left w:val="none" w:sz="0" w:space="0" w:color="auto"/>
        <w:bottom w:val="none" w:sz="0" w:space="0" w:color="auto"/>
        <w:right w:val="none" w:sz="0" w:space="0" w:color="auto"/>
      </w:divBdr>
    </w:div>
    <w:div w:id="1295403033">
      <w:bodyDiv w:val="1"/>
      <w:marLeft w:val="0"/>
      <w:marRight w:val="0"/>
      <w:marTop w:val="0"/>
      <w:marBottom w:val="0"/>
      <w:divBdr>
        <w:top w:val="none" w:sz="0" w:space="0" w:color="auto"/>
        <w:left w:val="none" w:sz="0" w:space="0" w:color="auto"/>
        <w:bottom w:val="none" w:sz="0" w:space="0" w:color="auto"/>
        <w:right w:val="none" w:sz="0" w:space="0" w:color="auto"/>
      </w:divBdr>
    </w:div>
    <w:div w:id="1361279444">
      <w:bodyDiv w:val="1"/>
      <w:marLeft w:val="0"/>
      <w:marRight w:val="0"/>
      <w:marTop w:val="0"/>
      <w:marBottom w:val="0"/>
      <w:divBdr>
        <w:top w:val="none" w:sz="0" w:space="0" w:color="auto"/>
        <w:left w:val="none" w:sz="0" w:space="0" w:color="auto"/>
        <w:bottom w:val="none" w:sz="0" w:space="0" w:color="auto"/>
        <w:right w:val="none" w:sz="0" w:space="0" w:color="auto"/>
      </w:divBdr>
    </w:div>
    <w:div w:id="1366754763">
      <w:bodyDiv w:val="1"/>
      <w:marLeft w:val="0"/>
      <w:marRight w:val="0"/>
      <w:marTop w:val="0"/>
      <w:marBottom w:val="0"/>
      <w:divBdr>
        <w:top w:val="none" w:sz="0" w:space="0" w:color="auto"/>
        <w:left w:val="none" w:sz="0" w:space="0" w:color="auto"/>
        <w:bottom w:val="none" w:sz="0" w:space="0" w:color="auto"/>
        <w:right w:val="none" w:sz="0" w:space="0" w:color="auto"/>
      </w:divBdr>
    </w:div>
    <w:div w:id="1501505464">
      <w:bodyDiv w:val="1"/>
      <w:marLeft w:val="0"/>
      <w:marRight w:val="0"/>
      <w:marTop w:val="0"/>
      <w:marBottom w:val="0"/>
      <w:divBdr>
        <w:top w:val="none" w:sz="0" w:space="0" w:color="auto"/>
        <w:left w:val="none" w:sz="0" w:space="0" w:color="auto"/>
        <w:bottom w:val="none" w:sz="0" w:space="0" w:color="auto"/>
        <w:right w:val="none" w:sz="0" w:space="0" w:color="auto"/>
      </w:divBdr>
    </w:div>
    <w:div w:id="1545753642">
      <w:bodyDiv w:val="1"/>
      <w:marLeft w:val="0"/>
      <w:marRight w:val="0"/>
      <w:marTop w:val="0"/>
      <w:marBottom w:val="0"/>
      <w:divBdr>
        <w:top w:val="none" w:sz="0" w:space="0" w:color="auto"/>
        <w:left w:val="none" w:sz="0" w:space="0" w:color="auto"/>
        <w:bottom w:val="none" w:sz="0" w:space="0" w:color="auto"/>
        <w:right w:val="none" w:sz="0" w:space="0" w:color="auto"/>
      </w:divBdr>
    </w:div>
    <w:div w:id="1806967413">
      <w:bodyDiv w:val="1"/>
      <w:marLeft w:val="0"/>
      <w:marRight w:val="0"/>
      <w:marTop w:val="0"/>
      <w:marBottom w:val="0"/>
      <w:divBdr>
        <w:top w:val="none" w:sz="0" w:space="0" w:color="auto"/>
        <w:left w:val="none" w:sz="0" w:space="0" w:color="auto"/>
        <w:bottom w:val="none" w:sz="0" w:space="0" w:color="auto"/>
        <w:right w:val="none" w:sz="0" w:space="0" w:color="auto"/>
      </w:divBdr>
    </w:div>
    <w:div w:id="1887182713">
      <w:bodyDiv w:val="1"/>
      <w:marLeft w:val="0"/>
      <w:marRight w:val="0"/>
      <w:marTop w:val="0"/>
      <w:marBottom w:val="0"/>
      <w:divBdr>
        <w:top w:val="none" w:sz="0" w:space="0" w:color="auto"/>
        <w:left w:val="none" w:sz="0" w:space="0" w:color="auto"/>
        <w:bottom w:val="none" w:sz="0" w:space="0" w:color="auto"/>
        <w:right w:val="none" w:sz="0" w:space="0" w:color="auto"/>
      </w:divBdr>
    </w:div>
    <w:div w:id="2125535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hyperlink" Target="https://github.com/mischn-dev/HAFcall" TargetMode="External"/><Relationship Id="rId12" Type="http://schemas.openxmlformats.org/officeDocument/2006/relationships/image" Target="media/image5.png"/><Relationship Id="rId17" Type="http://schemas.openxmlformats.org/officeDocument/2006/relationships/chart" Target="charts/chart2.xml"/><Relationship Id="rId2" Type="http://schemas.openxmlformats.org/officeDocument/2006/relationships/styles" Target="styles.xml"/><Relationship Id="rId16" Type="http://schemas.openxmlformats.org/officeDocument/2006/relationships/chart" Target="charts/chart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charts/_rels/chart1.xml.rels><?xml version="1.0" encoding="UTF-8" standalone="yes"?>
<Relationships xmlns="http://schemas.openxmlformats.org/package/2006/relationships"><Relationship Id="rId1" Type="http://schemas.openxmlformats.org/officeDocument/2006/relationships/oleObject" Target="file:///H:\Allelfreq\SDVSGAlleErtrsg.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H:\Allelfreq\SDVSGAlleErtrsg.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A</a:t>
            </a:r>
          </a:p>
        </c:rich>
      </c:tx>
      <c:layout>
        <c:manualLayout>
          <c:xMode val="edge"/>
          <c:yMode val="edge"/>
          <c:x val="2.422880205800616E-2"/>
          <c:y val="1.574802759054434E-2"/>
        </c:manualLayout>
      </c:layout>
      <c:overlay val="0"/>
      <c:spPr>
        <a:noFill/>
        <a:ln>
          <a:noFill/>
        </a:ln>
        <a:effectLst/>
      </c:spPr>
    </c:title>
    <c:autoTitleDeleted val="0"/>
    <c:plotArea>
      <c:layout/>
      <c:barChart>
        <c:barDir val="col"/>
        <c:grouping val="clustered"/>
        <c:varyColors val="0"/>
        <c:ser>
          <c:idx val="0"/>
          <c:order val="0"/>
          <c:tx>
            <c:strRef>
              <c:f>Sommergerste1999P1BisP4Dia!$H$1</c:f>
              <c:strCache>
                <c:ptCount val="1"/>
                <c:pt idx="0">
                  <c:v>Yield [dt/ha]</c:v>
                </c:pt>
              </c:strCache>
            </c:strRef>
          </c:tx>
          <c:spPr>
            <a:solidFill>
              <a:schemeClr val="accent1">
                <a:lumMod val="40000"/>
                <a:lumOff val="60000"/>
              </a:schemeClr>
            </a:solidFill>
            <a:ln w="6350" cmpd="sng">
              <a:solidFill>
                <a:schemeClr val="accent3">
                  <a:alpha val="38000"/>
                </a:schemeClr>
              </a:solidFill>
            </a:ln>
            <a:effectLst/>
          </c:spPr>
          <c:invertIfNegative val="0"/>
          <c:dPt>
            <c:idx val="8"/>
            <c:invertIfNegative val="0"/>
            <c:bubble3D val="0"/>
            <c:spPr>
              <a:solidFill>
                <a:schemeClr val="accent1">
                  <a:lumMod val="75000"/>
                </a:schemeClr>
              </a:solidFill>
              <a:ln w="6350" cmpd="sng">
                <a:solidFill>
                  <a:schemeClr val="accent3">
                    <a:alpha val="38000"/>
                  </a:schemeClr>
                </a:solidFill>
              </a:ln>
              <a:effectLst/>
            </c:spPr>
            <c:extLst>
              <c:ext xmlns:c16="http://schemas.microsoft.com/office/drawing/2014/chart" uri="{C3380CC4-5D6E-409C-BE32-E72D297353CC}">
                <c16:uniqueId val="{00000001-FF3F-4356-BA58-BA3DCF2431EB}"/>
              </c:ext>
            </c:extLst>
          </c:dPt>
          <c:dPt>
            <c:idx val="12"/>
            <c:invertIfNegative val="0"/>
            <c:bubble3D val="0"/>
            <c:spPr>
              <a:solidFill>
                <a:schemeClr val="accent3">
                  <a:lumMod val="40000"/>
                  <a:lumOff val="60000"/>
                </a:schemeClr>
              </a:solidFill>
              <a:ln w="6350" cmpd="sng">
                <a:solidFill>
                  <a:schemeClr val="accent3">
                    <a:alpha val="38000"/>
                  </a:schemeClr>
                </a:solidFill>
              </a:ln>
              <a:effectLst/>
            </c:spPr>
            <c:extLst>
              <c:ext xmlns:c16="http://schemas.microsoft.com/office/drawing/2014/chart" uri="{C3380CC4-5D6E-409C-BE32-E72D297353CC}">
                <c16:uniqueId val="{00000003-FF3F-4356-BA58-BA3DCF2431EB}"/>
              </c:ext>
            </c:extLst>
          </c:dPt>
          <c:dPt>
            <c:idx val="17"/>
            <c:invertIfNegative val="0"/>
            <c:bubble3D val="0"/>
            <c:spPr>
              <a:solidFill>
                <a:schemeClr val="accent1">
                  <a:lumMod val="75000"/>
                </a:schemeClr>
              </a:solidFill>
              <a:ln w="6350" cmpd="sng">
                <a:solidFill>
                  <a:schemeClr val="accent3">
                    <a:alpha val="38000"/>
                  </a:schemeClr>
                </a:solidFill>
              </a:ln>
              <a:effectLst/>
            </c:spPr>
            <c:extLst>
              <c:ext xmlns:c16="http://schemas.microsoft.com/office/drawing/2014/chart" uri="{C3380CC4-5D6E-409C-BE32-E72D297353CC}">
                <c16:uniqueId val="{00000005-FF3F-4356-BA58-BA3DCF2431EB}"/>
              </c:ext>
            </c:extLst>
          </c:dPt>
          <c:dPt>
            <c:idx val="18"/>
            <c:invertIfNegative val="0"/>
            <c:bubble3D val="0"/>
            <c:spPr>
              <a:solidFill>
                <a:schemeClr val="accent3">
                  <a:lumMod val="40000"/>
                  <a:lumOff val="60000"/>
                </a:schemeClr>
              </a:solidFill>
              <a:ln w="6350" cmpd="sng">
                <a:solidFill>
                  <a:schemeClr val="accent3">
                    <a:alpha val="38000"/>
                  </a:schemeClr>
                </a:solidFill>
              </a:ln>
              <a:effectLst/>
            </c:spPr>
            <c:extLst>
              <c:ext xmlns:c16="http://schemas.microsoft.com/office/drawing/2014/chart" uri="{C3380CC4-5D6E-409C-BE32-E72D297353CC}">
                <c16:uniqueId val="{00000007-FF3F-4356-BA58-BA3DCF2431EB}"/>
              </c:ext>
            </c:extLst>
          </c:dPt>
          <c:dPt>
            <c:idx val="19"/>
            <c:invertIfNegative val="0"/>
            <c:bubble3D val="0"/>
            <c:spPr>
              <a:solidFill>
                <a:schemeClr val="accent3">
                  <a:lumMod val="40000"/>
                  <a:lumOff val="60000"/>
                </a:schemeClr>
              </a:solidFill>
              <a:ln w="6350" cmpd="sng">
                <a:solidFill>
                  <a:schemeClr val="accent3">
                    <a:alpha val="38000"/>
                  </a:schemeClr>
                </a:solidFill>
              </a:ln>
              <a:effectLst/>
            </c:spPr>
            <c:extLst>
              <c:ext xmlns:c16="http://schemas.microsoft.com/office/drawing/2014/chart" uri="{C3380CC4-5D6E-409C-BE32-E72D297353CC}">
                <c16:uniqueId val="{00000009-FF3F-4356-BA58-BA3DCF2431EB}"/>
              </c:ext>
            </c:extLst>
          </c:dPt>
          <c:cat>
            <c:numRef>
              <c:f>Sommergerste1999P1BisP4Dia!$C$2:$G$22</c:f>
              <c:numCache>
                <c:formatCode>General</c:formatCode>
                <c:ptCount val="21"/>
                <c:pt idx="0">
                  <c:v>1999</c:v>
                </c:pt>
                <c:pt idx="1">
                  <c:v>2000</c:v>
                </c:pt>
                <c:pt idx="2">
                  <c:v>2001</c:v>
                </c:pt>
                <c:pt idx="3">
                  <c:v>2002</c:v>
                </c:pt>
                <c:pt idx="4">
                  <c:v>2003</c:v>
                </c:pt>
                <c:pt idx="5">
                  <c:v>2004</c:v>
                </c:pt>
                <c:pt idx="6">
                  <c:v>2005</c:v>
                </c:pt>
                <c:pt idx="7">
                  <c:v>2006</c:v>
                </c:pt>
                <c:pt idx="8">
                  <c:v>2007</c:v>
                </c:pt>
                <c:pt idx="9">
                  <c:v>2008</c:v>
                </c:pt>
                <c:pt idx="10">
                  <c:v>2009</c:v>
                </c:pt>
                <c:pt idx="11">
                  <c:v>2010</c:v>
                </c:pt>
                <c:pt idx="12">
                  <c:v>2011</c:v>
                </c:pt>
                <c:pt idx="13">
                  <c:v>2012</c:v>
                </c:pt>
                <c:pt idx="14">
                  <c:v>2013</c:v>
                </c:pt>
                <c:pt idx="15">
                  <c:v>2014</c:v>
                </c:pt>
                <c:pt idx="16">
                  <c:v>2015</c:v>
                </c:pt>
                <c:pt idx="17">
                  <c:v>2016</c:v>
                </c:pt>
                <c:pt idx="18">
                  <c:v>2017</c:v>
                </c:pt>
                <c:pt idx="19">
                  <c:v>2018</c:v>
                </c:pt>
                <c:pt idx="20">
                  <c:v>2019</c:v>
                </c:pt>
              </c:numCache>
            </c:numRef>
          </c:cat>
          <c:val>
            <c:numRef>
              <c:f>Sommergerste1999P1BisP4Dia!$H$2:$H$22</c:f>
              <c:numCache>
                <c:formatCode>0.00</c:formatCode>
                <c:ptCount val="21"/>
                <c:pt idx="0">
                  <c:v>74.739715762273903</c:v>
                </c:pt>
                <c:pt idx="1">
                  <c:v>49.107080103359159</c:v>
                </c:pt>
                <c:pt idx="2">
                  <c:v>69.646527131782946</c:v>
                </c:pt>
                <c:pt idx="3">
                  <c:v>61.026000000000003</c:v>
                </c:pt>
                <c:pt idx="4">
                  <c:v>53.947211886304906</c:v>
                </c:pt>
                <c:pt idx="5">
                  <c:v>43.351421188630468</c:v>
                </c:pt>
                <c:pt idx="6">
                  <c:v>66.379651162790694</c:v>
                </c:pt>
                <c:pt idx="7">
                  <c:v>56.309457364341078</c:v>
                </c:pt>
                <c:pt idx="8">
                  <c:v>46.877395348837211</c:v>
                </c:pt>
                <c:pt idx="9">
                  <c:v>55.912816537467705</c:v>
                </c:pt>
                <c:pt idx="10">
                  <c:v>64.328682170542635</c:v>
                </c:pt>
                <c:pt idx="11">
                  <c:v>49.490956072351423</c:v>
                </c:pt>
                <c:pt idx="12">
                  <c:v>72.401033591731263</c:v>
                </c:pt>
                <c:pt idx="13">
                  <c:v>65.533023255813987</c:v>
                </c:pt>
                <c:pt idx="14">
                  <c:v>76.725064599483218</c:v>
                </c:pt>
                <c:pt idx="15">
                  <c:v>57.947286821705418</c:v>
                </c:pt>
                <c:pt idx="16">
                  <c:v>67.626444444444431</c:v>
                </c:pt>
                <c:pt idx="17">
                  <c:v>48.765193798449623</c:v>
                </c:pt>
                <c:pt idx="18">
                  <c:v>41.14170542635658</c:v>
                </c:pt>
                <c:pt idx="19">
                  <c:v>59.397519379844965</c:v>
                </c:pt>
                <c:pt idx="20">
                  <c:v>50.977105943152459</c:v>
                </c:pt>
              </c:numCache>
            </c:numRef>
          </c:val>
          <c:extLst>
            <c:ext xmlns:c16="http://schemas.microsoft.com/office/drawing/2014/chart" uri="{C3380CC4-5D6E-409C-BE32-E72D297353CC}">
              <c16:uniqueId val="{0000000A-FF3F-4356-BA58-BA3DCF2431EB}"/>
            </c:ext>
          </c:extLst>
        </c:ser>
        <c:dLbls>
          <c:showLegendKey val="0"/>
          <c:showVal val="0"/>
          <c:showCatName val="0"/>
          <c:showSerName val="0"/>
          <c:showPercent val="0"/>
          <c:showBubbleSize val="0"/>
        </c:dLbls>
        <c:gapWidth val="150"/>
        <c:axId val="142078720"/>
        <c:axId val="142072448"/>
      </c:barChart>
      <c:lineChart>
        <c:grouping val="standard"/>
        <c:varyColors val="0"/>
        <c:ser>
          <c:idx val="1"/>
          <c:order val="1"/>
          <c:tx>
            <c:strRef>
              <c:f>Sommergerste1999P1BisP4Dia!$I$1</c:f>
              <c:strCache>
                <c:ptCount val="1"/>
                <c:pt idx="0">
                  <c:v>Ratio to Germany Yield</c:v>
                </c:pt>
              </c:strCache>
            </c:strRef>
          </c:tx>
          <c:spPr>
            <a:ln w="28575" cap="rnd">
              <a:solidFill>
                <a:schemeClr val="accent2"/>
              </a:solidFill>
              <a:round/>
            </a:ln>
            <a:effectLst/>
          </c:spPr>
          <c:marker>
            <c:symbol val="none"/>
          </c:marker>
          <c:cat>
            <c:numRef>
              <c:f>Sommergerste1999P1BisP4Dia!$C$2:$G$22</c:f>
              <c:numCache>
                <c:formatCode>General</c:formatCode>
                <c:ptCount val="21"/>
                <c:pt idx="0">
                  <c:v>1999</c:v>
                </c:pt>
                <c:pt idx="1">
                  <c:v>2000</c:v>
                </c:pt>
                <c:pt idx="2">
                  <c:v>2001</c:v>
                </c:pt>
                <c:pt idx="3">
                  <c:v>2002</c:v>
                </c:pt>
                <c:pt idx="4">
                  <c:v>2003</c:v>
                </c:pt>
                <c:pt idx="5">
                  <c:v>2004</c:v>
                </c:pt>
                <c:pt idx="6">
                  <c:v>2005</c:v>
                </c:pt>
                <c:pt idx="7">
                  <c:v>2006</c:v>
                </c:pt>
                <c:pt idx="8">
                  <c:v>2007</c:v>
                </c:pt>
                <c:pt idx="9">
                  <c:v>2008</c:v>
                </c:pt>
                <c:pt idx="10">
                  <c:v>2009</c:v>
                </c:pt>
                <c:pt idx="11">
                  <c:v>2010</c:v>
                </c:pt>
                <c:pt idx="12">
                  <c:v>2011</c:v>
                </c:pt>
                <c:pt idx="13">
                  <c:v>2012</c:v>
                </c:pt>
                <c:pt idx="14">
                  <c:v>2013</c:v>
                </c:pt>
                <c:pt idx="15">
                  <c:v>2014</c:v>
                </c:pt>
                <c:pt idx="16">
                  <c:v>2015</c:v>
                </c:pt>
                <c:pt idx="17">
                  <c:v>2016</c:v>
                </c:pt>
                <c:pt idx="18">
                  <c:v>2017</c:v>
                </c:pt>
                <c:pt idx="19">
                  <c:v>2018</c:v>
                </c:pt>
                <c:pt idx="20">
                  <c:v>2019</c:v>
                </c:pt>
              </c:numCache>
            </c:numRef>
          </c:cat>
          <c:val>
            <c:numRef>
              <c:f>Sommergerste1999P1BisP4Dia!$I$2:$I$22</c:f>
              <c:numCache>
                <c:formatCode>General</c:formatCode>
                <c:ptCount val="21"/>
                <c:pt idx="7" formatCode="0.00">
                  <c:v>1.213565891472868</c:v>
                </c:pt>
                <c:pt idx="8" formatCode="0.00">
                  <c:v>1.0978312728064916</c:v>
                </c:pt>
                <c:pt idx="9" formatCode="0.00">
                  <c:v>1.1697241953445126</c:v>
                </c:pt>
                <c:pt idx="10" formatCode="0.00">
                  <c:v>1.2442685139369951</c:v>
                </c:pt>
                <c:pt idx="11" formatCode="0.00">
                  <c:v>1.0059137413079555</c:v>
                </c:pt>
                <c:pt idx="12" formatCode="0.00">
                  <c:v>1.4775721141169647</c:v>
                </c:pt>
                <c:pt idx="13" formatCode="0.00">
                  <c:v>1.1619330364506022</c:v>
                </c:pt>
                <c:pt idx="14" formatCode="0.00">
                  <c:v>1.4155915977764426</c:v>
                </c:pt>
                <c:pt idx="15" formatCode="0.00">
                  <c:v>0.96901817427601067</c:v>
                </c:pt>
                <c:pt idx="16" formatCode="0.00">
                  <c:v>1.2477203772037717</c:v>
                </c:pt>
                <c:pt idx="17" formatCode="0.00">
                  <c:v>0.9306334694360614</c:v>
                </c:pt>
                <c:pt idx="18" formatCode="0.00">
                  <c:v>0.76188343382141843</c:v>
                </c:pt>
                <c:pt idx="19" formatCode="0.00">
                  <c:v>1.1999498864615143</c:v>
                </c:pt>
                <c:pt idx="20" formatCode="0.00">
                  <c:v>0.99564660045219655</c:v>
                </c:pt>
              </c:numCache>
            </c:numRef>
          </c:val>
          <c:smooth val="0"/>
          <c:extLst>
            <c:ext xmlns:c16="http://schemas.microsoft.com/office/drawing/2014/chart" uri="{C3380CC4-5D6E-409C-BE32-E72D297353CC}">
              <c16:uniqueId val="{0000000B-FF3F-4356-BA58-BA3DCF2431EB}"/>
            </c:ext>
          </c:extLst>
        </c:ser>
        <c:ser>
          <c:idx val="2"/>
          <c:order val="2"/>
          <c:tx>
            <c:strRef>
              <c:f>Sommergerste1999P1BisP4Dia!$J$1</c:f>
              <c:strCache>
                <c:ptCount val="1"/>
                <c:pt idx="0">
                  <c:v>Ratio to NRW yield</c:v>
                </c:pt>
              </c:strCache>
            </c:strRef>
          </c:tx>
          <c:spPr>
            <a:ln w="28575" cap="rnd">
              <a:solidFill>
                <a:schemeClr val="accent3"/>
              </a:solidFill>
              <a:round/>
            </a:ln>
            <a:effectLst/>
          </c:spPr>
          <c:marker>
            <c:symbol val="none"/>
          </c:marker>
          <c:cat>
            <c:numRef>
              <c:f>Sommergerste1999P1BisP4Dia!$C$2:$G$22</c:f>
              <c:numCache>
                <c:formatCode>General</c:formatCode>
                <c:ptCount val="21"/>
                <c:pt idx="0">
                  <c:v>1999</c:v>
                </c:pt>
                <c:pt idx="1">
                  <c:v>2000</c:v>
                </c:pt>
                <c:pt idx="2">
                  <c:v>2001</c:v>
                </c:pt>
                <c:pt idx="3">
                  <c:v>2002</c:v>
                </c:pt>
                <c:pt idx="4">
                  <c:v>2003</c:v>
                </c:pt>
                <c:pt idx="5">
                  <c:v>2004</c:v>
                </c:pt>
                <c:pt idx="6">
                  <c:v>2005</c:v>
                </c:pt>
                <c:pt idx="7">
                  <c:v>2006</c:v>
                </c:pt>
                <c:pt idx="8">
                  <c:v>2007</c:v>
                </c:pt>
                <c:pt idx="9">
                  <c:v>2008</c:v>
                </c:pt>
                <c:pt idx="10">
                  <c:v>2009</c:v>
                </c:pt>
                <c:pt idx="11">
                  <c:v>2010</c:v>
                </c:pt>
                <c:pt idx="12">
                  <c:v>2011</c:v>
                </c:pt>
                <c:pt idx="13">
                  <c:v>2012</c:v>
                </c:pt>
                <c:pt idx="14">
                  <c:v>2013</c:v>
                </c:pt>
                <c:pt idx="15">
                  <c:v>2014</c:v>
                </c:pt>
                <c:pt idx="16">
                  <c:v>2015</c:v>
                </c:pt>
                <c:pt idx="17">
                  <c:v>2016</c:v>
                </c:pt>
                <c:pt idx="18">
                  <c:v>2017</c:v>
                </c:pt>
                <c:pt idx="19">
                  <c:v>2018</c:v>
                </c:pt>
                <c:pt idx="20">
                  <c:v>2019</c:v>
                </c:pt>
              </c:numCache>
            </c:numRef>
          </c:cat>
          <c:val>
            <c:numRef>
              <c:f>Sommergerste1999P1BisP4Dia!$J$2:$J$22</c:f>
              <c:numCache>
                <c:formatCode>General</c:formatCode>
                <c:ptCount val="21"/>
                <c:pt idx="2" formatCode="0.00">
                  <c:v>1.3240784625814253</c:v>
                </c:pt>
                <c:pt idx="3" formatCode="0.00">
                  <c:v>1.2740292275574112</c:v>
                </c:pt>
                <c:pt idx="4" formatCode="0.00">
                  <c:v>0.9898570988312827</c:v>
                </c:pt>
                <c:pt idx="5" formatCode="0.00">
                  <c:v>0.74872920878463722</c:v>
                </c:pt>
                <c:pt idx="6" formatCode="0.00">
                  <c:v>1.2716408268733854</c:v>
                </c:pt>
                <c:pt idx="7" formatCode="0.00">
                  <c:v>1.1398675579826132</c:v>
                </c:pt>
                <c:pt idx="8" formatCode="0.00">
                  <c:v>1.0826188302271873</c:v>
                </c:pt>
                <c:pt idx="9" formatCode="0.00">
                  <c:v>1.0074381358102289</c:v>
                </c:pt>
                <c:pt idx="10" formatCode="0.00">
                  <c:v>1.2323502331521579</c:v>
                </c:pt>
                <c:pt idx="11" formatCode="0.00">
                  <c:v>0.9978015337167625</c:v>
                </c:pt>
                <c:pt idx="12" formatCode="0.00">
                  <c:v>1.4656079674439528</c:v>
                </c:pt>
                <c:pt idx="13" formatCode="0.00">
                  <c:v>1.0977055821744377</c:v>
                </c:pt>
                <c:pt idx="14" formatCode="0.00">
                  <c:v>1.2640043591348138</c:v>
                </c:pt>
              </c:numCache>
            </c:numRef>
          </c:val>
          <c:smooth val="0"/>
          <c:extLst>
            <c:ext xmlns:c16="http://schemas.microsoft.com/office/drawing/2014/chart" uri="{C3380CC4-5D6E-409C-BE32-E72D297353CC}">
              <c16:uniqueId val="{0000000C-FF3F-4356-BA58-BA3DCF2431EB}"/>
            </c:ext>
          </c:extLst>
        </c:ser>
        <c:ser>
          <c:idx val="3"/>
          <c:order val="3"/>
          <c:tx>
            <c:strRef>
              <c:f>Sommergerste1999P1BisP4Dia!$K$1</c:f>
              <c:strCache>
                <c:ptCount val="1"/>
                <c:pt idx="0">
                  <c:v>Ratio to Mean of frist 3 years</c:v>
                </c:pt>
              </c:strCache>
            </c:strRef>
          </c:tx>
          <c:spPr>
            <a:ln w="28575" cap="rnd">
              <a:solidFill>
                <a:schemeClr val="accent4"/>
              </a:solidFill>
              <a:round/>
            </a:ln>
            <a:effectLst/>
          </c:spPr>
          <c:marker>
            <c:symbol val="none"/>
          </c:marker>
          <c:cat>
            <c:numRef>
              <c:f>Sommergerste1999P1BisP4Dia!$C$2:$G$22</c:f>
              <c:numCache>
                <c:formatCode>General</c:formatCode>
                <c:ptCount val="21"/>
                <c:pt idx="0">
                  <c:v>1999</c:v>
                </c:pt>
                <c:pt idx="1">
                  <c:v>2000</c:v>
                </c:pt>
                <c:pt idx="2">
                  <c:v>2001</c:v>
                </c:pt>
                <c:pt idx="3">
                  <c:v>2002</c:v>
                </c:pt>
                <c:pt idx="4">
                  <c:v>2003</c:v>
                </c:pt>
                <c:pt idx="5">
                  <c:v>2004</c:v>
                </c:pt>
                <c:pt idx="6">
                  <c:v>2005</c:v>
                </c:pt>
                <c:pt idx="7">
                  <c:v>2006</c:v>
                </c:pt>
                <c:pt idx="8">
                  <c:v>2007</c:v>
                </c:pt>
                <c:pt idx="9">
                  <c:v>2008</c:v>
                </c:pt>
                <c:pt idx="10">
                  <c:v>2009</c:v>
                </c:pt>
                <c:pt idx="11">
                  <c:v>2010</c:v>
                </c:pt>
                <c:pt idx="12">
                  <c:v>2011</c:v>
                </c:pt>
                <c:pt idx="13">
                  <c:v>2012</c:v>
                </c:pt>
                <c:pt idx="14">
                  <c:v>2013</c:v>
                </c:pt>
                <c:pt idx="15">
                  <c:v>2014</c:v>
                </c:pt>
                <c:pt idx="16">
                  <c:v>2015</c:v>
                </c:pt>
                <c:pt idx="17">
                  <c:v>2016</c:v>
                </c:pt>
                <c:pt idx="18">
                  <c:v>2017</c:v>
                </c:pt>
                <c:pt idx="19">
                  <c:v>2018</c:v>
                </c:pt>
                <c:pt idx="20">
                  <c:v>2019</c:v>
                </c:pt>
              </c:numCache>
            </c:numRef>
          </c:cat>
          <c:val>
            <c:numRef>
              <c:f>Sommergerste1999P1BisP4Dia!$K$2:$K$22</c:f>
              <c:numCache>
                <c:formatCode>0.00</c:formatCode>
                <c:ptCount val="21"/>
                <c:pt idx="0">
                  <c:v>1.1587952690740444</c:v>
                </c:pt>
                <c:pt idx="1">
                  <c:v>0.76137635153459471</c:v>
                </c:pt>
                <c:pt idx="2">
                  <c:v>1.0798283793913608</c:v>
                </c:pt>
                <c:pt idx="3">
                  <c:v>0.94617218394892544</c:v>
                </c:pt>
                <c:pt idx="4">
                  <c:v>0.83641974385377638</c:v>
                </c:pt>
                <c:pt idx="5">
                  <c:v>0.67213825030865926</c:v>
                </c:pt>
                <c:pt idx="6">
                  <c:v>1.0291773917750715</c:v>
                </c:pt>
                <c:pt idx="7">
                  <c:v>0.87304496856090053</c:v>
                </c:pt>
                <c:pt idx="8">
                  <c:v>0.72680640276351904</c:v>
                </c:pt>
                <c:pt idx="9">
                  <c:v>0.86689528617296585</c:v>
                </c:pt>
                <c:pt idx="10">
                  <c:v>0.99737832562938167</c:v>
                </c:pt>
                <c:pt idx="11">
                  <c:v>0.76732812231994707</c:v>
                </c:pt>
                <c:pt idx="12">
                  <c:v>1.1225353795701485</c:v>
                </c:pt>
                <c:pt idx="13">
                  <c:v>1.0160509247653335</c:v>
                </c:pt>
                <c:pt idx="14">
                  <c:v>1.1895769333679977</c:v>
                </c:pt>
                <c:pt idx="15">
                  <c:v>0.89843854956916414</c:v>
                </c:pt>
                <c:pt idx="16">
                  <c:v>1.0485081872103803</c:v>
                </c:pt>
                <c:pt idx="17">
                  <c:v>0.75607560575773725</c:v>
                </c:pt>
                <c:pt idx="18">
                  <c:v>0.63787790900008479</c:v>
                </c:pt>
                <c:pt idx="19">
                  <c:v>0.9209235511548608</c:v>
                </c:pt>
                <c:pt idx="20">
                  <c:v>0.79037000068214069</c:v>
                </c:pt>
              </c:numCache>
            </c:numRef>
          </c:val>
          <c:smooth val="0"/>
          <c:extLst>
            <c:ext xmlns:c16="http://schemas.microsoft.com/office/drawing/2014/chart" uri="{C3380CC4-5D6E-409C-BE32-E72D297353CC}">
              <c16:uniqueId val="{0000000D-FF3F-4356-BA58-BA3DCF2431EB}"/>
            </c:ext>
          </c:extLst>
        </c:ser>
        <c:dLbls>
          <c:showLegendKey val="0"/>
          <c:showVal val="0"/>
          <c:showCatName val="0"/>
          <c:showSerName val="0"/>
          <c:showPercent val="0"/>
          <c:showBubbleSize val="0"/>
        </c:dLbls>
        <c:marker val="1"/>
        <c:smooth val="0"/>
        <c:axId val="142052352"/>
        <c:axId val="142070528"/>
      </c:lineChart>
      <c:catAx>
        <c:axId val="1420523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142070528"/>
        <c:crosses val="autoZero"/>
        <c:auto val="1"/>
        <c:lblAlgn val="ctr"/>
        <c:lblOffset val="100"/>
        <c:noMultiLvlLbl val="0"/>
      </c:catAx>
      <c:valAx>
        <c:axId val="14207052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Yield</a:t>
                </a:r>
                <a:r>
                  <a:rPr lang="en-US" baseline="0"/>
                  <a:t> Ratio</a:t>
                </a:r>
                <a:endParaRPr lang="en-US"/>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142052352"/>
        <c:crosses val="autoZero"/>
        <c:crossBetween val="between"/>
      </c:valAx>
      <c:valAx>
        <c:axId val="142072448"/>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Actual Seed yield [dt/ha]</a:t>
                </a:r>
              </a:p>
            </c:rich>
          </c:tx>
          <c:overlay val="0"/>
          <c:spPr>
            <a:noFill/>
            <a:ln>
              <a:noFill/>
            </a:ln>
            <a:effectLst/>
          </c:spPr>
        </c:title>
        <c:numFmt formatCode="0.0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142078720"/>
        <c:crosses val="max"/>
        <c:crossBetween val="between"/>
      </c:valAx>
      <c:catAx>
        <c:axId val="142078720"/>
        <c:scaling>
          <c:orientation val="minMax"/>
        </c:scaling>
        <c:delete val="1"/>
        <c:axPos val="b"/>
        <c:numFmt formatCode="General" sourceLinked="1"/>
        <c:majorTickMark val="out"/>
        <c:minorTickMark val="none"/>
        <c:tickLblPos val="none"/>
        <c:crossAx val="142072448"/>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B</a:t>
            </a:r>
          </a:p>
        </c:rich>
      </c:tx>
      <c:layout>
        <c:manualLayout>
          <c:xMode val="edge"/>
          <c:yMode val="edge"/>
          <c:x val="2.4314455716847264E-2"/>
          <c:y val="2.5974031286231984E-2"/>
        </c:manualLayout>
      </c:layout>
      <c:overlay val="0"/>
      <c:spPr>
        <a:noFill/>
        <a:ln>
          <a:noFill/>
        </a:ln>
        <a:effectLst/>
      </c:spPr>
    </c:title>
    <c:autoTitleDeleted val="0"/>
    <c:plotArea>
      <c:layout/>
      <c:barChart>
        <c:barDir val="col"/>
        <c:grouping val="clustered"/>
        <c:varyColors val="0"/>
        <c:ser>
          <c:idx val="0"/>
          <c:order val="0"/>
          <c:tx>
            <c:strRef>
              <c:f>Sommergerste1999P1BisP4Dia!$Q$1</c:f>
              <c:strCache>
                <c:ptCount val="1"/>
                <c:pt idx="0">
                  <c:v>Yield [dt/ha]</c:v>
                </c:pt>
              </c:strCache>
            </c:strRef>
          </c:tx>
          <c:spPr>
            <a:solidFill>
              <a:schemeClr val="accent1">
                <a:lumMod val="40000"/>
                <a:lumOff val="60000"/>
              </a:schemeClr>
            </a:solidFill>
            <a:ln>
              <a:noFill/>
            </a:ln>
            <a:effectLst/>
          </c:spPr>
          <c:invertIfNegative val="0"/>
          <c:dPt>
            <c:idx val="8"/>
            <c:invertIfNegative val="0"/>
            <c:bubble3D val="0"/>
            <c:spPr>
              <a:solidFill>
                <a:schemeClr val="accent1">
                  <a:lumMod val="75000"/>
                </a:schemeClr>
              </a:solidFill>
              <a:ln>
                <a:noFill/>
              </a:ln>
              <a:effectLst/>
            </c:spPr>
            <c:extLst>
              <c:ext xmlns:c16="http://schemas.microsoft.com/office/drawing/2014/chart" uri="{C3380CC4-5D6E-409C-BE32-E72D297353CC}">
                <c16:uniqueId val="{00000001-6B9F-4D21-9896-7C4281048C42}"/>
              </c:ext>
            </c:extLst>
          </c:dPt>
          <c:dPt>
            <c:idx val="12"/>
            <c:invertIfNegative val="0"/>
            <c:bubble3D val="0"/>
            <c:spPr>
              <a:solidFill>
                <a:schemeClr val="accent3">
                  <a:lumMod val="40000"/>
                  <a:lumOff val="60000"/>
                </a:schemeClr>
              </a:solidFill>
              <a:ln>
                <a:noFill/>
              </a:ln>
              <a:effectLst/>
            </c:spPr>
            <c:extLst>
              <c:ext xmlns:c16="http://schemas.microsoft.com/office/drawing/2014/chart" uri="{C3380CC4-5D6E-409C-BE32-E72D297353CC}">
                <c16:uniqueId val="{00000003-6B9F-4D21-9896-7C4281048C42}"/>
              </c:ext>
            </c:extLst>
          </c:dPt>
          <c:dPt>
            <c:idx val="17"/>
            <c:invertIfNegative val="0"/>
            <c:bubble3D val="0"/>
            <c:spPr>
              <a:solidFill>
                <a:schemeClr val="accent1">
                  <a:lumMod val="75000"/>
                </a:schemeClr>
              </a:solidFill>
              <a:ln>
                <a:noFill/>
              </a:ln>
              <a:effectLst/>
            </c:spPr>
            <c:extLst>
              <c:ext xmlns:c16="http://schemas.microsoft.com/office/drawing/2014/chart" uri="{C3380CC4-5D6E-409C-BE32-E72D297353CC}">
                <c16:uniqueId val="{00000005-6B9F-4D21-9896-7C4281048C42}"/>
              </c:ext>
            </c:extLst>
          </c:dPt>
          <c:dPt>
            <c:idx val="18"/>
            <c:invertIfNegative val="0"/>
            <c:bubble3D val="0"/>
            <c:spPr>
              <a:solidFill>
                <a:schemeClr val="accent3">
                  <a:lumMod val="40000"/>
                  <a:lumOff val="60000"/>
                </a:schemeClr>
              </a:solidFill>
              <a:ln>
                <a:noFill/>
              </a:ln>
              <a:effectLst/>
            </c:spPr>
            <c:extLst>
              <c:ext xmlns:c16="http://schemas.microsoft.com/office/drawing/2014/chart" uri="{C3380CC4-5D6E-409C-BE32-E72D297353CC}">
                <c16:uniqueId val="{00000007-6B9F-4D21-9896-7C4281048C42}"/>
              </c:ext>
            </c:extLst>
          </c:dPt>
          <c:dPt>
            <c:idx val="19"/>
            <c:invertIfNegative val="0"/>
            <c:bubble3D val="0"/>
            <c:spPr>
              <a:solidFill>
                <a:schemeClr val="accent3">
                  <a:lumMod val="40000"/>
                  <a:lumOff val="60000"/>
                </a:schemeClr>
              </a:solidFill>
              <a:ln>
                <a:noFill/>
              </a:ln>
              <a:effectLst/>
            </c:spPr>
            <c:extLst>
              <c:ext xmlns:c16="http://schemas.microsoft.com/office/drawing/2014/chart" uri="{C3380CC4-5D6E-409C-BE32-E72D297353CC}">
                <c16:uniqueId val="{00000009-6B9F-4D21-9896-7C4281048C42}"/>
              </c:ext>
            </c:extLst>
          </c:dPt>
          <c:cat>
            <c:numRef>
              <c:f>Sommergerste1999P1BisP4Dia!$L$2:$P$22</c:f>
              <c:numCache>
                <c:formatCode>General</c:formatCode>
                <c:ptCount val="21"/>
                <c:pt idx="0">
                  <c:v>1999</c:v>
                </c:pt>
                <c:pt idx="1">
                  <c:v>2000</c:v>
                </c:pt>
                <c:pt idx="2">
                  <c:v>2001</c:v>
                </c:pt>
                <c:pt idx="3">
                  <c:v>2002</c:v>
                </c:pt>
                <c:pt idx="4">
                  <c:v>2003</c:v>
                </c:pt>
                <c:pt idx="5">
                  <c:v>2004</c:v>
                </c:pt>
                <c:pt idx="6">
                  <c:v>2005</c:v>
                </c:pt>
                <c:pt idx="7">
                  <c:v>2006</c:v>
                </c:pt>
                <c:pt idx="8">
                  <c:v>2007</c:v>
                </c:pt>
                <c:pt idx="9">
                  <c:v>2008</c:v>
                </c:pt>
                <c:pt idx="10">
                  <c:v>2009</c:v>
                </c:pt>
                <c:pt idx="11">
                  <c:v>2010</c:v>
                </c:pt>
                <c:pt idx="12">
                  <c:v>2011</c:v>
                </c:pt>
                <c:pt idx="13">
                  <c:v>2012</c:v>
                </c:pt>
                <c:pt idx="14">
                  <c:v>2013</c:v>
                </c:pt>
                <c:pt idx="15">
                  <c:v>2014</c:v>
                </c:pt>
                <c:pt idx="16">
                  <c:v>2015</c:v>
                </c:pt>
                <c:pt idx="17">
                  <c:v>2016</c:v>
                </c:pt>
                <c:pt idx="18">
                  <c:v>2017</c:v>
                </c:pt>
                <c:pt idx="19">
                  <c:v>2018</c:v>
                </c:pt>
                <c:pt idx="20">
                  <c:v>2019</c:v>
                </c:pt>
              </c:numCache>
            </c:numRef>
          </c:cat>
          <c:val>
            <c:numRef>
              <c:f>Sommergerste1999P1BisP4Dia!$Q$2:$Q$22</c:f>
              <c:numCache>
                <c:formatCode>0.00</c:formatCode>
                <c:ptCount val="21"/>
                <c:pt idx="0">
                  <c:v>40.965833333333343</c:v>
                </c:pt>
                <c:pt idx="1">
                  <c:v>36.493333333333332</c:v>
                </c:pt>
                <c:pt idx="2">
                  <c:v>51.461343669250638</c:v>
                </c:pt>
                <c:pt idx="3">
                  <c:v>39.068031007751948</c:v>
                </c:pt>
                <c:pt idx="4">
                  <c:v>39.224788113695091</c:v>
                </c:pt>
                <c:pt idx="5">
                  <c:v>32.326098191214463</c:v>
                </c:pt>
                <c:pt idx="6">
                  <c:v>45.50608010335916</c:v>
                </c:pt>
                <c:pt idx="7">
                  <c:v>46.824658914728687</c:v>
                </c:pt>
                <c:pt idx="8">
                  <c:v>27.463470284237726</c:v>
                </c:pt>
                <c:pt idx="9">
                  <c:v>37.54279069767442</c:v>
                </c:pt>
                <c:pt idx="10">
                  <c:v>35.178578811369512</c:v>
                </c:pt>
                <c:pt idx="11">
                  <c:v>56.406976744186053</c:v>
                </c:pt>
                <c:pt idx="12">
                  <c:v>43.971576227390194</c:v>
                </c:pt>
                <c:pt idx="13">
                  <c:v>47.197984496124043</c:v>
                </c:pt>
                <c:pt idx="14">
                  <c:v>48.240310077519389</c:v>
                </c:pt>
                <c:pt idx="15">
                  <c:v>58.729767441860453</c:v>
                </c:pt>
                <c:pt idx="16">
                  <c:v>55.476937984496125</c:v>
                </c:pt>
                <c:pt idx="17">
                  <c:v>38.45503875968992</c:v>
                </c:pt>
                <c:pt idx="18">
                  <c:v>34.381136950904398</c:v>
                </c:pt>
                <c:pt idx="19">
                  <c:v>27.143410852713174</c:v>
                </c:pt>
                <c:pt idx="20">
                  <c:v>20.531653746770033</c:v>
                </c:pt>
              </c:numCache>
            </c:numRef>
          </c:val>
          <c:extLst>
            <c:ext xmlns:c16="http://schemas.microsoft.com/office/drawing/2014/chart" uri="{C3380CC4-5D6E-409C-BE32-E72D297353CC}">
              <c16:uniqueId val="{0000000A-6B9F-4D21-9896-7C4281048C42}"/>
            </c:ext>
          </c:extLst>
        </c:ser>
        <c:dLbls>
          <c:showLegendKey val="0"/>
          <c:showVal val="0"/>
          <c:showCatName val="0"/>
          <c:showSerName val="0"/>
          <c:showPercent val="0"/>
          <c:showBubbleSize val="0"/>
        </c:dLbls>
        <c:gapWidth val="150"/>
        <c:axId val="142234752"/>
        <c:axId val="142228480"/>
      </c:barChart>
      <c:lineChart>
        <c:grouping val="standard"/>
        <c:varyColors val="0"/>
        <c:ser>
          <c:idx val="1"/>
          <c:order val="1"/>
          <c:tx>
            <c:strRef>
              <c:f>Sommergerste1999P1BisP4Dia!$R$1</c:f>
              <c:strCache>
                <c:ptCount val="1"/>
                <c:pt idx="0">
                  <c:v>Ratio to Germany Yield</c:v>
                </c:pt>
              </c:strCache>
            </c:strRef>
          </c:tx>
          <c:spPr>
            <a:ln w="28575" cap="rnd">
              <a:solidFill>
                <a:schemeClr val="accent2"/>
              </a:solidFill>
              <a:round/>
            </a:ln>
            <a:effectLst/>
          </c:spPr>
          <c:marker>
            <c:symbol val="none"/>
          </c:marker>
          <c:cat>
            <c:numRef>
              <c:f>Sommergerste1999P1BisP4Dia!$L$2:$P$22</c:f>
              <c:numCache>
                <c:formatCode>General</c:formatCode>
                <c:ptCount val="21"/>
                <c:pt idx="0">
                  <c:v>1999</c:v>
                </c:pt>
                <c:pt idx="1">
                  <c:v>2000</c:v>
                </c:pt>
                <c:pt idx="2">
                  <c:v>2001</c:v>
                </c:pt>
                <c:pt idx="3">
                  <c:v>2002</c:v>
                </c:pt>
                <c:pt idx="4">
                  <c:v>2003</c:v>
                </c:pt>
                <c:pt idx="5">
                  <c:v>2004</c:v>
                </c:pt>
                <c:pt idx="6">
                  <c:v>2005</c:v>
                </c:pt>
                <c:pt idx="7">
                  <c:v>2006</c:v>
                </c:pt>
                <c:pt idx="8">
                  <c:v>2007</c:v>
                </c:pt>
                <c:pt idx="9">
                  <c:v>2008</c:v>
                </c:pt>
                <c:pt idx="10">
                  <c:v>2009</c:v>
                </c:pt>
                <c:pt idx="11">
                  <c:v>2010</c:v>
                </c:pt>
                <c:pt idx="12">
                  <c:v>2011</c:v>
                </c:pt>
                <c:pt idx="13">
                  <c:v>2012</c:v>
                </c:pt>
                <c:pt idx="14">
                  <c:v>2013</c:v>
                </c:pt>
                <c:pt idx="15">
                  <c:v>2014</c:v>
                </c:pt>
                <c:pt idx="16">
                  <c:v>2015</c:v>
                </c:pt>
                <c:pt idx="17">
                  <c:v>2016</c:v>
                </c:pt>
                <c:pt idx="18">
                  <c:v>2017</c:v>
                </c:pt>
                <c:pt idx="19">
                  <c:v>2018</c:v>
                </c:pt>
                <c:pt idx="20">
                  <c:v>2019</c:v>
                </c:pt>
              </c:numCache>
            </c:numRef>
          </c:cat>
          <c:val>
            <c:numRef>
              <c:f>Sommergerste1999P1BisP4Dia!$R$2:$R$22</c:f>
              <c:numCache>
                <c:formatCode>General</c:formatCode>
                <c:ptCount val="21"/>
                <c:pt idx="7" formatCode="0.00">
                  <c:v>1.0091521317829462</c:v>
                </c:pt>
                <c:pt idx="8" formatCode="0.00">
                  <c:v>0.64317260618823724</c:v>
                </c:pt>
                <c:pt idx="9" formatCode="0.00">
                  <c:v>0.78541403133210086</c:v>
                </c:pt>
                <c:pt idx="10" formatCode="0.00">
                  <c:v>0.68043672749264028</c:v>
                </c:pt>
                <c:pt idx="11" formatCode="0.00">
                  <c:v>1.1464832671582532</c:v>
                </c:pt>
                <c:pt idx="12" formatCode="0.00">
                  <c:v>0.89737910668143261</c:v>
                </c:pt>
                <c:pt idx="13" formatCode="0.00">
                  <c:v>0.8368436967397882</c:v>
                </c:pt>
                <c:pt idx="14" formatCode="0.00">
                  <c:v>0.8900426213564463</c:v>
                </c:pt>
                <c:pt idx="15" formatCode="0.00">
                  <c:v>0.982103134479272</c:v>
                </c:pt>
                <c:pt idx="16" formatCode="0.00">
                  <c:v>1.0235597414113677</c:v>
                </c:pt>
                <c:pt idx="17" formatCode="0.00">
                  <c:v>0.73387478549026552</c:v>
                </c:pt>
                <c:pt idx="18" formatCode="0.00">
                  <c:v>0.63668772131304452</c:v>
                </c:pt>
                <c:pt idx="19" formatCode="0.00">
                  <c:v>0.54835173439824603</c:v>
                </c:pt>
                <c:pt idx="20" formatCode="0.00">
                  <c:v>0.4010088622416022</c:v>
                </c:pt>
              </c:numCache>
            </c:numRef>
          </c:val>
          <c:smooth val="0"/>
          <c:extLst>
            <c:ext xmlns:c16="http://schemas.microsoft.com/office/drawing/2014/chart" uri="{C3380CC4-5D6E-409C-BE32-E72D297353CC}">
              <c16:uniqueId val="{0000000B-6B9F-4D21-9896-7C4281048C42}"/>
            </c:ext>
          </c:extLst>
        </c:ser>
        <c:ser>
          <c:idx val="2"/>
          <c:order val="2"/>
          <c:tx>
            <c:strRef>
              <c:f>Sommergerste1999P1BisP4Dia!$S$1</c:f>
              <c:strCache>
                <c:ptCount val="1"/>
                <c:pt idx="0">
                  <c:v>Ratio to NRW yield</c:v>
                </c:pt>
              </c:strCache>
            </c:strRef>
          </c:tx>
          <c:spPr>
            <a:ln w="28575" cap="rnd">
              <a:solidFill>
                <a:schemeClr val="accent3"/>
              </a:solidFill>
              <a:round/>
            </a:ln>
            <a:effectLst/>
          </c:spPr>
          <c:marker>
            <c:symbol val="none"/>
          </c:marker>
          <c:cat>
            <c:numRef>
              <c:f>Sommergerste1999P1BisP4Dia!$L$2:$P$22</c:f>
              <c:numCache>
                <c:formatCode>General</c:formatCode>
                <c:ptCount val="21"/>
                <c:pt idx="0">
                  <c:v>1999</c:v>
                </c:pt>
                <c:pt idx="1">
                  <c:v>2000</c:v>
                </c:pt>
                <c:pt idx="2">
                  <c:v>2001</c:v>
                </c:pt>
                <c:pt idx="3">
                  <c:v>2002</c:v>
                </c:pt>
                <c:pt idx="4">
                  <c:v>2003</c:v>
                </c:pt>
                <c:pt idx="5">
                  <c:v>2004</c:v>
                </c:pt>
                <c:pt idx="6">
                  <c:v>2005</c:v>
                </c:pt>
                <c:pt idx="7">
                  <c:v>2006</c:v>
                </c:pt>
                <c:pt idx="8">
                  <c:v>2007</c:v>
                </c:pt>
                <c:pt idx="9">
                  <c:v>2008</c:v>
                </c:pt>
                <c:pt idx="10">
                  <c:v>2009</c:v>
                </c:pt>
                <c:pt idx="11">
                  <c:v>2010</c:v>
                </c:pt>
                <c:pt idx="12">
                  <c:v>2011</c:v>
                </c:pt>
                <c:pt idx="13">
                  <c:v>2012</c:v>
                </c:pt>
                <c:pt idx="14">
                  <c:v>2013</c:v>
                </c:pt>
                <c:pt idx="15">
                  <c:v>2014</c:v>
                </c:pt>
                <c:pt idx="16">
                  <c:v>2015</c:v>
                </c:pt>
                <c:pt idx="17">
                  <c:v>2016</c:v>
                </c:pt>
                <c:pt idx="18">
                  <c:v>2017</c:v>
                </c:pt>
                <c:pt idx="19">
                  <c:v>2018</c:v>
                </c:pt>
                <c:pt idx="20">
                  <c:v>2019</c:v>
                </c:pt>
              </c:numCache>
            </c:numRef>
          </c:cat>
          <c:val>
            <c:numRef>
              <c:f>Sommergerste1999P1BisP4Dia!$S$2:$S$22</c:f>
              <c:numCache>
                <c:formatCode>General</c:formatCode>
                <c:ptCount val="21"/>
                <c:pt idx="2" formatCode="0.00">
                  <c:v>0.97835254124050652</c:v>
                </c:pt>
                <c:pt idx="3" formatCode="0.00">
                  <c:v>0.81561651373177335</c:v>
                </c:pt>
                <c:pt idx="4" formatCode="0.00">
                  <c:v>0.71972088282009361</c:v>
                </c:pt>
                <c:pt idx="5" formatCode="0.00">
                  <c:v>0.55830912247347975</c:v>
                </c:pt>
                <c:pt idx="6" formatCode="0.00">
                  <c:v>0.87176398665439025</c:v>
                </c:pt>
                <c:pt idx="7" formatCode="0.00">
                  <c:v>0.94786758936697746</c:v>
                </c:pt>
                <c:pt idx="8" formatCode="0.00">
                  <c:v>0.63426028370064047</c:v>
                </c:pt>
                <c:pt idx="9" formatCode="0.00">
                  <c:v>0.676446679237377</c:v>
                </c:pt>
                <c:pt idx="10" formatCode="0.00">
                  <c:v>0.67391913431742378</c:v>
                </c:pt>
                <c:pt idx="11" formatCode="0.00">
                  <c:v>1.13723743435859</c:v>
                </c:pt>
                <c:pt idx="12" formatCode="0.00">
                  <c:v>0.89011287909696746</c:v>
                </c:pt>
                <c:pt idx="13" formatCode="0.00">
                  <c:v>0.79058600496020148</c:v>
                </c:pt>
                <c:pt idx="14" formatCode="0.00">
                  <c:v>0.79473327969554175</c:v>
                </c:pt>
              </c:numCache>
            </c:numRef>
          </c:val>
          <c:smooth val="0"/>
          <c:extLst>
            <c:ext xmlns:c16="http://schemas.microsoft.com/office/drawing/2014/chart" uri="{C3380CC4-5D6E-409C-BE32-E72D297353CC}">
              <c16:uniqueId val="{0000000C-6B9F-4D21-9896-7C4281048C42}"/>
            </c:ext>
          </c:extLst>
        </c:ser>
        <c:ser>
          <c:idx val="3"/>
          <c:order val="3"/>
          <c:tx>
            <c:strRef>
              <c:f>Sommergerste1999P1BisP4Dia!$T$1</c:f>
              <c:strCache>
                <c:ptCount val="1"/>
                <c:pt idx="0">
                  <c:v>Ratio to Mean of frist 3 years</c:v>
                </c:pt>
              </c:strCache>
            </c:strRef>
          </c:tx>
          <c:spPr>
            <a:ln w="28575" cap="rnd">
              <a:solidFill>
                <a:schemeClr val="accent4"/>
              </a:solidFill>
              <a:round/>
            </a:ln>
            <a:effectLst/>
          </c:spPr>
          <c:marker>
            <c:symbol val="none"/>
          </c:marker>
          <c:cat>
            <c:numRef>
              <c:f>Sommergerste1999P1BisP4Dia!$L$2:$P$22</c:f>
              <c:numCache>
                <c:formatCode>General</c:formatCode>
                <c:ptCount val="21"/>
                <c:pt idx="0">
                  <c:v>1999</c:v>
                </c:pt>
                <c:pt idx="1">
                  <c:v>2000</c:v>
                </c:pt>
                <c:pt idx="2">
                  <c:v>2001</c:v>
                </c:pt>
                <c:pt idx="3">
                  <c:v>2002</c:v>
                </c:pt>
                <c:pt idx="4">
                  <c:v>2003</c:v>
                </c:pt>
                <c:pt idx="5">
                  <c:v>2004</c:v>
                </c:pt>
                <c:pt idx="6">
                  <c:v>2005</c:v>
                </c:pt>
                <c:pt idx="7">
                  <c:v>2006</c:v>
                </c:pt>
                <c:pt idx="8">
                  <c:v>2007</c:v>
                </c:pt>
                <c:pt idx="9">
                  <c:v>2008</c:v>
                </c:pt>
                <c:pt idx="10">
                  <c:v>2009</c:v>
                </c:pt>
                <c:pt idx="11">
                  <c:v>2010</c:v>
                </c:pt>
                <c:pt idx="12">
                  <c:v>2011</c:v>
                </c:pt>
                <c:pt idx="13">
                  <c:v>2012</c:v>
                </c:pt>
                <c:pt idx="14">
                  <c:v>2013</c:v>
                </c:pt>
                <c:pt idx="15">
                  <c:v>2014</c:v>
                </c:pt>
                <c:pt idx="16">
                  <c:v>2015</c:v>
                </c:pt>
                <c:pt idx="17">
                  <c:v>2016</c:v>
                </c:pt>
                <c:pt idx="18">
                  <c:v>2017</c:v>
                </c:pt>
                <c:pt idx="19">
                  <c:v>2018</c:v>
                </c:pt>
                <c:pt idx="20">
                  <c:v>2019</c:v>
                </c:pt>
              </c:numCache>
            </c:numRef>
          </c:cat>
          <c:val>
            <c:numRef>
              <c:f>Sommergerste1999P1BisP4Dia!$T$2:$T$22</c:f>
              <c:numCache>
                <c:formatCode>0.00</c:formatCode>
                <c:ptCount val="21"/>
                <c:pt idx="0">
                  <c:v>0.95335893258862814</c:v>
                </c:pt>
                <c:pt idx="1">
                  <c:v>0.84927468776665882</c:v>
                </c:pt>
                <c:pt idx="2">
                  <c:v>1.1976109767105112</c:v>
                </c:pt>
                <c:pt idx="3">
                  <c:v>0.9091931814696752</c:v>
                </c:pt>
                <c:pt idx="4">
                  <c:v>0.9128412407189922</c:v>
                </c:pt>
                <c:pt idx="5">
                  <c:v>0.75229458206224042</c:v>
                </c:pt>
                <c:pt idx="6">
                  <c:v>1.0590197836481072</c:v>
                </c:pt>
                <c:pt idx="7">
                  <c:v>1.0897058160281283</c:v>
                </c:pt>
                <c:pt idx="8">
                  <c:v>0.63913126097830431</c:v>
                </c:pt>
                <c:pt idx="9">
                  <c:v>0.87369771230333793</c:v>
                </c:pt>
                <c:pt idx="10">
                  <c:v>0.81867765444192497</c:v>
                </c:pt>
                <c:pt idx="11">
                  <c:v>1.3127059982356539</c:v>
                </c:pt>
                <c:pt idx="12">
                  <c:v>1.0233087323106862</c:v>
                </c:pt>
                <c:pt idx="13">
                  <c:v>1.0983938677245531</c:v>
                </c:pt>
                <c:pt idx="14">
                  <c:v>1.1226509210500211</c:v>
                </c:pt>
                <c:pt idx="15">
                  <c:v>1.3667621001131129</c:v>
                </c:pt>
                <c:pt idx="16">
                  <c:v>1.2910620894693072</c:v>
                </c:pt>
                <c:pt idx="17">
                  <c:v>0.89492759505910913</c:v>
                </c:pt>
                <c:pt idx="18">
                  <c:v>0.8001195473796695</c:v>
                </c:pt>
                <c:pt idx="19">
                  <c:v>0.63168282179923618</c:v>
                </c:pt>
                <c:pt idx="20">
                  <c:v>0.4778136780723769</c:v>
                </c:pt>
              </c:numCache>
            </c:numRef>
          </c:val>
          <c:smooth val="0"/>
          <c:extLst>
            <c:ext xmlns:c16="http://schemas.microsoft.com/office/drawing/2014/chart" uri="{C3380CC4-5D6E-409C-BE32-E72D297353CC}">
              <c16:uniqueId val="{0000000D-6B9F-4D21-9896-7C4281048C42}"/>
            </c:ext>
          </c:extLst>
        </c:ser>
        <c:dLbls>
          <c:showLegendKey val="0"/>
          <c:showVal val="0"/>
          <c:showCatName val="0"/>
          <c:showSerName val="0"/>
          <c:showPercent val="0"/>
          <c:showBubbleSize val="0"/>
        </c:dLbls>
        <c:marker val="1"/>
        <c:smooth val="0"/>
        <c:axId val="142216576"/>
        <c:axId val="142226560"/>
      </c:lineChart>
      <c:catAx>
        <c:axId val="1422165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142226560"/>
        <c:crosses val="autoZero"/>
        <c:auto val="1"/>
        <c:lblAlgn val="ctr"/>
        <c:lblOffset val="100"/>
        <c:noMultiLvlLbl val="0"/>
      </c:catAx>
      <c:valAx>
        <c:axId val="14222656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Yield Ratio</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142216576"/>
        <c:crosses val="autoZero"/>
        <c:crossBetween val="between"/>
      </c:valAx>
      <c:valAx>
        <c:axId val="142228480"/>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050" b="0" i="0" baseline="0">
                    <a:effectLst/>
                  </a:rPr>
                  <a:t>Actual Seed yield [dt/ha]</a:t>
                </a:r>
                <a:endParaRPr lang="en-US" sz="500">
                  <a:effectLst/>
                </a:endParaRPr>
              </a:p>
            </c:rich>
          </c:tx>
          <c:overlay val="0"/>
          <c:spPr>
            <a:noFill/>
            <a:ln>
              <a:noFill/>
            </a:ln>
            <a:effectLst/>
          </c:spPr>
        </c:title>
        <c:numFmt formatCode="0.0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142234752"/>
        <c:crosses val="max"/>
        <c:crossBetween val="between"/>
      </c:valAx>
      <c:catAx>
        <c:axId val="142234752"/>
        <c:scaling>
          <c:orientation val="minMax"/>
        </c:scaling>
        <c:delete val="1"/>
        <c:axPos val="b"/>
        <c:numFmt formatCode="General" sourceLinked="1"/>
        <c:majorTickMark val="out"/>
        <c:minorTickMark val="none"/>
        <c:tickLblPos val="none"/>
        <c:crossAx val="142228480"/>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BFBDC2-B66A-4E72-8F54-513FEE9A6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18402</Words>
  <Characters>115938</Characters>
  <Application>Microsoft Office Word</Application>
  <DocSecurity>0</DocSecurity>
  <Lines>966</Lines>
  <Paragraphs>268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134072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Michael</dc:creator>
  <cp:lastModifiedBy>Leon</cp:lastModifiedBy>
  <cp:revision>2</cp:revision>
  <dcterms:created xsi:type="dcterms:W3CDTF">2021-02-05T08:42:00Z</dcterms:created>
  <dcterms:modified xsi:type="dcterms:W3CDTF">2021-02-05T08:42:00Z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http://www.zotero.org/styles/science</vt:lpwstr>
  </property>
  <property fmtid="{D5CDD505-2E9C-101B-9397-08002B2CF9AE}" pid="21" name="Mendeley Recent Style Name 9_1">
    <vt:lpwstr>Science</vt:lpwstr>
  </property>
  <property fmtid="{D5CDD505-2E9C-101B-9397-08002B2CF9AE}" pid="22" name="Mendeley Document_1">
    <vt:lpwstr>True</vt:lpwstr>
  </property>
  <property fmtid="{D5CDD505-2E9C-101B-9397-08002B2CF9AE}" pid="23" name="Mendeley Unique User Id_1">
    <vt:lpwstr>3be7613b-4323-3b74-bed2-77626883e978</vt:lpwstr>
  </property>
  <property fmtid="{D5CDD505-2E9C-101B-9397-08002B2CF9AE}" pid="24" name="Mendeley Citation Style_1">
    <vt:lpwstr>http://www.zotero.org/styles/nature</vt:lpwstr>
  </property>
</Properties>
</file>