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8159A5" w14:textId="77777777" w:rsidR="004D6DC6" w:rsidRPr="00387DA0" w:rsidRDefault="004D6DC6" w:rsidP="004D6DC6">
      <w:pPr>
        <w:pStyle w:val="Heading1"/>
        <w:rPr>
          <w:rFonts w:ascii="Times New Roman" w:hAnsi="Times New Roman" w:cs="Times New Roman"/>
          <w:b/>
          <w:color w:val="auto"/>
          <w:sz w:val="28"/>
          <w:lang w:val="en-GB"/>
        </w:rPr>
      </w:pPr>
      <w:bookmarkStart w:id="0" w:name="_Hlk55412201"/>
      <w:r w:rsidRPr="00387DA0">
        <w:rPr>
          <w:rFonts w:ascii="Times New Roman" w:hAnsi="Times New Roman" w:cs="Times New Roman"/>
          <w:b/>
          <w:color w:val="auto"/>
          <w:sz w:val="28"/>
          <w:lang w:val="en-GB"/>
        </w:rPr>
        <w:t>Extended Data</w:t>
      </w:r>
    </w:p>
    <w:p w14:paraId="66590CAB" w14:textId="77777777" w:rsidR="004D6DC6" w:rsidRDefault="004D6DC6" w:rsidP="004D6DC6">
      <w:pPr>
        <w:jc w:val="both"/>
        <w:rPr>
          <w:rFonts w:ascii="Times New Roman" w:hAnsi="Times New Roman" w:cs="Times New Roman"/>
          <w:sz w:val="20"/>
          <w:szCs w:val="24"/>
          <w:lang w:val="en-GB"/>
        </w:rPr>
      </w:pPr>
      <w:r>
        <w:rPr>
          <w:rFonts w:ascii="Times New Roman" w:hAnsi="Times New Roman" w:cs="Times New Roman"/>
          <w:b/>
          <w:bCs/>
          <w:noProof/>
          <w:sz w:val="24"/>
          <w:szCs w:val="24"/>
          <w:lang w:eastAsia="de-DE"/>
        </w:rPr>
        <w:drawing>
          <wp:inline distT="0" distB="0" distL="0" distR="0" wp14:anchorId="3BC86BAE" wp14:editId="12D7C143">
            <wp:extent cx="5762625" cy="2705100"/>
            <wp:effectExtent l="0" t="0" r="9525"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2625" cy="2705100"/>
                    </a:xfrm>
                    <a:prstGeom prst="rect">
                      <a:avLst/>
                    </a:prstGeom>
                    <a:noFill/>
                    <a:ln>
                      <a:noFill/>
                    </a:ln>
                  </pic:spPr>
                </pic:pic>
              </a:graphicData>
            </a:graphic>
          </wp:inline>
        </w:drawing>
      </w:r>
      <w:r>
        <w:rPr>
          <w:rFonts w:ascii="Times New Roman" w:hAnsi="Times New Roman" w:cs="Times New Roman"/>
          <w:b/>
          <w:bCs/>
          <w:sz w:val="24"/>
          <w:szCs w:val="24"/>
          <w:lang w:val="en-GB"/>
        </w:rPr>
        <w:t xml:space="preserve"> </w:t>
      </w:r>
      <w:r w:rsidRPr="004A3F95">
        <w:rPr>
          <w:rFonts w:ascii="Times New Roman" w:hAnsi="Times New Roman" w:cs="Times New Roman"/>
          <w:b/>
          <w:bCs/>
          <w:sz w:val="20"/>
          <w:szCs w:val="24"/>
          <w:lang w:val="en-GB"/>
        </w:rPr>
        <w:t>Extended Data Fig. 1. Gene extension algorithm scheme of gene- and marker-based haplotype calculations.</w:t>
      </w:r>
      <w:r w:rsidRPr="004A3F95">
        <w:rPr>
          <w:rFonts w:ascii="Times New Roman" w:hAnsi="Times New Roman" w:cs="Times New Roman"/>
          <w:sz w:val="20"/>
          <w:szCs w:val="24"/>
          <w:lang w:val="en-GB"/>
        </w:rPr>
        <w:t xml:space="preserve"> The raw SNP based allele frequency (2</w:t>
      </w:r>
      <w:r w:rsidRPr="004A3F95">
        <w:rPr>
          <w:rFonts w:ascii="Times New Roman" w:hAnsi="Times New Roman" w:cs="Times New Roman"/>
          <w:sz w:val="20"/>
          <w:szCs w:val="24"/>
          <w:vertAlign w:val="superscript"/>
          <w:lang w:val="en-GB"/>
        </w:rPr>
        <w:t>nd</w:t>
      </w:r>
      <w:r w:rsidRPr="004A3F95">
        <w:rPr>
          <w:rFonts w:ascii="Times New Roman" w:hAnsi="Times New Roman" w:cs="Times New Roman"/>
          <w:sz w:val="20"/>
          <w:szCs w:val="24"/>
          <w:lang w:val="en-GB"/>
        </w:rPr>
        <w:t xml:space="preserve"> row; “Raw Frequency”) for identified SNPs (1</w:t>
      </w:r>
      <w:r w:rsidRPr="004A3F95">
        <w:rPr>
          <w:rFonts w:ascii="Times New Roman" w:hAnsi="Times New Roman" w:cs="Times New Roman"/>
          <w:sz w:val="20"/>
          <w:szCs w:val="24"/>
          <w:vertAlign w:val="superscript"/>
          <w:lang w:val="en-GB"/>
        </w:rPr>
        <w:t>st</w:t>
      </w:r>
      <w:r w:rsidRPr="004A3F95">
        <w:rPr>
          <w:rFonts w:ascii="Times New Roman" w:hAnsi="Times New Roman" w:cs="Times New Roman"/>
          <w:sz w:val="20"/>
          <w:szCs w:val="24"/>
          <w:lang w:val="en-GB"/>
        </w:rPr>
        <w:t xml:space="preserve"> row) are identified at a given read depth (3</w:t>
      </w:r>
      <w:r w:rsidRPr="004A3F95">
        <w:rPr>
          <w:rFonts w:ascii="Times New Roman" w:hAnsi="Times New Roman" w:cs="Times New Roman"/>
          <w:sz w:val="20"/>
          <w:szCs w:val="24"/>
          <w:vertAlign w:val="superscript"/>
          <w:lang w:val="en-GB"/>
        </w:rPr>
        <w:t>rd</w:t>
      </w:r>
      <w:r w:rsidRPr="004A3F95">
        <w:rPr>
          <w:rFonts w:ascii="Times New Roman" w:hAnsi="Times New Roman" w:cs="Times New Roman"/>
          <w:sz w:val="20"/>
          <w:szCs w:val="24"/>
          <w:lang w:val="en-GB"/>
        </w:rPr>
        <w:t xml:space="preserve"> row; “Read depth”). Annotated genes (4</w:t>
      </w:r>
      <w:r w:rsidRPr="004A3F95">
        <w:rPr>
          <w:rFonts w:ascii="Times New Roman" w:hAnsi="Times New Roman" w:cs="Times New Roman"/>
          <w:sz w:val="20"/>
          <w:szCs w:val="24"/>
          <w:vertAlign w:val="superscript"/>
          <w:lang w:val="en-GB"/>
        </w:rPr>
        <w:t>th</w:t>
      </w:r>
      <w:r w:rsidRPr="004A3F95">
        <w:rPr>
          <w:rFonts w:ascii="Times New Roman" w:hAnsi="Times New Roman" w:cs="Times New Roman"/>
          <w:sz w:val="20"/>
          <w:szCs w:val="24"/>
          <w:lang w:val="en-GB"/>
        </w:rPr>
        <w:t xml:space="preserve"> row; “Genes”) and markers (6</w:t>
      </w:r>
      <w:r w:rsidRPr="004A3F95">
        <w:rPr>
          <w:rFonts w:ascii="Times New Roman" w:hAnsi="Times New Roman" w:cs="Times New Roman"/>
          <w:sz w:val="20"/>
          <w:szCs w:val="24"/>
          <w:vertAlign w:val="superscript"/>
          <w:lang w:val="en-GB"/>
        </w:rPr>
        <w:t>th</w:t>
      </w:r>
      <w:r w:rsidRPr="004A3F95">
        <w:rPr>
          <w:rFonts w:ascii="Times New Roman" w:hAnsi="Times New Roman" w:cs="Times New Roman"/>
          <w:sz w:val="20"/>
          <w:szCs w:val="24"/>
          <w:lang w:val="en-GB"/>
        </w:rPr>
        <w:t xml:space="preserve"> row; “Markers”) are extended in size up- and downstream (“Genes extended”; “Marker extended”) to associate SNPs in the particular region to the genes / markers. By the extension, more SNPs can be annotated to a gene / marker than without (dashed lines and arrows below the 3</w:t>
      </w:r>
      <w:r w:rsidRPr="004A3F95">
        <w:rPr>
          <w:rFonts w:ascii="Times New Roman" w:hAnsi="Times New Roman" w:cs="Times New Roman"/>
          <w:sz w:val="20"/>
          <w:szCs w:val="24"/>
          <w:vertAlign w:val="superscript"/>
          <w:lang w:val="en-GB"/>
        </w:rPr>
        <w:t>rd</w:t>
      </w:r>
      <w:r w:rsidRPr="004A3F95">
        <w:rPr>
          <w:rFonts w:ascii="Times New Roman" w:hAnsi="Times New Roman" w:cs="Times New Roman"/>
          <w:sz w:val="20"/>
          <w:szCs w:val="24"/>
          <w:lang w:val="en-GB"/>
        </w:rPr>
        <w:t xml:space="preserve"> row indicate relationships). Reported frequency in the last two rows of markers and genes are the calculated haplotype frequency for the wild donor parent in the population. The marker and gene-based haplotype calculation is illustrated in the methods section. The figure should only illustrate the model of SNP information aggregation and does not contain real data.</w:t>
      </w:r>
    </w:p>
    <w:p w14:paraId="0147F489" w14:textId="77777777" w:rsidR="004D6DC6" w:rsidRDefault="004D6DC6" w:rsidP="004D6DC6">
      <w:pPr>
        <w:spacing w:after="0" w:line="240" w:lineRule="auto"/>
        <w:rPr>
          <w:rFonts w:ascii="Times New Roman" w:hAnsi="Times New Roman" w:cs="Times New Roman"/>
          <w:sz w:val="20"/>
          <w:szCs w:val="24"/>
          <w:lang w:val="en-GB"/>
        </w:rPr>
      </w:pPr>
      <w:r>
        <w:rPr>
          <w:rFonts w:ascii="Times New Roman" w:hAnsi="Times New Roman" w:cs="Times New Roman"/>
          <w:sz w:val="20"/>
          <w:szCs w:val="24"/>
          <w:lang w:val="en-GB"/>
        </w:rPr>
        <w:br w:type="page"/>
      </w:r>
    </w:p>
    <w:p w14:paraId="407CDB46" w14:textId="77777777" w:rsidR="004D6DC6" w:rsidRDefault="004D6DC6" w:rsidP="004D6DC6">
      <w:pPr>
        <w:jc w:val="both"/>
        <w:rPr>
          <w:rFonts w:ascii="Times New Roman" w:hAnsi="Times New Roman" w:cs="Times New Roman"/>
          <w:sz w:val="20"/>
          <w:szCs w:val="24"/>
          <w:lang w:val="en-GB"/>
        </w:rPr>
      </w:pPr>
    </w:p>
    <w:p w14:paraId="10F4EC6B" w14:textId="77777777" w:rsidR="004D6DC6" w:rsidRPr="00387DA0" w:rsidRDefault="004D6DC6" w:rsidP="004D6DC6">
      <w:pPr>
        <w:jc w:val="both"/>
        <w:rPr>
          <w:rFonts w:ascii="Times New Roman" w:hAnsi="Times New Roman" w:cs="Times New Roman"/>
          <w:sz w:val="20"/>
          <w:szCs w:val="24"/>
          <w:lang w:val="en-GB"/>
        </w:rPr>
      </w:pPr>
      <w:r>
        <w:rPr>
          <w:rFonts w:ascii="Times New Roman" w:hAnsi="Times New Roman" w:cs="Times New Roman"/>
          <w:noProof/>
          <w:sz w:val="20"/>
          <w:szCs w:val="24"/>
          <w:lang w:eastAsia="de-DE"/>
        </w:rPr>
        <w:drawing>
          <wp:inline distT="0" distB="0" distL="0" distR="0" wp14:anchorId="7A1DF304" wp14:editId="6A00CBD3">
            <wp:extent cx="5759253" cy="4414880"/>
            <wp:effectExtent l="0" t="0" r="0" b="508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10071" b="13271"/>
                    <a:stretch/>
                  </pic:blipFill>
                  <pic:spPr bwMode="auto">
                    <a:xfrm>
                      <a:off x="0" y="0"/>
                      <a:ext cx="5759450" cy="4415031"/>
                    </a:xfrm>
                    <a:prstGeom prst="rect">
                      <a:avLst/>
                    </a:prstGeom>
                    <a:noFill/>
                    <a:ln>
                      <a:noFill/>
                    </a:ln>
                    <a:extLst>
                      <a:ext uri="{53640926-AAD7-44D8-BBD7-CCE9431645EC}">
                        <a14:shadowObscured xmlns:a14="http://schemas.microsoft.com/office/drawing/2010/main"/>
                      </a:ext>
                    </a:extLst>
                  </pic:spPr>
                </pic:pic>
              </a:graphicData>
            </a:graphic>
          </wp:inline>
        </w:drawing>
      </w:r>
    </w:p>
    <w:p w14:paraId="1F1E779A" w14:textId="77777777" w:rsidR="004D6DC6" w:rsidRPr="00387DA0" w:rsidRDefault="004D6DC6" w:rsidP="004D6DC6">
      <w:pPr>
        <w:jc w:val="both"/>
        <w:rPr>
          <w:rFonts w:ascii="Times New Roman" w:hAnsi="Times New Roman" w:cs="Times New Roman"/>
          <w:sz w:val="20"/>
          <w:szCs w:val="24"/>
          <w:lang w:val="en-GB"/>
        </w:rPr>
      </w:pPr>
      <w:r>
        <w:rPr>
          <w:rFonts w:ascii="Times New Roman" w:hAnsi="Times New Roman" w:cs="Times New Roman"/>
          <w:b/>
          <w:bCs/>
          <w:sz w:val="20"/>
          <w:szCs w:val="24"/>
          <w:lang w:val="en-GB"/>
        </w:rPr>
        <w:t xml:space="preserve"> </w:t>
      </w:r>
      <w:r w:rsidRPr="00387DA0">
        <w:rPr>
          <w:rFonts w:ascii="Times New Roman" w:hAnsi="Times New Roman" w:cs="Times New Roman"/>
          <w:b/>
          <w:bCs/>
          <w:sz w:val="20"/>
          <w:szCs w:val="24"/>
          <w:lang w:val="en-GB"/>
        </w:rPr>
        <w:t xml:space="preserve">Extended Data Fig. 2. Genetic distance of all pooled samples. </w:t>
      </w:r>
      <w:r w:rsidRPr="00387DA0">
        <w:rPr>
          <w:rFonts w:ascii="Times New Roman" w:hAnsi="Times New Roman" w:cs="Times New Roman"/>
          <w:iCs/>
          <w:sz w:val="20"/>
          <w:szCs w:val="24"/>
          <w:lang w:val="en-GB"/>
        </w:rPr>
        <w:t>The dendrogram illustrates the relation of test samples to one another. The name of the samples is constructed by the</w:t>
      </w:r>
      <w:r>
        <w:rPr>
          <w:rFonts w:ascii="Times New Roman" w:hAnsi="Times New Roman" w:cs="Times New Roman"/>
          <w:iCs/>
          <w:sz w:val="20"/>
          <w:szCs w:val="24"/>
          <w:lang w:val="en-GB"/>
        </w:rPr>
        <w:t xml:space="preserve"> </w:t>
      </w:r>
      <w:r w:rsidRPr="00387DA0">
        <w:rPr>
          <w:rFonts w:ascii="Times New Roman" w:hAnsi="Times New Roman" w:cs="Times New Roman"/>
          <w:iCs/>
          <w:sz w:val="20"/>
          <w:szCs w:val="24"/>
          <w:lang w:val="en-GB"/>
        </w:rPr>
        <w:t>generation (F</w:t>
      </w:r>
      <w:r w:rsidRPr="00387DA0">
        <w:rPr>
          <w:rFonts w:ascii="Times New Roman" w:hAnsi="Times New Roman" w:cs="Times New Roman"/>
          <w:iCs/>
          <w:sz w:val="20"/>
          <w:szCs w:val="24"/>
          <w:vertAlign w:val="subscript"/>
          <w:lang w:val="en-GB"/>
        </w:rPr>
        <w:t>3/12/16/22/23</w:t>
      </w:r>
      <w:r w:rsidRPr="00387DA0">
        <w:rPr>
          <w:rFonts w:ascii="Times New Roman" w:hAnsi="Times New Roman" w:cs="Times New Roman"/>
          <w:iCs/>
          <w:sz w:val="20"/>
          <w:szCs w:val="24"/>
          <w:lang w:val="en-GB"/>
        </w:rPr>
        <w:t xml:space="preserve">), environment (k – conventional; o – organic), sample (1 / 2). </w:t>
      </w:r>
      <w:r>
        <w:rPr>
          <w:rFonts w:ascii="Times New Roman" w:hAnsi="Times New Roman" w:cs="Times New Roman"/>
          <w:iCs/>
          <w:sz w:val="20"/>
          <w:szCs w:val="24"/>
          <w:lang w:val="en-GB"/>
        </w:rPr>
        <w:t>Each node is surrounded by three numbers – the grey number specifies the cluster rank; the red indicates the approximately unbiased (au) calculated p-value, while the green number indicates the bootstrap probability (bp) value. As closer the value is towards 100, as more valid the cluster. On a cut-off level of 15,000, f</w:t>
      </w:r>
      <w:r w:rsidRPr="00387DA0">
        <w:rPr>
          <w:rFonts w:ascii="Times New Roman" w:hAnsi="Times New Roman" w:cs="Times New Roman"/>
          <w:iCs/>
          <w:sz w:val="20"/>
          <w:szCs w:val="24"/>
          <w:lang w:val="en-GB"/>
        </w:rPr>
        <w:t>our clusters can be identified: the initial F</w:t>
      </w:r>
      <w:r w:rsidRPr="00387DA0">
        <w:rPr>
          <w:rFonts w:ascii="Times New Roman" w:hAnsi="Times New Roman" w:cs="Times New Roman"/>
          <w:iCs/>
          <w:sz w:val="20"/>
          <w:szCs w:val="24"/>
          <w:vertAlign w:val="subscript"/>
          <w:lang w:val="en-GB"/>
        </w:rPr>
        <w:t>3</w:t>
      </w:r>
      <w:r w:rsidRPr="00387DA0">
        <w:rPr>
          <w:rFonts w:ascii="Times New Roman" w:hAnsi="Times New Roman" w:cs="Times New Roman"/>
          <w:iCs/>
          <w:sz w:val="20"/>
          <w:szCs w:val="24"/>
          <w:lang w:val="en-GB"/>
        </w:rPr>
        <w:t>, as well as the early (F</w:t>
      </w:r>
      <w:r w:rsidRPr="00387DA0">
        <w:rPr>
          <w:rFonts w:ascii="Times New Roman" w:hAnsi="Times New Roman" w:cs="Times New Roman"/>
          <w:iCs/>
          <w:sz w:val="20"/>
          <w:szCs w:val="24"/>
          <w:vertAlign w:val="subscript"/>
          <w:lang w:val="en-GB"/>
        </w:rPr>
        <w:t>12</w:t>
      </w:r>
      <w:r w:rsidRPr="00387DA0">
        <w:rPr>
          <w:rFonts w:ascii="Times New Roman" w:hAnsi="Times New Roman" w:cs="Times New Roman"/>
          <w:iCs/>
          <w:sz w:val="20"/>
          <w:szCs w:val="24"/>
          <w:lang w:val="en-GB"/>
        </w:rPr>
        <w:t>, F</w:t>
      </w:r>
      <w:r w:rsidRPr="00387DA0">
        <w:rPr>
          <w:rFonts w:ascii="Times New Roman" w:hAnsi="Times New Roman" w:cs="Times New Roman"/>
          <w:iCs/>
          <w:sz w:val="20"/>
          <w:szCs w:val="24"/>
          <w:vertAlign w:val="subscript"/>
          <w:lang w:val="en-GB"/>
        </w:rPr>
        <w:t>16</w:t>
      </w:r>
      <w:r w:rsidRPr="00387DA0">
        <w:rPr>
          <w:rFonts w:ascii="Times New Roman" w:hAnsi="Times New Roman" w:cs="Times New Roman"/>
          <w:iCs/>
          <w:sz w:val="20"/>
          <w:szCs w:val="24"/>
          <w:lang w:val="en-GB"/>
        </w:rPr>
        <w:t>) and the late (F</w:t>
      </w:r>
      <w:r w:rsidRPr="00387DA0">
        <w:rPr>
          <w:rFonts w:ascii="Times New Roman" w:hAnsi="Times New Roman" w:cs="Times New Roman"/>
          <w:iCs/>
          <w:sz w:val="20"/>
          <w:szCs w:val="24"/>
          <w:vertAlign w:val="subscript"/>
          <w:lang w:val="en-GB"/>
        </w:rPr>
        <w:t>22</w:t>
      </w:r>
      <w:r w:rsidRPr="00387DA0">
        <w:rPr>
          <w:rFonts w:ascii="Times New Roman" w:hAnsi="Times New Roman" w:cs="Times New Roman"/>
          <w:iCs/>
          <w:sz w:val="20"/>
          <w:szCs w:val="24"/>
          <w:lang w:val="en-GB"/>
        </w:rPr>
        <w:t>, F</w:t>
      </w:r>
      <w:r w:rsidRPr="00387DA0">
        <w:rPr>
          <w:rFonts w:ascii="Times New Roman" w:hAnsi="Times New Roman" w:cs="Times New Roman"/>
          <w:iCs/>
          <w:sz w:val="20"/>
          <w:szCs w:val="24"/>
          <w:vertAlign w:val="subscript"/>
          <w:lang w:val="en-GB"/>
        </w:rPr>
        <w:t>23</w:t>
      </w:r>
      <w:r w:rsidRPr="00387DA0">
        <w:rPr>
          <w:rFonts w:ascii="Times New Roman" w:hAnsi="Times New Roman" w:cs="Times New Roman"/>
          <w:iCs/>
          <w:sz w:val="20"/>
          <w:szCs w:val="24"/>
          <w:lang w:val="en-GB"/>
        </w:rPr>
        <w:t>) organic populations and finally, the conventional populations with all samples in one cluster.</w:t>
      </w:r>
    </w:p>
    <w:p w14:paraId="6EDF014B" w14:textId="77777777" w:rsidR="004D6DC6" w:rsidRPr="00387DA0" w:rsidRDefault="004D6DC6" w:rsidP="004D6DC6">
      <w:pPr>
        <w:rPr>
          <w:lang w:val="en-GB"/>
        </w:rPr>
      </w:pPr>
    </w:p>
    <w:p w14:paraId="7C419CD8" w14:textId="77777777" w:rsidR="004D6DC6" w:rsidRPr="00387DA0" w:rsidRDefault="004D6DC6" w:rsidP="004D6DC6">
      <w:pPr>
        <w:jc w:val="both"/>
        <w:rPr>
          <w:rFonts w:ascii="Times New Roman" w:hAnsi="Times New Roman" w:cs="Times New Roman"/>
          <w:sz w:val="24"/>
          <w:szCs w:val="24"/>
          <w:lang w:val="en-GB"/>
        </w:rPr>
      </w:pPr>
      <w:r w:rsidRPr="00387DA0">
        <w:rPr>
          <w:noProof/>
          <w:lang w:eastAsia="de-DE"/>
        </w:rPr>
        <w:lastRenderedPageBreak/>
        <w:drawing>
          <wp:anchor distT="0" distB="0" distL="114300" distR="114300" simplePos="0" relativeHeight="251659264" behindDoc="0" locked="0" layoutInCell="1" allowOverlap="1" wp14:anchorId="3B9842BB" wp14:editId="5B44DB0C">
            <wp:simplePos x="0" y="0"/>
            <wp:positionH relativeFrom="margin">
              <wp:align>center</wp:align>
            </wp:positionH>
            <wp:positionV relativeFrom="paragraph">
              <wp:posOffset>2313</wp:posOffset>
            </wp:positionV>
            <wp:extent cx="5760720" cy="2828290"/>
            <wp:effectExtent l="0" t="0" r="0" b="0"/>
            <wp:wrapTopAndBottom/>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2828290"/>
                    </a:xfrm>
                    <a:prstGeom prst="rect">
                      <a:avLst/>
                    </a:prstGeom>
                  </pic:spPr>
                </pic:pic>
              </a:graphicData>
            </a:graphic>
          </wp:anchor>
        </w:drawing>
      </w:r>
      <w:r w:rsidRPr="00387DA0">
        <w:rPr>
          <w:rFonts w:ascii="Times New Roman" w:hAnsi="Times New Roman" w:cs="Times New Roman"/>
          <w:b/>
          <w:bCs/>
          <w:iCs/>
          <w:sz w:val="24"/>
          <w:szCs w:val="24"/>
          <w:lang w:val="en-GB"/>
        </w:rPr>
        <w:t xml:space="preserve"> </w:t>
      </w:r>
      <w:r w:rsidRPr="00387DA0">
        <w:rPr>
          <w:rFonts w:ascii="Times New Roman" w:hAnsi="Times New Roman" w:cs="Times New Roman"/>
          <w:b/>
          <w:bCs/>
          <w:iCs/>
          <w:sz w:val="20"/>
          <w:szCs w:val="24"/>
          <w:lang w:val="en-GB"/>
        </w:rPr>
        <w:t xml:space="preserve">Extended Data Fig. 3. Principal component clustering of all tested generations (including F3). </w:t>
      </w:r>
      <w:r w:rsidRPr="00387DA0">
        <w:rPr>
          <w:rFonts w:ascii="Times New Roman" w:hAnsi="Times New Roman" w:cs="Times New Roman"/>
          <w:sz w:val="20"/>
          <w:szCs w:val="24"/>
          <w:lang w:val="en-GB"/>
        </w:rPr>
        <w:t>PCA of the 3</w:t>
      </w:r>
      <w:r w:rsidRPr="00387DA0">
        <w:rPr>
          <w:rFonts w:ascii="Times New Roman" w:hAnsi="Times New Roman" w:cs="Times New Roman"/>
          <w:sz w:val="20"/>
          <w:szCs w:val="24"/>
          <w:vertAlign w:val="superscript"/>
          <w:lang w:val="en-GB"/>
        </w:rPr>
        <w:t>rd</w:t>
      </w:r>
      <w:r w:rsidRPr="00387DA0">
        <w:rPr>
          <w:rFonts w:ascii="Times New Roman" w:hAnsi="Times New Roman" w:cs="Times New Roman"/>
          <w:sz w:val="20"/>
          <w:szCs w:val="24"/>
          <w:lang w:val="en-GB"/>
        </w:rPr>
        <w:t>, 12</w:t>
      </w:r>
      <w:r w:rsidRPr="00387DA0">
        <w:rPr>
          <w:rFonts w:ascii="Times New Roman" w:hAnsi="Times New Roman" w:cs="Times New Roman"/>
          <w:sz w:val="20"/>
          <w:szCs w:val="24"/>
          <w:vertAlign w:val="superscript"/>
          <w:lang w:val="en-GB"/>
        </w:rPr>
        <w:t>th</w:t>
      </w:r>
      <w:r w:rsidRPr="00387DA0">
        <w:rPr>
          <w:rFonts w:ascii="Times New Roman" w:hAnsi="Times New Roman" w:cs="Times New Roman"/>
          <w:sz w:val="20"/>
          <w:szCs w:val="24"/>
          <w:lang w:val="en-GB"/>
        </w:rPr>
        <w:t>, 16</w:t>
      </w:r>
      <w:r w:rsidRPr="00387DA0">
        <w:rPr>
          <w:rFonts w:ascii="Times New Roman" w:hAnsi="Times New Roman" w:cs="Times New Roman"/>
          <w:sz w:val="20"/>
          <w:szCs w:val="24"/>
          <w:vertAlign w:val="superscript"/>
          <w:lang w:val="en-GB"/>
        </w:rPr>
        <w:t>th</w:t>
      </w:r>
      <w:r w:rsidRPr="00387DA0">
        <w:rPr>
          <w:rFonts w:ascii="Times New Roman" w:hAnsi="Times New Roman" w:cs="Times New Roman"/>
          <w:sz w:val="20"/>
          <w:szCs w:val="24"/>
          <w:lang w:val="en-GB"/>
        </w:rPr>
        <w:t>, 22</w:t>
      </w:r>
      <w:r w:rsidRPr="00387DA0">
        <w:rPr>
          <w:rFonts w:ascii="Times New Roman" w:hAnsi="Times New Roman" w:cs="Times New Roman"/>
          <w:sz w:val="20"/>
          <w:szCs w:val="24"/>
          <w:vertAlign w:val="superscript"/>
          <w:lang w:val="en-GB"/>
        </w:rPr>
        <w:t>nd</w:t>
      </w:r>
      <w:r w:rsidRPr="00387DA0">
        <w:rPr>
          <w:rFonts w:ascii="Times New Roman" w:hAnsi="Times New Roman" w:cs="Times New Roman"/>
          <w:sz w:val="20"/>
          <w:szCs w:val="24"/>
          <w:lang w:val="en-GB"/>
        </w:rPr>
        <w:t xml:space="preserve"> and 23</w:t>
      </w:r>
      <w:r w:rsidRPr="00387DA0">
        <w:rPr>
          <w:rFonts w:ascii="Times New Roman" w:hAnsi="Times New Roman" w:cs="Times New Roman"/>
          <w:sz w:val="20"/>
          <w:szCs w:val="24"/>
          <w:vertAlign w:val="superscript"/>
          <w:lang w:val="en-GB"/>
        </w:rPr>
        <w:t>rd</w:t>
      </w:r>
      <w:r w:rsidRPr="00387DA0">
        <w:rPr>
          <w:rFonts w:ascii="Times New Roman" w:hAnsi="Times New Roman" w:cs="Times New Roman"/>
          <w:sz w:val="20"/>
          <w:szCs w:val="24"/>
          <w:lang w:val="en-GB"/>
        </w:rPr>
        <w:t xml:space="preserve"> generations with both samples per population (replication), split by shapes for the systems (</w:t>
      </w:r>
      <w:r w:rsidRPr="00387DA0">
        <w:rPr>
          <w:rFonts w:ascii="Times New Roman" w:hAnsi="Times New Roman" w:cs="Times New Roman"/>
          <w:b/>
          <w:bCs/>
          <w:sz w:val="20"/>
          <w:szCs w:val="24"/>
          <w:lang w:val="en-GB"/>
        </w:rPr>
        <w:t>A</w:t>
      </w:r>
      <w:r w:rsidRPr="00387DA0">
        <w:rPr>
          <w:rFonts w:ascii="Times New Roman" w:hAnsi="Times New Roman" w:cs="Times New Roman"/>
          <w:sz w:val="20"/>
          <w:szCs w:val="24"/>
          <w:lang w:val="en-GB"/>
        </w:rPr>
        <w:t>). The explanatory effect of the principal components is illustrated in (</w:t>
      </w:r>
      <w:r w:rsidRPr="00387DA0">
        <w:rPr>
          <w:rFonts w:ascii="Times New Roman" w:hAnsi="Times New Roman" w:cs="Times New Roman"/>
          <w:b/>
          <w:bCs/>
          <w:sz w:val="20"/>
          <w:szCs w:val="24"/>
          <w:lang w:val="en-GB"/>
        </w:rPr>
        <w:t>B</w:t>
      </w:r>
      <w:r w:rsidRPr="00387DA0">
        <w:rPr>
          <w:rFonts w:ascii="Times New Roman" w:hAnsi="Times New Roman" w:cs="Times New Roman"/>
          <w:sz w:val="20"/>
          <w:szCs w:val="24"/>
          <w:lang w:val="en-GB"/>
        </w:rPr>
        <w:t>), where the first PC explains both the year and the system impact, while the second PC highlights the system (environment) effect and the third PC the year effect. The replications had no effect on the clustering of the samples. (</w:t>
      </w:r>
      <w:r w:rsidRPr="00387DA0">
        <w:rPr>
          <w:rFonts w:ascii="Times New Roman" w:hAnsi="Times New Roman" w:cs="Times New Roman"/>
          <w:b/>
          <w:bCs/>
          <w:sz w:val="20"/>
          <w:szCs w:val="24"/>
          <w:lang w:val="en-GB"/>
        </w:rPr>
        <w:t>A</w:t>
      </w:r>
      <w:r w:rsidRPr="00387DA0">
        <w:rPr>
          <w:rFonts w:ascii="Times New Roman" w:hAnsi="Times New Roman" w:cs="Times New Roman"/>
          <w:sz w:val="20"/>
          <w:szCs w:val="24"/>
          <w:lang w:val="en-GB"/>
        </w:rPr>
        <w:t xml:space="preserve">) The majority of variation is explained by the first PC (42.73%), while the second PC explains 28.63% and the third PC 4.1%. </w:t>
      </w:r>
      <w:r>
        <w:rPr>
          <w:rFonts w:ascii="Times New Roman" w:hAnsi="Times New Roman" w:cs="Times New Roman"/>
          <w:sz w:val="20"/>
          <w:szCs w:val="24"/>
          <w:lang w:val="en-GB"/>
        </w:rPr>
        <w:t xml:space="preserve"> The distance from the 3rd to 12th generation is the biggest in both farming systems, which indicates the greatest changes of the allele frequency in early generations.</w:t>
      </w:r>
    </w:p>
    <w:p w14:paraId="7C2AFB62" w14:textId="77777777" w:rsidR="004D6DC6" w:rsidRPr="00387DA0" w:rsidRDefault="004D6DC6" w:rsidP="004D6DC6">
      <w:pPr>
        <w:rPr>
          <w:rFonts w:ascii="Times New Roman" w:hAnsi="Times New Roman" w:cs="Times New Roman"/>
          <w:iCs/>
          <w:sz w:val="24"/>
          <w:szCs w:val="24"/>
          <w:lang w:val="en-GB"/>
        </w:rPr>
      </w:pPr>
      <w:r w:rsidRPr="00387DA0">
        <w:rPr>
          <w:noProof/>
          <w:lang w:eastAsia="de-DE"/>
        </w:rPr>
        <w:lastRenderedPageBreak/>
        <w:drawing>
          <wp:inline distT="0" distB="0" distL="0" distR="0" wp14:anchorId="7B943066" wp14:editId="7F11BF79">
            <wp:extent cx="5760720" cy="5760720"/>
            <wp:effectExtent l="0" t="0" r="0" b="0"/>
            <wp:docPr id="27" name="Picture 2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scatt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sidRPr="00387DA0">
        <w:rPr>
          <w:rFonts w:ascii="Times New Roman" w:hAnsi="Times New Roman" w:cs="Times New Roman"/>
          <w:b/>
          <w:bCs/>
          <w:sz w:val="24"/>
          <w:szCs w:val="24"/>
          <w:lang w:val="en-GB"/>
        </w:rPr>
        <w:t xml:space="preserve"> </w:t>
      </w:r>
      <w:r w:rsidRPr="00387DA0">
        <w:rPr>
          <w:rFonts w:ascii="Times New Roman" w:hAnsi="Times New Roman" w:cs="Times New Roman"/>
          <w:b/>
          <w:bCs/>
          <w:sz w:val="20"/>
          <w:szCs w:val="24"/>
          <w:lang w:val="en-GB"/>
        </w:rPr>
        <w:t>Extended Data Fig. 4. The principal component output of the root morphology assessment in a hydroponic (A) and a field-based environment (B).</w:t>
      </w:r>
      <w:r w:rsidRPr="00387DA0">
        <w:rPr>
          <w:rFonts w:ascii="Times New Roman" w:hAnsi="Times New Roman" w:cs="Times New Roman"/>
          <w:iCs/>
          <w:sz w:val="20"/>
          <w:szCs w:val="24"/>
          <w:lang w:val="en-GB"/>
        </w:rPr>
        <w:t xml:space="preserve"> The first two components are plotted, with the first PC on the </w:t>
      </w:r>
      <w:r w:rsidRPr="00387DA0">
        <w:rPr>
          <w:rFonts w:ascii="Times New Roman" w:hAnsi="Times New Roman" w:cs="Times New Roman"/>
          <w:i/>
          <w:iCs/>
          <w:sz w:val="20"/>
          <w:szCs w:val="24"/>
          <w:lang w:val="en-GB"/>
        </w:rPr>
        <w:t>x</w:t>
      </w:r>
      <w:r w:rsidRPr="00387DA0">
        <w:rPr>
          <w:rFonts w:ascii="Times New Roman" w:hAnsi="Times New Roman" w:cs="Times New Roman"/>
          <w:iCs/>
          <w:sz w:val="20"/>
          <w:szCs w:val="24"/>
          <w:lang w:val="en-GB"/>
        </w:rPr>
        <w:t xml:space="preserve">-axis and the second PC on the </w:t>
      </w:r>
      <w:r w:rsidRPr="00387DA0">
        <w:rPr>
          <w:rFonts w:ascii="Times New Roman" w:hAnsi="Times New Roman" w:cs="Times New Roman"/>
          <w:i/>
          <w:iCs/>
          <w:sz w:val="20"/>
          <w:szCs w:val="24"/>
          <w:lang w:val="en-GB"/>
        </w:rPr>
        <w:t>y</w:t>
      </w:r>
      <w:r w:rsidRPr="00387DA0">
        <w:rPr>
          <w:rFonts w:ascii="Times New Roman" w:hAnsi="Times New Roman" w:cs="Times New Roman"/>
          <w:iCs/>
          <w:sz w:val="20"/>
          <w:szCs w:val="24"/>
          <w:lang w:val="en-GB"/>
        </w:rPr>
        <w:t>-axis. The colours differentiate the conventional (magenta) and organic (purple) systems, and the wild donor (ISR 42-8, turquoise) from the cultivar (Golf, green). Each point represents an individual genotype. In (</w:t>
      </w:r>
      <w:r w:rsidRPr="00387DA0">
        <w:rPr>
          <w:rFonts w:ascii="Times New Roman" w:hAnsi="Times New Roman" w:cs="Times New Roman"/>
          <w:i/>
          <w:iCs/>
          <w:sz w:val="20"/>
          <w:szCs w:val="24"/>
          <w:lang w:val="en-GB"/>
        </w:rPr>
        <w:t>A</w:t>
      </w:r>
      <w:r w:rsidRPr="00387DA0">
        <w:rPr>
          <w:rFonts w:ascii="Times New Roman" w:hAnsi="Times New Roman" w:cs="Times New Roman"/>
          <w:iCs/>
          <w:sz w:val="20"/>
          <w:szCs w:val="24"/>
          <w:lang w:val="en-GB"/>
        </w:rPr>
        <w:t>), 150 genotypes were tested from the organic and conventional systems, while 100 genotypes each were tested in (</w:t>
      </w:r>
      <w:r w:rsidRPr="00387DA0">
        <w:rPr>
          <w:rFonts w:ascii="Times New Roman" w:hAnsi="Times New Roman" w:cs="Times New Roman"/>
          <w:i/>
          <w:iCs/>
          <w:sz w:val="20"/>
          <w:szCs w:val="24"/>
          <w:lang w:val="en-GB"/>
        </w:rPr>
        <w:t>B</w:t>
      </w:r>
      <w:r w:rsidRPr="00387DA0">
        <w:rPr>
          <w:rFonts w:ascii="Times New Roman" w:hAnsi="Times New Roman" w:cs="Times New Roman"/>
          <w:iCs/>
          <w:sz w:val="20"/>
          <w:szCs w:val="24"/>
          <w:lang w:val="en-GB"/>
        </w:rPr>
        <w:t>). Dashed ellipses are plotted based on the points if the sample size was sufficient. Both experiments illustrate higher genetic variance in the organic system as compared to the conventional system.</w:t>
      </w:r>
    </w:p>
    <w:p w14:paraId="17FAD49E" w14:textId="77777777" w:rsidR="004D6DC6" w:rsidRPr="00387DA0" w:rsidRDefault="004D6DC6" w:rsidP="004D6DC6">
      <w:pPr>
        <w:rPr>
          <w:rFonts w:ascii="Times New Roman" w:hAnsi="Times New Roman" w:cs="Times New Roman"/>
          <w:i/>
          <w:iCs/>
          <w:sz w:val="20"/>
          <w:szCs w:val="20"/>
          <w:lang w:val="en-GB"/>
        </w:rPr>
      </w:pPr>
      <w:bookmarkStart w:id="1" w:name="_Hlk54768612"/>
      <w:r w:rsidRPr="00387DA0">
        <w:rPr>
          <w:rFonts w:ascii="Times New Roman" w:hAnsi="Times New Roman" w:cs="Times New Roman"/>
          <w:i/>
          <w:iCs/>
          <w:noProof/>
          <w:sz w:val="20"/>
          <w:szCs w:val="20"/>
          <w:lang w:eastAsia="de-DE"/>
        </w:rPr>
        <w:lastRenderedPageBreak/>
        <w:drawing>
          <wp:anchor distT="0" distB="0" distL="114300" distR="114300" simplePos="0" relativeHeight="251660288" behindDoc="0" locked="0" layoutInCell="1" allowOverlap="1" wp14:anchorId="66EB8010" wp14:editId="739CD06F">
            <wp:simplePos x="0" y="0"/>
            <wp:positionH relativeFrom="margin">
              <wp:align>center</wp:align>
            </wp:positionH>
            <wp:positionV relativeFrom="paragraph">
              <wp:posOffset>3241</wp:posOffset>
            </wp:positionV>
            <wp:extent cx="5760720" cy="2880360"/>
            <wp:effectExtent l="0" t="0" r="0" b="0"/>
            <wp:wrapTopAndBottom/>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anchor>
        </w:drawing>
      </w:r>
      <w:r w:rsidRPr="00387DA0">
        <w:rPr>
          <w:rFonts w:ascii="Times New Roman" w:hAnsi="Times New Roman" w:cs="Times New Roman"/>
          <w:b/>
          <w:bCs/>
          <w:sz w:val="20"/>
          <w:szCs w:val="20"/>
          <w:lang w:val="en-GB"/>
        </w:rPr>
        <w:t xml:space="preserve">Extended Data Fig. 5: Genome wide wild type allele frequency on a physical map. </w:t>
      </w:r>
      <w:r w:rsidRPr="00387DA0">
        <w:rPr>
          <w:rFonts w:ascii="Times New Roman" w:hAnsi="Times New Roman" w:cs="Times New Roman"/>
          <w:iCs/>
          <w:sz w:val="20"/>
          <w:szCs w:val="20"/>
          <w:lang w:val="en-GB"/>
        </w:rPr>
        <w:t>The left part of the plot represents the conventional system, where each subplot corresponds to one generation. (</w:t>
      </w:r>
      <w:r w:rsidRPr="00387DA0">
        <w:rPr>
          <w:rFonts w:ascii="Times New Roman" w:hAnsi="Times New Roman" w:cs="Times New Roman"/>
          <w:b/>
          <w:bCs/>
          <w:iCs/>
          <w:sz w:val="20"/>
          <w:szCs w:val="20"/>
          <w:lang w:val="en-GB"/>
        </w:rPr>
        <w:t>A</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3</w:t>
      </w:r>
      <w:r w:rsidRPr="00387DA0">
        <w:rPr>
          <w:rFonts w:ascii="Times New Roman" w:hAnsi="Times New Roman" w:cs="Times New Roman"/>
          <w:iCs/>
          <w:sz w:val="20"/>
          <w:szCs w:val="20"/>
          <w:lang w:val="en-GB"/>
        </w:rPr>
        <w:t>;</w:t>
      </w:r>
      <w:r w:rsidRPr="00387DA0">
        <w:rPr>
          <w:rFonts w:ascii="Times New Roman" w:hAnsi="Times New Roman" w:cs="Times New Roman"/>
          <w:b/>
          <w:bCs/>
          <w:iCs/>
          <w:sz w:val="20"/>
          <w:szCs w:val="20"/>
          <w:lang w:val="en-GB"/>
        </w:rPr>
        <w:t xml:space="preserve"> </w:t>
      </w:r>
      <w:r w:rsidRPr="00387DA0">
        <w:rPr>
          <w:rFonts w:ascii="Times New Roman" w:hAnsi="Times New Roman" w:cs="Times New Roman"/>
          <w:bCs/>
          <w:iCs/>
          <w:sz w:val="20"/>
          <w:szCs w:val="20"/>
          <w:lang w:val="en-GB"/>
        </w:rPr>
        <w:t>(</w:t>
      </w:r>
      <w:r w:rsidRPr="00387DA0">
        <w:rPr>
          <w:rFonts w:ascii="Times New Roman" w:hAnsi="Times New Roman" w:cs="Times New Roman"/>
          <w:b/>
          <w:bCs/>
          <w:iCs/>
          <w:sz w:val="20"/>
          <w:szCs w:val="20"/>
          <w:lang w:val="en-GB"/>
        </w:rPr>
        <w:t>B</w:t>
      </w:r>
      <w:r w:rsidRPr="00387DA0">
        <w:rPr>
          <w:rFonts w:ascii="Times New Roman" w:hAnsi="Times New Roman" w:cs="Times New Roman"/>
          <w:bCs/>
          <w:iCs/>
          <w:sz w:val="20"/>
          <w:szCs w:val="20"/>
          <w:lang w:val="en-GB"/>
        </w:rPr>
        <w:t>)</w:t>
      </w:r>
      <w:r w:rsidRPr="00387DA0">
        <w:rPr>
          <w:rFonts w:ascii="Times New Roman" w:hAnsi="Times New Roman" w:cs="Times New Roman"/>
          <w:b/>
          <w:bCs/>
          <w:iCs/>
          <w:sz w:val="20"/>
          <w:szCs w:val="20"/>
          <w:lang w:val="en-GB"/>
        </w:rPr>
        <w:t xml:space="preserve"> </w:t>
      </w:r>
      <w:r w:rsidRPr="00387DA0">
        <w:rPr>
          <w:rFonts w:ascii="Times New Roman" w:hAnsi="Times New Roman" w:cs="Times New Roman"/>
          <w:iCs/>
          <w:sz w:val="20"/>
          <w:szCs w:val="20"/>
          <w:lang w:val="en-GB"/>
        </w:rPr>
        <w:t>F</w:t>
      </w:r>
      <w:r w:rsidRPr="00387DA0">
        <w:rPr>
          <w:rFonts w:ascii="Times New Roman" w:hAnsi="Times New Roman" w:cs="Times New Roman"/>
          <w:iCs/>
          <w:sz w:val="20"/>
          <w:szCs w:val="20"/>
          <w:vertAlign w:val="subscript"/>
          <w:lang w:val="en-GB"/>
        </w:rPr>
        <w:t>12</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C</w:t>
      </w:r>
      <w:r w:rsidRPr="00387DA0">
        <w:rPr>
          <w:rFonts w:ascii="Times New Roman" w:hAnsi="Times New Roman" w:cs="Times New Roman"/>
          <w:bCs/>
          <w:iCs/>
          <w:sz w:val="20"/>
          <w:szCs w:val="20"/>
          <w:lang w:val="en-GB"/>
        </w:rPr>
        <w:t>)</w:t>
      </w:r>
      <w:r w:rsidRPr="00387DA0">
        <w:rPr>
          <w:rFonts w:ascii="Times New Roman" w:hAnsi="Times New Roman" w:cs="Times New Roman"/>
          <w:b/>
          <w:bCs/>
          <w:iCs/>
          <w:sz w:val="20"/>
          <w:szCs w:val="20"/>
          <w:lang w:val="en-GB"/>
        </w:rPr>
        <w:t xml:space="preserve"> </w:t>
      </w:r>
      <w:r w:rsidRPr="00387DA0">
        <w:rPr>
          <w:rFonts w:ascii="Times New Roman" w:hAnsi="Times New Roman" w:cs="Times New Roman"/>
          <w:iCs/>
          <w:sz w:val="20"/>
          <w:szCs w:val="20"/>
          <w:lang w:val="en-GB"/>
        </w:rPr>
        <w:t>F</w:t>
      </w:r>
      <w:r w:rsidRPr="00387DA0">
        <w:rPr>
          <w:rFonts w:ascii="Times New Roman" w:hAnsi="Times New Roman" w:cs="Times New Roman"/>
          <w:iCs/>
          <w:sz w:val="20"/>
          <w:szCs w:val="20"/>
          <w:vertAlign w:val="subscript"/>
          <w:lang w:val="en-GB"/>
        </w:rPr>
        <w:t>16</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D</w:t>
      </w:r>
      <w:r w:rsidRPr="00387DA0">
        <w:rPr>
          <w:rFonts w:ascii="Times New Roman" w:hAnsi="Times New Roman" w:cs="Times New Roman"/>
          <w:bCs/>
          <w:iCs/>
          <w:sz w:val="20"/>
          <w:szCs w:val="20"/>
          <w:lang w:val="en-GB"/>
        </w:rPr>
        <w:t>)</w:t>
      </w:r>
      <w:r w:rsidRPr="00387DA0">
        <w:rPr>
          <w:rFonts w:ascii="Times New Roman" w:hAnsi="Times New Roman" w:cs="Times New Roman"/>
          <w:b/>
          <w:bCs/>
          <w:iCs/>
          <w:sz w:val="20"/>
          <w:szCs w:val="20"/>
          <w:lang w:val="en-GB"/>
        </w:rPr>
        <w:t xml:space="preserve"> </w:t>
      </w:r>
      <w:r w:rsidRPr="00387DA0">
        <w:rPr>
          <w:rFonts w:ascii="Times New Roman" w:hAnsi="Times New Roman" w:cs="Times New Roman"/>
          <w:iCs/>
          <w:sz w:val="20"/>
          <w:szCs w:val="20"/>
          <w:lang w:val="en-GB"/>
        </w:rPr>
        <w:t>F</w:t>
      </w:r>
      <w:r w:rsidRPr="00387DA0">
        <w:rPr>
          <w:rFonts w:ascii="Times New Roman" w:hAnsi="Times New Roman" w:cs="Times New Roman"/>
          <w:iCs/>
          <w:sz w:val="20"/>
          <w:szCs w:val="20"/>
          <w:vertAlign w:val="subscript"/>
          <w:lang w:val="en-GB"/>
        </w:rPr>
        <w:t>22</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E</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23</w:t>
      </w:r>
      <w:r w:rsidRPr="00387DA0">
        <w:rPr>
          <w:rFonts w:ascii="Times New Roman" w:hAnsi="Times New Roman" w:cs="Times New Roman"/>
          <w:iCs/>
          <w:sz w:val="20"/>
          <w:szCs w:val="20"/>
          <w:lang w:val="en-GB"/>
        </w:rPr>
        <w:t>. Analogous to this, the right part illustrates the generations evolved in the organic system. (</w:t>
      </w:r>
      <w:r w:rsidRPr="00387DA0">
        <w:rPr>
          <w:rFonts w:ascii="Times New Roman" w:hAnsi="Times New Roman" w:cs="Times New Roman"/>
          <w:b/>
          <w:bCs/>
          <w:iCs/>
          <w:sz w:val="20"/>
          <w:szCs w:val="20"/>
          <w:lang w:val="en-GB"/>
        </w:rPr>
        <w:t>F</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3</w:t>
      </w:r>
      <w:r w:rsidRPr="00387DA0">
        <w:rPr>
          <w:rFonts w:ascii="Times New Roman" w:hAnsi="Times New Roman" w:cs="Times New Roman"/>
          <w:iCs/>
          <w:sz w:val="20"/>
          <w:szCs w:val="20"/>
          <w:lang w:val="en-GB"/>
        </w:rPr>
        <w:t>;</w:t>
      </w:r>
      <w:r w:rsidRPr="00387DA0">
        <w:rPr>
          <w:rFonts w:ascii="Times New Roman" w:hAnsi="Times New Roman" w:cs="Times New Roman"/>
          <w:b/>
          <w:bCs/>
          <w:iCs/>
          <w:sz w:val="20"/>
          <w:szCs w:val="20"/>
          <w:lang w:val="en-GB"/>
        </w:rPr>
        <w:t xml:space="preserve"> </w:t>
      </w:r>
      <w:r w:rsidRPr="00387DA0">
        <w:rPr>
          <w:rFonts w:ascii="Times New Roman" w:hAnsi="Times New Roman" w:cs="Times New Roman"/>
          <w:bCs/>
          <w:iCs/>
          <w:sz w:val="20"/>
          <w:szCs w:val="20"/>
          <w:lang w:val="en-GB"/>
        </w:rPr>
        <w:t>(</w:t>
      </w:r>
      <w:r w:rsidRPr="00387DA0">
        <w:rPr>
          <w:rFonts w:ascii="Times New Roman" w:hAnsi="Times New Roman" w:cs="Times New Roman"/>
          <w:b/>
          <w:bCs/>
          <w:iCs/>
          <w:sz w:val="20"/>
          <w:szCs w:val="20"/>
          <w:lang w:val="en-GB"/>
        </w:rPr>
        <w:t>G</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12</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H</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16</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I</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22</w:t>
      </w:r>
      <w:r w:rsidRPr="00387DA0">
        <w:rPr>
          <w:rFonts w:ascii="Times New Roman" w:hAnsi="Times New Roman" w:cs="Times New Roman"/>
          <w:iCs/>
          <w:sz w:val="20"/>
          <w:szCs w:val="20"/>
          <w:lang w:val="en-GB"/>
        </w:rPr>
        <w:t>; (</w:t>
      </w:r>
      <w:r w:rsidRPr="00387DA0">
        <w:rPr>
          <w:rFonts w:ascii="Times New Roman" w:hAnsi="Times New Roman" w:cs="Times New Roman"/>
          <w:b/>
          <w:bCs/>
          <w:iCs/>
          <w:sz w:val="20"/>
          <w:szCs w:val="20"/>
          <w:lang w:val="en-GB"/>
        </w:rPr>
        <w:t>J</w:t>
      </w:r>
      <w:r w:rsidRPr="00387DA0">
        <w:rPr>
          <w:rFonts w:ascii="Times New Roman" w:hAnsi="Times New Roman" w:cs="Times New Roman"/>
          <w:bCs/>
          <w:iCs/>
          <w:sz w:val="20"/>
          <w:szCs w:val="20"/>
          <w:lang w:val="en-GB"/>
        </w:rPr>
        <w:t>)</w:t>
      </w:r>
      <w:r w:rsidRPr="00387DA0">
        <w:rPr>
          <w:rFonts w:ascii="Times New Roman" w:hAnsi="Times New Roman" w:cs="Times New Roman"/>
          <w:iCs/>
          <w:sz w:val="20"/>
          <w:szCs w:val="20"/>
          <w:lang w:val="en-GB"/>
        </w:rPr>
        <w:t xml:space="preserve"> F</w:t>
      </w:r>
      <w:r w:rsidRPr="00387DA0">
        <w:rPr>
          <w:rFonts w:ascii="Times New Roman" w:hAnsi="Times New Roman" w:cs="Times New Roman"/>
          <w:iCs/>
          <w:sz w:val="20"/>
          <w:szCs w:val="20"/>
          <w:vertAlign w:val="subscript"/>
          <w:lang w:val="en-GB"/>
        </w:rPr>
        <w:t>23</w:t>
      </w:r>
      <w:r w:rsidRPr="00387DA0">
        <w:rPr>
          <w:rFonts w:ascii="Times New Roman" w:hAnsi="Times New Roman" w:cs="Times New Roman"/>
          <w:iCs/>
          <w:sz w:val="20"/>
          <w:szCs w:val="20"/>
          <w:lang w:val="en-GB"/>
        </w:rPr>
        <w:t>. Both samples per generation and environment were merged in one dataset. The wild type allele frequency of the (</w:t>
      </w:r>
      <w:r w:rsidRPr="00387DA0">
        <w:rPr>
          <w:rFonts w:ascii="Times New Roman" w:hAnsi="Times New Roman" w:cs="Times New Roman"/>
          <w:i/>
          <w:iCs/>
          <w:sz w:val="20"/>
          <w:szCs w:val="20"/>
          <w:lang w:val="en-GB"/>
        </w:rPr>
        <w:t>y</w:t>
      </w:r>
      <w:r w:rsidRPr="00387DA0">
        <w:rPr>
          <w:rFonts w:ascii="Times New Roman" w:hAnsi="Times New Roman" w:cs="Times New Roman"/>
          <w:iCs/>
          <w:sz w:val="20"/>
          <w:szCs w:val="20"/>
          <w:lang w:val="en-GB"/>
        </w:rPr>
        <w:t xml:space="preserve">-axis) haplotypes is shown on the physical map, where each of seven barley chromosomes is indicated by different </w:t>
      </w:r>
      <w:proofErr w:type="spellStart"/>
      <w:r w:rsidRPr="00387DA0">
        <w:rPr>
          <w:rFonts w:ascii="Times New Roman" w:hAnsi="Times New Roman" w:cs="Times New Roman"/>
          <w:iCs/>
          <w:sz w:val="20"/>
          <w:szCs w:val="20"/>
          <w:lang w:val="en-GB"/>
        </w:rPr>
        <w:t>colors</w:t>
      </w:r>
      <w:proofErr w:type="spellEnd"/>
      <w:r w:rsidRPr="00387DA0">
        <w:rPr>
          <w:rFonts w:ascii="Times New Roman" w:hAnsi="Times New Roman" w:cs="Times New Roman"/>
          <w:iCs/>
          <w:sz w:val="20"/>
          <w:szCs w:val="20"/>
          <w:lang w:val="en-GB"/>
        </w:rPr>
        <w:t xml:space="preserve"> (</w:t>
      </w:r>
      <w:r w:rsidRPr="00387DA0">
        <w:rPr>
          <w:rFonts w:ascii="Times New Roman" w:hAnsi="Times New Roman" w:cs="Times New Roman"/>
          <w:i/>
          <w:iCs/>
          <w:sz w:val="20"/>
          <w:szCs w:val="20"/>
          <w:lang w:val="en-GB"/>
        </w:rPr>
        <w:t>x</w:t>
      </w:r>
      <w:r w:rsidRPr="00387DA0">
        <w:rPr>
          <w:rFonts w:ascii="Times New Roman" w:hAnsi="Times New Roman" w:cs="Times New Roman"/>
          <w:iCs/>
          <w:sz w:val="20"/>
          <w:szCs w:val="20"/>
          <w:lang w:val="en-GB"/>
        </w:rPr>
        <w:t>-axis).</w:t>
      </w:r>
    </w:p>
    <w:bookmarkEnd w:id="1"/>
    <w:p w14:paraId="0CBB682D" w14:textId="77777777" w:rsidR="004D6DC6" w:rsidRPr="00387DA0" w:rsidRDefault="004D6DC6" w:rsidP="004D6DC6">
      <w:pPr>
        <w:rPr>
          <w:lang w:val="en-GB"/>
        </w:rPr>
      </w:pPr>
    </w:p>
    <w:p w14:paraId="0C98315C" w14:textId="77777777" w:rsidR="004D6DC6" w:rsidRPr="00387DA0" w:rsidRDefault="004D6DC6" w:rsidP="004D6DC6">
      <w:pPr>
        <w:pStyle w:val="SOMContent"/>
        <w:rPr>
          <w:sz w:val="20"/>
          <w:lang w:val="en-GB"/>
        </w:rPr>
      </w:pPr>
      <w:r w:rsidRPr="00387DA0">
        <w:rPr>
          <w:b/>
          <w:sz w:val="20"/>
          <w:lang w:val="en-GB"/>
        </w:rPr>
        <w:t>Extended Data Fig. 6</w:t>
      </w:r>
      <w:r w:rsidRPr="00387DA0">
        <w:rPr>
          <w:sz w:val="20"/>
          <w:lang w:val="en-GB"/>
        </w:rPr>
        <w:t>. Allele frequency visualization of specified regions on gene level for all sequenced generations, comparing the conventional and the organic system to each other. Additionally, a table with the gene name and potential function are presented for all genes present in the selected region.</w:t>
      </w:r>
    </w:p>
    <w:p w14:paraId="45AA53F0" w14:textId="77777777" w:rsidR="004D6DC6" w:rsidRPr="00387DA0" w:rsidRDefault="004D6DC6" w:rsidP="004D6DC6">
      <w:pPr>
        <w:pStyle w:val="Teaser"/>
        <w:jc w:val="center"/>
        <w:rPr>
          <w:iCs/>
          <w:lang w:val="en-GB"/>
        </w:rPr>
      </w:pPr>
      <w:r w:rsidRPr="00387DA0">
        <w:rPr>
          <w:sz w:val="20"/>
          <w:lang w:val="en-GB"/>
        </w:rPr>
        <w:t>[</w:t>
      </w:r>
      <w:hyperlink r:id="rId9" w:tgtFrame="_blank" w:history="1">
        <w:r w:rsidRPr="00387DA0">
          <w:rPr>
            <w:rStyle w:val="Hyperlink"/>
            <w:i/>
            <w:iCs/>
            <w:sz w:val="20"/>
            <w:lang w:val="en-GB"/>
          </w:rPr>
          <w:t>https://michaelschneiderrun.shinyapps.io/allelefreqvariation/</w:t>
        </w:r>
      </w:hyperlink>
      <w:r w:rsidRPr="00387DA0">
        <w:rPr>
          <w:sz w:val="20"/>
          <w:lang w:val="en-GB"/>
        </w:rPr>
        <w:t>]</w:t>
      </w:r>
    </w:p>
    <w:p w14:paraId="3262FCE6" w14:textId="77777777" w:rsidR="004D6DC6" w:rsidRPr="00387DA0" w:rsidRDefault="004D6DC6" w:rsidP="004D6DC6">
      <w:pPr>
        <w:spacing w:after="0" w:line="240" w:lineRule="auto"/>
        <w:rPr>
          <w:rFonts w:ascii="Times New Roman" w:hAnsi="Times New Roman" w:cs="Times New Roman"/>
          <w:b/>
          <w:bCs/>
          <w:sz w:val="20"/>
          <w:szCs w:val="20"/>
          <w:lang w:val="en-GB"/>
        </w:rPr>
      </w:pPr>
      <w:r w:rsidRPr="00387DA0">
        <w:rPr>
          <w:rFonts w:ascii="Times New Roman" w:hAnsi="Times New Roman" w:cs="Times New Roman"/>
          <w:b/>
          <w:bCs/>
          <w:sz w:val="20"/>
          <w:szCs w:val="20"/>
          <w:lang w:val="en-GB"/>
        </w:rPr>
        <w:br w:type="page"/>
      </w:r>
      <w:bookmarkStart w:id="2" w:name="_Hlk54768496"/>
      <w:bookmarkStart w:id="3" w:name="_Hlk53471858"/>
    </w:p>
    <w:p w14:paraId="1A8CCDD0" w14:textId="77777777" w:rsidR="004D6DC6" w:rsidRPr="00387DA0" w:rsidRDefault="004D6DC6" w:rsidP="004D6DC6">
      <w:pPr>
        <w:jc w:val="both"/>
        <w:rPr>
          <w:rFonts w:ascii="Times New Roman" w:hAnsi="Times New Roman" w:cs="Times New Roman"/>
          <w:b/>
          <w:sz w:val="24"/>
          <w:szCs w:val="24"/>
          <w:lang w:val="en-GB"/>
        </w:rPr>
      </w:pPr>
      <w:r w:rsidRPr="00387DA0">
        <w:rPr>
          <w:rFonts w:ascii="Times New Roman" w:hAnsi="Times New Roman" w:cs="Times New Roman"/>
          <w:b/>
          <w:noProof/>
          <w:sz w:val="24"/>
          <w:szCs w:val="24"/>
          <w:lang w:eastAsia="de-DE"/>
        </w:rPr>
        <w:lastRenderedPageBreak/>
        <w:drawing>
          <wp:inline distT="0" distB="0" distL="0" distR="0" wp14:anchorId="61F51E5E" wp14:editId="139AF9A8">
            <wp:extent cx="5339715" cy="9074785"/>
            <wp:effectExtent l="0" t="0" r="0" b="0"/>
            <wp:docPr id="10" name="Picture 10"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imelin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9715" cy="9074785"/>
                    </a:xfrm>
                    <a:prstGeom prst="rect">
                      <a:avLst/>
                    </a:prstGeom>
                    <a:noFill/>
                    <a:ln>
                      <a:noFill/>
                    </a:ln>
                  </pic:spPr>
                </pic:pic>
              </a:graphicData>
            </a:graphic>
          </wp:inline>
        </w:drawing>
      </w:r>
    </w:p>
    <w:p w14:paraId="26C05844" w14:textId="77777777" w:rsidR="004D6DC6" w:rsidRPr="00387DA0" w:rsidRDefault="004D6DC6" w:rsidP="004D6DC6">
      <w:pPr>
        <w:jc w:val="both"/>
        <w:rPr>
          <w:rFonts w:ascii="Times New Roman" w:hAnsi="Times New Roman" w:cs="Times New Roman"/>
          <w:iCs/>
          <w:sz w:val="20"/>
          <w:szCs w:val="24"/>
          <w:lang w:val="en-GB"/>
        </w:rPr>
      </w:pPr>
      <w:r w:rsidRPr="00387DA0">
        <w:rPr>
          <w:rFonts w:ascii="Times New Roman" w:hAnsi="Times New Roman" w:cs="Times New Roman"/>
          <w:b/>
          <w:sz w:val="24"/>
          <w:szCs w:val="24"/>
          <w:lang w:val="en-GB"/>
        </w:rPr>
        <w:lastRenderedPageBreak/>
        <w:t xml:space="preserve"> </w:t>
      </w:r>
      <w:r w:rsidRPr="00387DA0">
        <w:rPr>
          <w:rFonts w:ascii="Times New Roman" w:hAnsi="Times New Roman" w:cs="Times New Roman"/>
          <w:b/>
          <w:sz w:val="20"/>
          <w:szCs w:val="24"/>
          <w:lang w:val="en-GB"/>
        </w:rPr>
        <w:t>E</w:t>
      </w:r>
      <w:r w:rsidRPr="00387DA0">
        <w:rPr>
          <w:rFonts w:ascii="Times New Roman" w:hAnsi="Times New Roman" w:cs="Times New Roman"/>
          <w:b/>
          <w:bCs/>
          <w:sz w:val="20"/>
          <w:szCs w:val="24"/>
          <w:lang w:val="en-GB"/>
        </w:rPr>
        <w:t>xtended Data Fig. 7. The pericentromeric region around the brittleness loci brt1 and brt2 for each generation of the tested populations.</w:t>
      </w:r>
      <w:r w:rsidRPr="00387DA0">
        <w:rPr>
          <w:rFonts w:ascii="Times New Roman" w:hAnsi="Times New Roman" w:cs="Times New Roman"/>
          <w:iCs/>
          <w:sz w:val="20"/>
          <w:szCs w:val="24"/>
          <w:lang w:val="en-GB"/>
        </w:rPr>
        <w:t xml:space="preserve"> The wild type gene-haplotype based allele frequency is plotted on the </w:t>
      </w:r>
      <w:r w:rsidRPr="00387DA0">
        <w:rPr>
          <w:rFonts w:ascii="Times New Roman" w:hAnsi="Times New Roman" w:cs="Times New Roman"/>
          <w:i/>
          <w:iCs/>
          <w:sz w:val="20"/>
          <w:szCs w:val="24"/>
          <w:lang w:val="en-GB"/>
        </w:rPr>
        <w:t>y</w:t>
      </w:r>
      <w:r w:rsidRPr="00387DA0">
        <w:rPr>
          <w:rFonts w:ascii="Times New Roman" w:hAnsi="Times New Roman" w:cs="Times New Roman"/>
          <w:iCs/>
          <w:sz w:val="20"/>
          <w:szCs w:val="24"/>
          <w:lang w:val="en-GB"/>
        </w:rPr>
        <w:t>-axis against the physical position on chromosome 3H (</w:t>
      </w:r>
      <w:r w:rsidRPr="00387DA0">
        <w:rPr>
          <w:rFonts w:ascii="Times New Roman" w:hAnsi="Times New Roman" w:cs="Times New Roman"/>
          <w:i/>
          <w:iCs/>
          <w:sz w:val="20"/>
          <w:szCs w:val="24"/>
          <w:lang w:val="en-GB"/>
        </w:rPr>
        <w:t>x</w:t>
      </w:r>
      <w:r w:rsidRPr="00387DA0">
        <w:rPr>
          <w:rFonts w:ascii="Times New Roman" w:hAnsi="Times New Roman" w:cs="Times New Roman"/>
          <w:iCs/>
          <w:sz w:val="20"/>
          <w:szCs w:val="24"/>
          <w:lang w:val="en-GB"/>
        </w:rPr>
        <w:t>-axis). The blue line is the allele frequency in the organic system, while the yellow line indicates the allele frequency in the conventional system. The dot in the respective colour presents the gene-based haplotype on the particular physical position with the given allele frequency. The generation plotted is given above the subfigure (F3 to F23). Positive selection of 3 to 4 distinct regions in the organic system</w:t>
      </w:r>
      <w:r>
        <w:rPr>
          <w:rFonts w:ascii="Times New Roman" w:hAnsi="Times New Roman" w:cs="Times New Roman"/>
          <w:iCs/>
          <w:sz w:val="20"/>
          <w:szCs w:val="24"/>
          <w:lang w:val="en-GB"/>
        </w:rPr>
        <w:t xml:space="preserve"> are observed.</w:t>
      </w:r>
      <w:r w:rsidRPr="00387DA0">
        <w:rPr>
          <w:rFonts w:ascii="Times New Roman" w:hAnsi="Times New Roman" w:cs="Times New Roman"/>
          <w:iCs/>
          <w:sz w:val="20"/>
          <w:szCs w:val="24"/>
          <w:lang w:val="en-GB"/>
        </w:rPr>
        <w:t xml:space="preserve">  </w:t>
      </w:r>
      <w:r>
        <w:rPr>
          <w:rFonts w:ascii="Times New Roman" w:hAnsi="Times New Roman" w:cs="Times New Roman"/>
          <w:iCs/>
          <w:sz w:val="20"/>
          <w:szCs w:val="24"/>
          <w:lang w:val="en-GB"/>
        </w:rPr>
        <w:t>T</w:t>
      </w:r>
      <w:r w:rsidRPr="00387DA0">
        <w:rPr>
          <w:rFonts w:ascii="Times New Roman" w:hAnsi="Times New Roman" w:cs="Times New Roman"/>
          <w:iCs/>
          <w:sz w:val="20"/>
          <w:szCs w:val="24"/>
          <w:lang w:val="en-GB"/>
        </w:rPr>
        <w:t xml:space="preserve">he </w:t>
      </w:r>
      <w:proofErr w:type="spellStart"/>
      <w:r>
        <w:rPr>
          <w:rFonts w:ascii="Times New Roman" w:hAnsi="Times New Roman" w:cs="Times New Roman"/>
          <w:iCs/>
          <w:sz w:val="20"/>
          <w:szCs w:val="24"/>
          <w:lang w:val="en-GB"/>
        </w:rPr>
        <w:t>wtAF</w:t>
      </w:r>
      <w:proofErr w:type="spellEnd"/>
      <w:r>
        <w:rPr>
          <w:rFonts w:ascii="Times New Roman" w:hAnsi="Times New Roman" w:cs="Times New Roman"/>
          <w:iCs/>
          <w:sz w:val="20"/>
          <w:szCs w:val="24"/>
          <w:lang w:val="en-GB"/>
        </w:rPr>
        <w:t xml:space="preserve"> of </w:t>
      </w:r>
      <w:r w:rsidRPr="00387DA0">
        <w:rPr>
          <w:rFonts w:ascii="Times New Roman" w:hAnsi="Times New Roman" w:cs="Times New Roman"/>
          <w:iCs/>
          <w:sz w:val="20"/>
          <w:szCs w:val="24"/>
          <w:lang w:val="en-GB"/>
        </w:rPr>
        <w:t xml:space="preserve">brt1 and brt2 loci were </w:t>
      </w:r>
      <w:r>
        <w:rPr>
          <w:rFonts w:ascii="Times New Roman" w:hAnsi="Times New Roman" w:cs="Times New Roman"/>
          <w:iCs/>
          <w:sz w:val="20"/>
          <w:szCs w:val="24"/>
          <w:lang w:val="en-GB"/>
        </w:rPr>
        <w:t xml:space="preserve">negatively </w:t>
      </w:r>
      <w:r w:rsidRPr="00387DA0">
        <w:rPr>
          <w:rFonts w:ascii="Times New Roman" w:hAnsi="Times New Roman" w:cs="Times New Roman"/>
          <w:iCs/>
          <w:sz w:val="20"/>
          <w:szCs w:val="24"/>
          <w:lang w:val="en-GB"/>
        </w:rPr>
        <w:t xml:space="preserve">selected. The conventional system only shows evidence for </w:t>
      </w:r>
      <w:r>
        <w:rPr>
          <w:rFonts w:ascii="Times New Roman" w:hAnsi="Times New Roman" w:cs="Times New Roman"/>
          <w:iCs/>
          <w:sz w:val="20"/>
          <w:szCs w:val="24"/>
          <w:lang w:val="en-GB"/>
        </w:rPr>
        <w:t xml:space="preserve">WT alleles negative </w:t>
      </w:r>
      <w:r w:rsidRPr="00387DA0">
        <w:rPr>
          <w:rFonts w:ascii="Times New Roman" w:hAnsi="Times New Roman" w:cs="Times New Roman"/>
          <w:iCs/>
          <w:sz w:val="20"/>
          <w:szCs w:val="24"/>
          <w:lang w:val="en-GB"/>
        </w:rPr>
        <w:t>selection.</w:t>
      </w:r>
    </w:p>
    <w:p w14:paraId="3C06E8EB" w14:textId="77777777" w:rsidR="004D6DC6" w:rsidRPr="00387DA0" w:rsidRDefault="004D6DC6" w:rsidP="004D6DC6">
      <w:pPr>
        <w:jc w:val="both"/>
        <w:rPr>
          <w:rFonts w:ascii="Times New Roman" w:hAnsi="Times New Roman" w:cs="Times New Roman"/>
          <w:iCs/>
          <w:sz w:val="20"/>
          <w:szCs w:val="24"/>
          <w:lang w:val="en-GB"/>
        </w:rPr>
      </w:pPr>
      <w:bookmarkStart w:id="4" w:name="_Hlk54768806"/>
      <w:bookmarkEnd w:id="2"/>
      <w:bookmarkEnd w:id="3"/>
      <w:r w:rsidRPr="00387DA0">
        <w:rPr>
          <w:rFonts w:ascii="Times New Roman" w:hAnsi="Times New Roman" w:cs="Times New Roman"/>
          <w:noProof/>
          <w:sz w:val="24"/>
          <w:szCs w:val="24"/>
          <w:lang w:eastAsia="de-DE"/>
        </w:rPr>
        <w:lastRenderedPageBreak/>
        <w:drawing>
          <wp:inline distT="0" distB="0" distL="0" distR="0" wp14:anchorId="3B685F06" wp14:editId="2E123D7A">
            <wp:extent cx="5760720" cy="8640479"/>
            <wp:effectExtent l="0" t="0" r="0" b="8255"/>
            <wp:docPr id="14" name="Picture 16" descr="Let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6" descr="Letter&#10;&#10;Description automatically generated with low confidence"/>
                    <pic:cNvPicPr>
                      <a:picLocks noChangeAspect="1" noChangeArrowheads="1"/>
                    </pic:cNvPicPr>
                  </pic:nvPicPr>
                  <pic:blipFill>
                    <a:blip r:embed="rId11" cstate="print"/>
                    <a:stretch>
                      <a:fillRect/>
                    </a:stretch>
                  </pic:blipFill>
                  <pic:spPr bwMode="auto">
                    <a:xfrm>
                      <a:off x="0" y="0"/>
                      <a:ext cx="5760720" cy="8640479"/>
                    </a:xfrm>
                    <a:prstGeom prst="rect">
                      <a:avLst/>
                    </a:prstGeom>
                  </pic:spPr>
                </pic:pic>
              </a:graphicData>
            </a:graphic>
          </wp:inline>
        </w:drawing>
      </w:r>
      <w:r w:rsidRPr="00387DA0">
        <w:rPr>
          <w:rFonts w:ascii="Times New Roman" w:hAnsi="Times New Roman" w:cs="Times New Roman"/>
          <w:b/>
          <w:bCs/>
          <w:sz w:val="24"/>
          <w:szCs w:val="24"/>
          <w:lang w:val="en-GB"/>
        </w:rPr>
        <w:t xml:space="preserve"> </w:t>
      </w:r>
      <w:r w:rsidRPr="00387DA0">
        <w:rPr>
          <w:rFonts w:ascii="Times New Roman" w:hAnsi="Times New Roman" w:cs="Times New Roman"/>
          <w:b/>
          <w:bCs/>
          <w:sz w:val="20"/>
          <w:szCs w:val="24"/>
          <w:lang w:val="en-GB"/>
        </w:rPr>
        <w:t>Extended Data Fig. 8. Barley evapotranspiration calculated for each day of the vegetation period from the sawing to harvest date</w:t>
      </w:r>
      <w:r w:rsidRPr="00387DA0">
        <w:rPr>
          <w:rFonts w:ascii="Times New Roman" w:hAnsi="Times New Roman" w:cs="Times New Roman"/>
          <w:sz w:val="20"/>
          <w:szCs w:val="24"/>
          <w:lang w:val="en-GB"/>
        </w:rPr>
        <w:t xml:space="preserve">. </w:t>
      </w:r>
      <w:r w:rsidRPr="00387DA0">
        <w:rPr>
          <w:rFonts w:ascii="Times New Roman" w:hAnsi="Times New Roman" w:cs="Times New Roman"/>
          <w:iCs/>
          <w:sz w:val="20"/>
          <w:szCs w:val="24"/>
          <w:lang w:val="en-GB"/>
        </w:rPr>
        <w:t xml:space="preserve">Facetted by years, the evapotranspiration in </w:t>
      </w:r>
      <w:r>
        <w:rPr>
          <w:rFonts w:ascii="Times New Roman" w:hAnsi="Times New Roman" w:cs="Times New Roman"/>
          <w:iCs/>
          <w:sz w:val="20"/>
          <w:szCs w:val="24"/>
          <w:lang w:val="en-GB"/>
        </w:rPr>
        <w:t>l/m²</w:t>
      </w:r>
      <w:r w:rsidRPr="00387DA0">
        <w:rPr>
          <w:rFonts w:ascii="Times New Roman" w:hAnsi="Times New Roman" w:cs="Times New Roman"/>
          <w:iCs/>
          <w:sz w:val="20"/>
          <w:szCs w:val="24"/>
          <w:lang w:val="en-GB"/>
        </w:rPr>
        <w:t xml:space="preserve"> (</w:t>
      </w:r>
      <w:r w:rsidRPr="00387DA0">
        <w:rPr>
          <w:rFonts w:ascii="Times New Roman" w:hAnsi="Times New Roman" w:cs="Times New Roman"/>
          <w:i/>
          <w:iCs/>
          <w:sz w:val="20"/>
          <w:szCs w:val="24"/>
          <w:lang w:val="en-GB"/>
        </w:rPr>
        <w:t>y</w:t>
      </w:r>
      <w:r w:rsidRPr="00387DA0">
        <w:rPr>
          <w:rFonts w:ascii="Times New Roman" w:hAnsi="Times New Roman" w:cs="Times New Roman"/>
          <w:iCs/>
          <w:sz w:val="20"/>
          <w:szCs w:val="24"/>
          <w:lang w:val="en-GB"/>
        </w:rPr>
        <w:t xml:space="preserve">-axis) is plotted against the day of the </w:t>
      </w:r>
      <w:r w:rsidRPr="00387DA0">
        <w:rPr>
          <w:rFonts w:ascii="Times New Roman" w:hAnsi="Times New Roman" w:cs="Times New Roman"/>
          <w:iCs/>
          <w:sz w:val="20"/>
          <w:szCs w:val="24"/>
          <w:lang w:val="en-GB"/>
        </w:rPr>
        <w:lastRenderedPageBreak/>
        <w:t xml:space="preserve">year. The annual plot begins from the sawing day to end with the harvest day. Three graphs are plotted for each ear; </w:t>
      </w:r>
      <w:proofErr w:type="spellStart"/>
      <w:r w:rsidRPr="00387DA0">
        <w:rPr>
          <w:rFonts w:ascii="Times New Roman" w:hAnsi="Times New Roman" w:cs="Times New Roman"/>
          <w:iCs/>
          <w:sz w:val="20"/>
          <w:szCs w:val="24"/>
          <w:lang w:val="en-GB"/>
        </w:rPr>
        <w:t>ET</w:t>
      </w:r>
      <w:r w:rsidRPr="00387DA0">
        <w:rPr>
          <w:rFonts w:ascii="Times New Roman" w:hAnsi="Times New Roman" w:cs="Times New Roman"/>
          <w:iCs/>
          <w:sz w:val="20"/>
          <w:szCs w:val="24"/>
          <w:vertAlign w:val="subscript"/>
          <w:lang w:val="en-GB"/>
        </w:rPr>
        <w:t>o</w:t>
      </w:r>
      <w:proofErr w:type="spellEnd"/>
      <w:r w:rsidRPr="00387DA0">
        <w:rPr>
          <w:rFonts w:ascii="Times New Roman" w:hAnsi="Times New Roman" w:cs="Times New Roman"/>
          <w:iCs/>
          <w:sz w:val="20"/>
          <w:szCs w:val="24"/>
          <w:lang w:val="en-GB"/>
        </w:rPr>
        <w:t>, evapotranspiration over grass, basic of the crop specific model; ET</w:t>
      </w:r>
      <w:r w:rsidRPr="00387DA0">
        <w:rPr>
          <w:rFonts w:ascii="Times New Roman" w:hAnsi="Times New Roman" w:cs="Times New Roman"/>
          <w:iCs/>
          <w:sz w:val="20"/>
          <w:szCs w:val="24"/>
          <w:vertAlign w:val="subscript"/>
          <w:lang w:val="en-GB"/>
        </w:rPr>
        <w:t>C</w:t>
      </w:r>
      <w:r w:rsidRPr="00387DA0">
        <w:rPr>
          <w:rFonts w:ascii="Times New Roman" w:hAnsi="Times New Roman" w:cs="Times New Roman"/>
          <w:iCs/>
          <w:sz w:val="20"/>
          <w:szCs w:val="24"/>
          <w:lang w:val="en-GB"/>
        </w:rPr>
        <w:t xml:space="preserve">, potential evapotranspiration of barley on a particular day in </w:t>
      </w:r>
      <w:r>
        <w:rPr>
          <w:rFonts w:ascii="Times New Roman" w:hAnsi="Times New Roman" w:cs="Times New Roman"/>
          <w:iCs/>
          <w:sz w:val="20"/>
          <w:szCs w:val="24"/>
          <w:lang w:val="en-GB"/>
        </w:rPr>
        <w:t>l/m²</w:t>
      </w:r>
      <w:r w:rsidRPr="00387DA0">
        <w:rPr>
          <w:rFonts w:ascii="Times New Roman" w:hAnsi="Times New Roman" w:cs="Times New Roman"/>
          <w:iCs/>
          <w:sz w:val="20"/>
          <w:szCs w:val="24"/>
          <w:lang w:val="en-GB"/>
        </w:rPr>
        <w:t xml:space="preserve"> if no water shortage; </w:t>
      </w:r>
      <w:proofErr w:type="spellStart"/>
      <w:r w:rsidRPr="00387DA0">
        <w:rPr>
          <w:rFonts w:ascii="Times New Roman" w:hAnsi="Times New Roman" w:cs="Times New Roman"/>
          <w:iCs/>
          <w:sz w:val="20"/>
          <w:szCs w:val="24"/>
          <w:lang w:val="en-GB"/>
        </w:rPr>
        <w:t>ET</w:t>
      </w:r>
      <w:r w:rsidRPr="00387DA0">
        <w:rPr>
          <w:rFonts w:ascii="Times New Roman" w:hAnsi="Times New Roman" w:cs="Times New Roman"/>
          <w:iCs/>
          <w:sz w:val="20"/>
          <w:szCs w:val="24"/>
          <w:vertAlign w:val="subscript"/>
          <w:lang w:val="en-GB"/>
        </w:rPr>
        <w:t>a</w:t>
      </w:r>
      <w:proofErr w:type="spellEnd"/>
      <w:r w:rsidRPr="00387DA0">
        <w:rPr>
          <w:rFonts w:ascii="Times New Roman" w:hAnsi="Times New Roman" w:cs="Times New Roman"/>
          <w:iCs/>
          <w:sz w:val="20"/>
          <w:szCs w:val="24"/>
          <w:lang w:val="en-GB"/>
        </w:rPr>
        <w:t xml:space="preserve">, actual evapotranspiration under field conditions, including periods or days of soil–water limitation. </w:t>
      </w:r>
      <w:proofErr w:type="spellStart"/>
      <w:r w:rsidRPr="00387DA0">
        <w:rPr>
          <w:rFonts w:ascii="Times New Roman" w:hAnsi="Times New Roman" w:cs="Times New Roman"/>
          <w:iCs/>
          <w:sz w:val="20"/>
          <w:szCs w:val="24"/>
          <w:lang w:val="en-GB"/>
        </w:rPr>
        <w:t>ET</w:t>
      </w:r>
      <w:r w:rsidRPr="00387DA0">
        <w:rPr>
          <w:rFonts w:ascii="Times New Roman" w:hAnsi="Times New Roman" w:cs="Times New Roman"/>
          <w:iCs/>
          <w:sz w:val="20"/>
          <w:szCs w:val="24"/>
          <w:vertAlign w:val="subscript"/>
          <w:lang w:val="en-GB"/>
        </w:rPr>
        <w:t>a</w:t>
      </w:r>
      <w:proofErr w:type="spellEnd"/>
      <w:r w:rsidRPr="00387DA0">
        <w:rPr>
          <w:rFonts w:ascii="Times New Roman" w:hAnsi="Times New Roman" w:cs="Times New Roman"/>
          <w:iCs/>
          <w:sz w:val="20"/>
          <w:szCs w:val="24"/>
          <w:lang w:val="en-GB"/>
        </w:rPr>
        <w:t xml:space="preserve"> is based on ET</w:t>
      </w:r>
      <w:r w:rsidRPr="00387DA0">
        <w:rPr>
          <w:rFonts w:ascii="Times New Roman" w:hAnsi="Times New Roman" w:cs="Times New Roman"/>
          <w:iCs/>
          <w:sz w:val="20"/>
          <w:szCs w:val="24"/>
          <w:vertAlign w:val="subscript"/>
          <w:lang w:val="en-GB"/>
        </w:rPr>
        <w:t>C</w:t>
      </w:r>
      <w:r w:rsidRPr="00387DA0">
        <w:rPr>
          <w:rFonts w:ascii="Times New Roman" w:hAnsi="Times New Roman" w:cs="Times New Roman"/>
          <w:iCs/>
          <w:sz w:val="20"/>
          <w:szCs w:val="24"/>
          <w:lang w:val="en-GB"/>
        </w:rPr>
        <w:t>, including a soil–water balance model in the calculations.</w:t>
      </w:r>
    </w:p>
    <w:bookmarkEnd w:id="4"/>
    <w:p w14:paraId="70224C65" w14:textId="77777777" w:rsidR="004D6DC6" w:rsidRPr="00387DA0" w:rsidRDefault="004D6DC6" w:rsidP="004D6DC6">
      <w:pPr>
        <w:rPr>
          <w:rFonts w:ascii="Times New Roman" w:hAnsi="Times New Roman" w:cs="Times New Roman"/>
          <w:i/>
          <w:iCs/>
          <w:sz w:val="20"/>
          <w:szCs w:val="20"/>
          <w:lang w:val="en-GB"/>
        </w:rPr>
      </w:pPr>
    </w:p>
    <w:p w14:paraId="6ED9B467" w14:textId="77777777" w:rsidR="004D6DC6" w:rsidRPr="00387DA0" w:rsidRDefault="004D6DC6" w:rsidP="004D6DC6">
      <w:pPr>
        <w:jc w:val="both"/>
        <w:rPr>
          <w:rFonts w:ascii="Times New Roman" w:hAnsi="Times New Roman" w:cs="Times New Roman"/>
          <w:iCs/>
          <w:sz w:val="20"/>
          <w:szCs w:val="24"/>
          <w:lang w:val="en-GB"/>
        </w:rPr>
      </w:pPr>
      <w:bookmarkStart w:id="5" w:name="_Hlk54768826"/>
      <w:r w:rsidRPr="00387DA0">
        <w:rPr>
          <w:rFonts w:ascii="Times New Roman" w:hAnsi="Times New Roman" w:cs="Times New Roman"/>
          <w:noProof/>
          <w:sz w:val="24"/>
          <w:szCs w:val="24"/>
          <w:lang w:eastAsia="de-DE"/>
        </w:rPr>
        <w:drawing>
          <wp:inline distT="0" distB="0" distL="0" distR="0" wp14:anchorId="0CCD3210" wp14:editId="370640E4">
            <wp:extent cx="5760720" cy="3840480"/>
            <wp:effectExtent l="0" t="0" r="0" b="7620"/>
            <wp:docPr id="16" name="Picture 2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0" descr="Chart, box and whisker chart&#10;&#10;Description automatically generated"/>
                    <pic:cNvPicPr>
                      <a:picLocks noChangeAspect="1" noChangeArrowheads="1"/>
                    </pic:cNvPicPr>
                  </pic:nvPicPr>
                  <pic:blipFill>
                    <a:blip r:embed="rId12" cstate="print"/>
                    <a:stretch>
                      <a:fillRect/>
                    </a:stretch>
                  </pic:blipFill>
                  <pic:spPr bwMode="auto">
                    <a:xfrm>
                      <a:off x="0" y="0"/>
                      <a:ext cx="5760720" cy="3840480"/>
                    </a:xfrm>
                    <a:prstGeom prst="rect">
                      <a:avLst/>
                    </a:prstGeom>
                  </pic:spPr>
                </pic:pic>
              </a:graphicData>
            </a:graphic>
          </wp:inline>
        </w:drawing>
      </w:r>
      <w:r w:rsidRPr="00387DA0">
        <w:rPr>
          <w:rFonts w:ascii="Times New Roman" w:hAnsi="Times New Roman" w:cs="Times New Roman"/>
          <w:b/>
          <w:bCs/>
          <w:sz w:val="24"/>
          <w:szCs w:val="24"/>
          <w:lang w:val="en-GB"/>
        </w:rPr>
        <w:t xml:space="preserve"> </w:t>
      </w:r>
      <w:r w:rsidRPr="00387DA0">
        <w:rPr>
          <w:rFonts w:ascii="Times New Roman" w:hAnsi="Times New Roman" w:cs="Times New Roman"/>
          <w:b/>
          <w:bCs/>
          <w:sz w:val="20"/>
          <w:szCs w:val="24"/>
          <w:lang w:val="en-GB"/>
        </w:rPr>
        <w:t xml:space="preserve">Extended Data Fig. 9. Year-wise clustering of actual to potential evapotranspiration discrepancy. </w:t>
      </w:r>
      <w:r w:rsidRPr="00387DA0">
        <w:rPr>
          <w:rFonts w:ascii="Times New Roman" w:hAnsi="Times New Roman" w:cs="Times New Roman"/>
          <w:iCs/>
          <w:sz w:val="20"/>
          <w:szCs w:val="24"/>
          <w:lang w:val="en-GB"/>
        </w:rPr>
        <w:t xml:space="preserve">The </w:t>
      </w:r>
      <w:r w:rsidRPr="00387DA0">
        <w:rPr>
          <w:rFonts w:ascii="Times New Roman" w:hAnsi="Times New Roman" w:cs="Times New Roman"/>
          <w:i/>
          <w:iCs/>
          <w:sz w:val="20"/>
          <w:szCs w:val="24"/>
          <w:lang w:val="en-GB"/>
        </w:rPr>
        <w:t>y</w:t>
      </w:r>
      <w:r w:rsidRPr="00387DA0">
        <w:rPr>
          <w:rFonts w:ascii="Times New Roman" w:hAnsi="Times New Roman" w:cs="Times New Roman"/>
          <w:iCs/>
          <w:sz w:val="20"/>
          <w:szCs w:val="24"/>
          <w:lang w:val="en-GB"/>
        </w:rPr>
        <w:t>-axis</w:t>
      </w:r>
      <w:r w:rsidRPr="00387DA0">
        <w:rPr>
          <w:rFonts w:ascii="Times New Roman" w:hAnsi="Times New Roman" w:cs="Times New Roman"/>
          <w:sz w:val="20"/>
          <w:szCs w:val="24"/>
          <w:lang w:val="en-GB"/>
        </w:rPr>
        <w:t xml:space="preserve"> </w:t>
      </w:r>
      <w:r w:rsidRPr="00387DA0">
        <w:rPr>
          <w:rFonts w:ascii="Times New Roman" w:hAnsi="Times New Roman" w:cs="Times New Roman"/>
          <w:iCs/>
          <w:sz w:val="20"/>
          <w:szCs w:val="24"/>
          <w:lang w:val="en-GB"/>
        </w:rPr>
        <w:t>illustrates the average variation delta to the actual and p</w:t>
      </w:r>
      <w:r>
        <w:rPr>
          <w:rFonts w:ascii="Times New Roman" w:hAnsi="Times New Roman" w:cs="Times New Roman"/>
          <w:iCs/>
          <w:sz w:val="20"/>
          <w:szCs w:val="24"/>
          <w:lang w:val="en-GB"/>
        </w:rPr>
        <w:t>otential</w:t>
      </w:r>
      <w:r w:rsidRPr="00387DA0">
        <w:rPr>
          <w:rFonts w:ascii="Times New Roman" w:hAnsi="Times New Roman" w:cs="Times New Roman"/>
          <w:iCs/>
          <w:sz w:val="20"/>
          <w:szCs w:val="24"/>
          <w:lang w:val="en-GB"/>
        </w:rPr>
        <w:t xml:space="preserve"> evapotranspiration for each year (</w:t>
      </w:r>
      <w:r w:rsidRPr="00387DA0">
        <w:rPr>
          <w:rFonts w:ascii="Times New Roman" w:hAnsi="Times New Roman" w:cs="Times New Roman"/>
          <w:i/>
          <w:iCs/>
          <w:sz w:val="20"/>
          <w:szCs w:val="24"/>
          <w:lang w:val="en-GB"/>
        </w:rPr>
        <w:t>x</w:t>
      </w:r>
      <w:r w:rsidRPr="00387DA0">
        <w:rPr>
          <w:rFonts w:ascii="Times New Roman" w:hAnsi="Times New Roman" w:cs="Times New Roman"/>
          <w:iCs/>
          <w:sz w:val="20"/>
          <w:szCs w:val="24"/>
          <w:lang w:val="en-GB"/>
        </w:rPr>
        <w:t xml:space="preserve">-axis). Delta is equivalent with the transpiration reduction of the active biomass due to water stress. Grouping (letters) was performed with the </w:t>
      </w:r>
      <w:proofErr w:type="spellStart"/>
      <w:r w:rsidRPr="00387DA0">
        <w:rPr>
          <w:rFonts w:ascii="Times New Roman" w:hAnsi="Times New Roman" w:cs="Times New Roman"/>
          <w:iCs/>
          <w:sz w:val="20"/>
          <w:szCs w:val="24"/>
          <w:lang w:val="en-GB"/>
        </w:rPr>
        <w:t>HSD.test</w:t>
      </w:r>
      <w:proofErr w:type="spellEnd"/>
      <w:r w:rsidRPr="00387DA0">
        <w:rPr>
          <w:rFonts w:ascii="Times New Roman" w:hAnsi="Times New Roman" w:cs="Times New Roman"/>
          <w:iCs/>
          <w:sz w:val="20"/>
          <w:szCs w:val="24"/>
          <w:lang w:val="en-GB"/>
        </w:rPr>
        <w:t xml:space="preserve"> of the R package </w:t>
      </w:r>
      <w:proofErr w:type="spellStart"/>
      <w:r w:rsidRPr="00387DA0">
        <w:rPr>
          <w:rFonts w:ascii="Times New Roman" w:hAnsi="Times New Roman" w:cs="Times New Roman"/>
          <w:i/>
          <w:iCs/>
          <w:sz w:val="20"/>
          <w:szCs w:val="24"/>
          <w:lang w:val="en-GB"/>
        </w:rPr>
        <w:t>agricolae</w:t>
      </w:r>
      <w:proofErr w:type="spellEnd"/>
      <w:r w:rsidRPr="00387DA0">
        <w:rPr>
          <w:rFonts w:ascii="Times New Roman" w:hAnsi="Times New Roman" w:cs="Times New Roman"/>
          <w:iCs/>
          <w:sz w:val="20"/>
          <w:szCs w:val="24"/>
          <w:lang w:val="en-GB"/>
        </w:rPr>
        <w:t xml:space="preserve"> to identify years with similar evapotranspiration patterns. Years with a high impact of drought are illustrated by a high deviation of &lt; 0.3 reduction of the actual evapotranspiration.</w:t>
      </w:r>
      <w:bookmarkEnd w:id="0"/>
      <w:bookmarkEnd w:id="5"/>
    </w:p>
    <w:p w14:paraId="30EABB0C" w14:textId="77777777" w:rsidR="004D6DC6" w:rsidRPr="00387DA0" w:rsidRDefault="004D6DC6" w:rsidP="004D6DC6">
      <w:pPr>
        <w:jc w:val="both"/>
        <w:rPr>
          <w:rFonts w:ascii="Times New Roman" w:hAnsi="Times New Roman" w:cs="Times New Roman"/>
          <w:iCs/>
          <w:sz w:val="24"/>
          <w:szCs w:val="24"/>
          <w:lang w:val="en-GB"/>
        </w:rPr>
      </w:pPr>
      <w:r w:rsidRPr="00387DA0">
        <w:rPr>
          <w:rFonts w:ascii="Times New Roman" w:hAnsi="Times New Roman" w:cs="Times New Roman"/>
          <w:iCs/>
          <w:noProof/>
          <w:sz w:val="24"/>
          <w:szCs w:val="24"/>
          <w:lang w:eastAsia="de-DE"/>
        </w:rPr>
        <w:lastRenderedPageBreak/>
        <w:drawing>
          <wp:inline distT="0" distB="0" distL="0" distR="0" wp14:anchorId="05F443B2" wp14:editId="06D5C77A">
            <wp:extent cx="5760720" cy="4135120"/>
            <wp:effectExtent l="0" t="0" r="0" b="0"/>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4135120"/>
                    </a:xfrm>
                    <a:prstGeom prst="rect">
                      <a:avLst/>
                    </a:prstGeom>
                  </pic:spPr>
                </pic:pic>
              </a:graphicData>
            </a:graphic>
          </wp:inline>
        </w:drawing>
      </w:r>
    </w:p>
    <w:p w14:paraId="381676EE" w14:textId="77777777" w:rsidR="004D6DC6" w:rsidRPr="00387DA0" w:rsidRDefault="004D6DC6" w:rsidP="004D6DC6">
      <w:pPr>
        <w:pStyle w:val="Caption"/>
        <w:rPr>
          <w:rFonts w:ascii="Times New Roman" w:hAnsi="Times New Roman" w:cs="Times New Roman"/>
          <w:lang w:val="en-GB"/>
        </w:rPr>
        <w:sectPr w:rsidR="004D6DC6" w:rsidRPr="00387DA0" w:rsidSect="00C36BC5">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134" w:left="1417" w:header="0" w:footer="0" w:gutter="0"/>
          <w:lnNumType w:countBy="1" w:restart="continuous"/>
          <w:cols w:space="720"/>
          <w:formProt w:val="0"/>
          <w:docGrid w:linePitch="360" w:charSpace="4096"/>
        </w:sectPr>
      </w:pPr>
      <w:r w:rsidRPr="00387DA0">
        <w:rPr>
          <w:rFonts w:ascii="Times New Roman" w:hAnsi="Times New Roman" w:cs="Times New Roman"/>
          <w:b/>
          <w:bCs/>
          <w:i w:val="0"/>
          <w:iCs w:val="0"/>
          <w:color w:val="auto"/>
          <w:sz w:val="20"/>
          <w:szCs w:val="24"/>
          <w:lang w:val="en-GB"/>
        </w:rPr>
        <w:t xml:space="preserve">Extended Data Fig. 10. Gene ontology analysis for biotic stress response in the organic population. </w:t>
      </w:r>
      <w:r w:rsidRPr="00387DA0">
        <w:rPr>
          <w:rFonts w:ascii="Times New Roman" w:hAnsi="Times New Roman" w:cs="Times New Roman"/>
          <w:bCs/>
          <w:i w:val="0"/>
          <w:iCs w:val="0"/>
          <w:color w:val="auto"/>
          <w:sz w:val="20"/>
          <w:szCs w:val="24"/>
          <w:lang w:val="en-GB"/>
        </w:rPr>
        <w:t>Significantly variants genes based on the wild type allele frequency variation between the organic and conventional environment in the 12</w:t>
      </w:r>
      <w:r w:rsidRPr="00387DA0">
        <w:rPr>
          <w:rFonts w:ascii="Times New Roman" w:hAnsi="Times New Roman" w:cs="Times New Roman"/>
          <w:bCs/>
          <w:i w:val="0"/>
          <w:iCs w:val="0"/>
          <w:color w:val="auto"/>
          <w:sz w:val="20"/>
          <w:szCs w:val="24"/>
          <w:vertAlign w:val="superscript"/>
          <w:lang w:val="en-GB"/>
        </w:rPr>
        <w:t>th</w:t>
      </w:r>
      <w:r w:rsidRPr="00387DA0">
        <w:rPr>
          <w:rFonts w:ascii="Times New Roman" w:hAnsi="Times New Roman" w:cs="Times New Roman"/>
          <w:bCs/>
          <w:i w:val="0"/>
          <w:iCs w:val="0"/>
          <w:color w:val="auto"/>
          <w:sz w:val="20"/>
          <w:szCs w:val="24"/>
          <w:lang w:val="en-GB"/>
        </w:rPr>
        <w:t xml:space="preserve"> and 22</w:t>
      </w:r>
      <w:r w:rsidRPr="00387DA0">
        <w:rPr>
          <w:rFonts w:ascii="Times New Roman" w:hAnsi="Times New Roman" w:cs="Times New Roman"/>
          <w:bCs/>
          <w:i w:val="0"/>
          <w:iCs w:val="0"/>
          <w:color w:val="auto"/>
          <w:sz w:val="20"/>
          <w:szCs w:val="24"/>
          <w:vertAlign w:val="superscript"/>
          <w:lang w:val="en-GB"/>
        </w:rPr>
        <w:t>nd</w:t>
      </w:r>
      <w:r w:rsidRPr="00387DA0">
        <w:rPr>
          <w:rFonts w:ascii="Times New Roman" w:hAnsi="Times New Roman" w:cs="Times New Roman"/>
          <w:bCs/>
          <w:i w:val="0"/>
          <w:iCs w:val="0"/>
          <w:color w:val="auto"/>
          <w:sz w:val="20"/>
          <w:szCs w:val="24"/>
          <w:lang w:val="en-GB"/>
        </w:rPr>
        <w:t xml:space="preserve"> generation are clustered to gene ontologies (</w:t>
      </w:r>
      <w:r w:rsidRPr="00387DA0">
        <w:rPr>
          <w:rFonts w:ascii="Times New Roman" w:hAnsi="Times New Roman" w:cs="Times New Roman"/>
          <w:bCs/>
          <w:iCs w:val="0"/>
          <w:color w:val="auto"/>
          <w:sz w:val="20"/>
          <w:szCs w:val="24"/>
          <w:lang w:val="en-GB"/>
        </w:rPr>
        <w:t>y</w:t>
      </w:r>
      <w:r w:rsidRPr="00387DA0">
        <w:rPr>
          <w:rFonts w:ascii="Times New Roman" w:hAnsi="Times New Roman" w:cs="Times New Roman"/>
          <w:bCs/>
          <w:i w:val="0"/>
          <w:iCs w:val="0"/>
          <w:color w:val="auto"/>
          <w:sz w:val="20"/>
          <w:szCs w:val="24"/>
          <w:lang w:val="en-GB"/>
        </w:rPr>
        <w:t>-axis) and the average wild type allele frequency for these is plotted</w:t>
      </w:r>
      <w:r w:rsidRPr="00387DA0">
        <w:rPr>
          <w:rFonts w:ascii="Times New Roman" w:hAnsi="Times New Roman" w:cs="Times New Roman"/>
          <w:bCs/>
          <w:iCs w:val="0"/>
          <w:color w:val="auto"/>
          <w:sz w:val="20"/>
          <w:szCs w:val="24"/>
          <w:lang w:val="en-GB"/>
        </w:rPr>
        <w:t xml:space="preserve"> </w:t>
      </w:r>
      <w:r w:rsidRPr="00387DA0">
        <w:rPr>
          <w:rFonts w:ascii="Times New Roman" w:hAnsi="Times New Roman" w:cs="Times New Roman"/>
          <w:bCs/>
          <w:i w:val="0"/>
          <w:iCs w:val="0"/>
          <w:color w:val="auto"/>
          <w:sz w:val="20"/>
          <w:szCs w:val="24"/>
          <w:lang w:val="en-GB"/>
        </w:rPr>
        <w:t>(</w:t>
      </w:r>
      <w:r w:rsidRPr="00387DA0">
        <w:rPr>
          <w:rFonts w:ascii="Times New Roman" w:hAnsi="Times New Roman" w:cs="Times New Roman"/>
          <w:bCs/>
          <w:iCs w:val="0"/>
          <w:color w:val="auto"/>
          <w:sz w:val="20"/>
          <w:szCs w:val="24"/>
          <w:lang w:val="en-GB"/>
        </w:rPr>
        <w:t>x</w:t>
      </w:r>
      <w:r w:rsidRPr="00387DA0">
        <w:rPr>
          <w:rFonts w:ascii="Times New Roman" w:hAnsi="Times New Roman" w:cs="Times New Roman"/>
          <w:bCs/>
          <w:i w:val="0"/>
          <w:iCs w:val="0"/>
          <w:color w:val="auto"/>
          <w:sz w:val="20"/>
          <w:szCs w:val="24"/>
          <w:lang w:val="en-GB"/>
        </w:rPr>
        <w:t>-axis). The environments are illustrated by different colours.</w:t>
      </w:r>
      <w:r w:rsidRPr="00387DA0">
        <w:rPr>
          <w:rFonts w:ascii="Times New Roman" w:hAnsi="Times New Roman" w:cs="Times New Roman"/>
          <w:bCs/>
          <w:iCs w:val="0"/>
          <w:color w:val="auto"/>
          <w:sz w:val="20"/>
          <w:szCs w:val="24"/>
          <w:lang w:val="en-GB"/>
        </w:rPr>
        <w:t xml:space="preserve"> </w:t>
      </w:r>
    </w:p>
    <w:p w14:paraId="50DD4B72" w14:textId="77777777" w:rsidR="004D6DC6" w:rsidRPr="00387DA0" w:rsidRDefault="004D6DC6" w:rsidP="004D6DC6">
      <w:pPr>
        <w:rPr>
          <w:lang w:val="en-GB"/>
        </w:rPr>
      </w:pPr>
      <w:r w:rsidRPr="00387DA0">
        <w:rPr>
          <w:noProof/>
          <w:lang w:eastAsia="de-DE"/>
        </w:rPr>
        <w:lastRenderedPageBreak/>
        <w:drawing>
          <wp:inline distT="0" distB="0" distL="0" distR="0" wp14:anchorId="5252558E" wp14:editId="3BA9184E">
            <wp:extent cx="9072245" cy="3890645"/>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072245" cy="3890645"/>
                    </a:xfrm>
                    <a:prstGeom prst="rect">
                      <a:avLst/>
                    </a:prstGeom>
                  </pic:spPr>
                </pic:pic>
              </a:graphicData>
            </a:graphic>
          </wp:inline>
        </w:drawing>
      </w:r>
    </w:p>
    <w:p w14:paraId="54A43D17" w14:textId="77777777" w:rsidR="004D6DC6" w:rsidRPr="00387DA0" w:rsidRDefault="004D6DC6" w:rsidP="004D6DC6">
      <w:pPr>
        <w:rPr>
          <w:rFonts w:ascii="Times New Roman" w:hAnsi="Times New Roman" w:cs="Times New Roman"/>
          <w:bCs/>
          <w:sz w:val="20"/>
          <w:szCs w:val="24"/>
          <w:lang w:val="en-GB"/>
        </w:rPr>
      </w:pPr>
      <w:r w:rsidRPr="00387DA0">
        <w:rPr>
          <w:rFonts w:ascii="Times New Roman" w:hAnsi="Times New Roman" w:cs="Times New Roman"/>
          <w:b/>
          <w:bCs/>
          <w:sz w:val="20"/>
          <w:szCs w:val="24"/>
          <w:lang w:val="en-GB"/>
        </w:rPr>
        <w:t xml:space="preserve">Extended Data Fig. 11. </w:t>
      </w:r>
      <w:r w:rsidRPr="00387DA0">
        <w:rPr>
          <w:rFonts w:ascii="Times New Roman" w:hAnsi="Times New Roman" w:cs="Times New Roman"/>
          <w:b/>
          <w:bCs/>
          <w:iCs/>
          <w:sz w:val="20"/>
          <w:szCs w:val="24"/>
          <w:lang w:val="en-GB"/>
        </w:rPr>
        <w:t>Gene ontology analysis for abiotic stress response to drought in the organic and conventional environment for three generations.</w:t>
      </w:r>
      <w:r w:rsidRPr="00387DA0">
        <w:rPr>
          <w:rFonts w:ascii="Times New Roman" w:hAnsi="Times New Roman" w:cs="Times New Roman"/>
          <w:b/>
          <w:bCs/>
          <w:i/>
          <w:iCs/>
          <w:sz w:val="20"/>
          <w:szCs w:val="24"/>
          <w:lang w:val="en-GB"/>
        </w:rPr>
        <w:t xml:space="preserve"> </w:t>
      </w:r>
      <w:r w:rsidRPr="00387DA0">
        <w:rPr>
          <w:rFonts w:ascii="Times New Roman" w:hAnsi="Times New Roman" w:cs="Times New Roman"/>
          <w:bCs/>
          <w:iCs/>
          <w:sz w:val="20"/>
          <w:szCs w:val="24"/>
          <w:lang w:val="en-GB"/>
        </w:rPr>
        <w:t xml:space="preserve">Average </w:t>
      </w:r>
      <w:proofErr w:type="spellStart"/>
      <w:r w:rsidRPr="00387DA0">
        <w:rPr>
          <w:rFonts w:ascii="Times New Roman" w:hAnsi="Times New Roman" w:cs="Times New Roman"/>
          <w:bCs/>
          <w:iCs/>
          <w:sz w:val="20"/>
          <w:szCs w:val="24"/>
          <w:lang w:val="en-GB"/>
        </w:rPr>
        <w:t>wtAF</w:t>
      </w:r>
      <w:proofErr w:type="spellEnd"/>
      <w:r w:rsidRPr="00387DA0">
        <w:rPr>
          <w:rFonts w:ascii="Times New Roman" w:hAnsi="Times New Roman" w:cs="Times New Roman"/>
          <w:bCs/>
          <w:iCs/>
          <w:sz w:val="20"/>
          <w:szCs w:val="24"/>
          <w:lang w:val="en-GB"/>
        </w:rPr>
        <w:t xml:space="preserve"> (</w:t>
      </w:r>
      <w:r w:rsidRPr="00387DA0">
        <w:rPr>
          <w:rFonts w:ascii="Times New Roman" w:hAnsi="Times New Roman" w:cs="Times New Roman"/>
          <w:bCs/>
          <w:i/>
          <w:iCs/>
          <w:sz w:val="20"/>
          <w:szCs w:val="24"/>
          <w:lang w:val="en-GB"/>
        </w:rPr>
        <w:t>x</w:t>
      </w:r>
      <w:r w:rsidRPr="00387DA0">
        <w:rPr>
          <w:rFonts w:ascii="Times New Roman" w:hAnsi="Times New Roman" w:cs="Times New Roman"/>
          <w:bCs/>
          <w:iCs/>
          <w:sz w:val="20"/>
          <w:szCs w:val="24"/>
          <w:lang w:val="en-GB"/>
        </w:rPr>
        <w:t xml:space="preserve">-axis) plotted for </w:t>
      </w:r>
      <w:r w:rsidRPr="00387DA0">
        <w:rPr>
          <w:rFonts w:ascii="Times New Roman" w:hAnsi="Times New Roman" w:cs="Times New Roman"/>
          <w:bCs/>
          <w:sz w:val="20"/>
          <w:szCs w:val="24"/>
          <w:lang w:val="en-GB"/>
        </w:rPr>
        <w:t>Gene ontology classes identified (</w:t>
      </w:r>
      <w:r w:rsidRPr="00387DA0">
        <w:rPr>
          <w:rFonts w:ascii="Times New Roman" w:hAnsi="Times New Roman" w:cs="Times New Roman"/>
          <w:bCs/>
          <w:i/>
          <w:sz w:val="20"/>
          <w:szCs w:val="24"/>
          <w:lang w:val="en-GB"/>
        </w:rPr>
        <w:t>y</w:t>
      </w:r>
      <w:r w:rsidRPr="00387DA0">
        <w:rPr>
          <w:rFonts w:ascii="Times New Roman" w:hAnsi="Times New Roman" w:cs="Times New Roman"/>
          <w:bCs/>
          <w:i/>
          <w:sz w:val="20"/>
          <w:szCs w:val="24"/>
          <w:lang w:val="en-GB"/>
        </w:rPr>
        <w:softHyphen/>
        <w:t>-</w:t>
      </w:r>
      <w:r w:rsidRPr="00387DA0">
        <w:rPr>
          <w:rFonts w:ascii="Times New Roman" w:hAnsi="Times New Roman" w:cs="Times New Roman"/>
          <w:bCs/>
          <w:sz w:val="20"/>
          <w:szCs w:val="24"/>
          <w:lang w:val="en-GB"/>
        </w:rPr>
        <w:t>axis). The 12th generation is used as reference (green bar)</w:t>
      </w:r>
      <w:r>
        <w:rPr>
          <w:rFonts w:ascii="Times New Roman" w:hAnsi="Times New Roman" w:cs="Times New Roman"/>
          <w:bCs/>
          <w:sz w:val="20"/>
          <w:szCs w:val="24"/>
          <w:lang w:val="en-GB"/>
        </w:rPr>
        <w:t>.</w:t>
      </w:r>
      <w:r w:rsidRPr="00387DA0">
        <w:rPr>
          <w:rFonts w:ascii="Times New Roman" w:hAnsi="Times New Roman" w:cs="Times New Roman"/>
          <w:bCs/>
          <w:sz w:val="20"/>
          <w:szCs w:val="24"/>
          <w:lang w:val="en-GB"/>
        </w:rPr>
        <w:t xml:space="preserve"> 16th, 22nd and 23rd generation </w:t>
      </w:r>
      <w:r>
        <w:rPr>
          <w:rFonts w:ascii="Times New Roman" w:hAnsi="Times New Roman" w:cs="Times New Roman"/>
          <w:bCs/>
          <w:sz w:val="20"/>
          <w:szCs w:val="24"/>
          <w:lang w:val="en-GB"/>
        </w:rPr>
        <w:t xml:space="preserve">present the </w:t>
      </w:r>
      <w:proofErr w:type="spellStart"/>
      <w:r>
        <w:rPr>
          <w:rFonts w:ascii="Times New Roman" w:hAnsi="Times New Roman" w:cs="Times New Roman"/>
          <w:bCs/>
          <w:sz w:val="20"/>
          <w:szCs w:val="24"/>
          <w:lang w:val="en-GB"/>
        </w:rPr>
        <w:t>wtAF</w:t>
      </w:r>
      <w:proofErr w:type="spellEnd"/>
      <w:r>
        <w:rPr>
          <w:rFonts w:ascii="Times New Roman" w:hAnsi="Times New Roman" w:cs="Times New Roman"/>
          <w:bCs/>
          <w:sz w:val="20"/>
          <w:szCs w:val="24"/>
          <w:lang w:val="en-GB"/>
        </w:rPr>
        <w:t xml:space="preserve"> after drought impact </w:t>
      </w:r>
      <w:r w:rsidRPr="00387DA0">
        <w:rPr>
          <w:rFonts w:ascii="Times New Roman" w:hAnsi="Times New Roman" w:cs="Times New Roman"/>
          <w:bCs/>
          <w:sz w:val="20"/>
          <w:szCs w:val="24"/>
          <w:lang w:val="en-GB"/>
        </w:rPr>
        <w:t>(drought, orange bar). The generations and environments are faceted.</w:t>
      </w:r>
    </w:p>
    <w:p w14:paraId="1A51B304"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559099" w14:textId="77777777" w:rsidR="009B1913" w:rsidRDefault="004D6D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63247701"/>
      <w:docPartObj>
        <w:docPartGallery w:val="Page Numbers (Bottom of Page)"/>
        <w:docPartUnique/>
      </w:docPartObj>
    </w:sdtPr>
    <w:sdtEndPr>
      <w:rPr>
        <w:noProof/>
      </w:rPr>
    </w:sdtEndPr>
    <w:sdtContent>
      <w:p w14:paraId="2FEE40E5" w14:textId="77777777" w:rsidR="0088457D" w:rsidRDefault="004D6DC6">
        <w:pPr>
          <w:pStyle w:val="Footer"/>
          <w:jc w:val="center"/>
        </w:pPr>
        <w:r>
          <w:fldChar w:fldCharType="begin"/>
        </w:r>
        <w:r>
          <w:instrText xml:space="preserve"> PAGE   \* MERGEFORMAT </w:instrText>
        </w:r>
        <w:r>
          <w:fldChar w:fldCharType="separate"/>
        </w:r>
        <w:r>
          <w:rPr>
            <w:noProof/>
          </w:rPr>
          <w:t>22</w:t>
        </w:r>
        <w:r>
          <w:rPr>
            <w:noProof/>
          </w:rPr>
          <w:fldChar w:fldCharType="end"/>
        </w:r>
      </w:p>
    </w:sdtContent>
  </w:sdt>
  <w:p w14:paraId="623C5FF0" w14:textId="77777777" w:rsidR="0088457D" w:rsidRDefault="004D6D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BB659D" w14:textId="77777777" w:rsidR="009B1913" w:rsidRDefault="004D6D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163B81" w14:textId="77777777" w:rsidR="009B1913" w:rsidRDefault="004D6D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41EAEF" w14:textId="77777777" w:rsidR="009B1913" w:rsidRDefault="004D6D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8C4656" w14:textId="77777777" w:rsidR="009B1913" w:rsidRDefault="004D6D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DC6"/>
    <w:rsid w:val="00114675"/>
    <w:rsid w:val="002B53FA"/>
    <w:rsid w:val="004D6DC6"/>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206AE"/>
  <w15:chartTrackingRefBased/>
  <w15:docId w15:val="{108E0434-3DE2-BE41-A441-24ED1E233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DC6"/>
    <w:pPr>
      <w:spacing w:after="200" w:line="276" w:lineRule="auto"/>
    </w:pPr>
    <w:rPr>
      <w:sz w:val="22"/>
      <w:szCs w:val="22"/>
      <w:lang w:val="de-DE"/>
    </w:rPr>
  </w:style>
  <w:style w:type="paragraph" w:styleId="Heading1">
    <w:name w:val="heading 1"/>
    <w:basedOn w:val="Normal"/>
    <w:next w:val="Normal"/>
    <w:link w:val="Heading1Char"/>
    <w:uiPriority w:val="9"/>
    <w:qFormat/>
    <w:rsid w:val="004D6D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D6DC6"/>
    <w:rPr>
      <w:rFonts w:asciiTheme="majorHAnsi" w:eastAsiaTheme="majorEastAsia" w:hAnsiTheme="majorHAnsi" w:cstheme="majorBidi"/>
      <w:color w:val="2F5496" w:themeColor="accent1" w:themeShade="BF"/>
      <w:sz w:val="32"/>
      <w:szCs w:val="32"/>
      <w:lang w:val="de-DE"/>
    </w:rPr>
  </w:style>
  <w:style w:type="character" w:customStyle="1" w:styleId="HeaderChar">
    <w:name w:val="Header Char"/>
    <w:basedOn w:val="DefaultParagraphFont"/>
    <w:link w:val="Header"/>
    <w:uiPriority w:val="99"/>
    <w:qFormat/>
    <w:rsid w:val="004D6DC6"/>
    <w:rPr>
      <w:sz w:val="22"/>
    </w:rPr>
  </w:style>
  <w:style w:type="character" w:customStyle="1" w:styleId="FooterChar">
    <w:name w:val="Footer Char"/>
    <w:basedOn w:val="DefaultParagraphFont"/>
    <w:link w:val="Footer"/>
    <w:uiPriority w:val="99"/>
    <w:qFormat/>
    <w:rsid w:val="004D6DC6"/>
    <w:rPr>
      <w:sz w:val="22"/>
    </w:rPr>
  </w:style>
  <w:style w:type="paragraph" w:styleId="Caption">
    <w:name w:val="caption"/>
    <w:basedOn w:val="Normal"/>
    <w:next w:val="Normal"/>
    <w:uiPriority w:val="35"/>
    <w:unhideWhenUsed/>
    <w:qFormat/>
    <w:rsid w:val="004D6DC6"/>
    <w:pPr>
      <w:spacing w:line="240" w:lineRule="auto"/>
    </w:pPr>
    <w:rPr>
      <w:i/>
      <w:iCs/>
      <w:color w:val="44546A" w:themeColor="text2"/>
      <w:sz w:val="18"/>
      <w:szCs w:val="18"/>
    </w:rPr>
  </w:style>
  <w:style w:type="paragraph" w:styleId="Header">
    <w:name w:val="header"/>
    <w:basedOn w:val="Normal"/>
    <w:link w:val="HeaderChar"/>
    <w:uiPriority w:val="99"/>
    <w:unhideWhenUsed/>
    <w:rsid w:val="004D6DC6"/>
    <w:pPr>
      <w:tabs>
        <w:tab w:val="center" w:pos="4703"/>
        <w:tab w:val="right" w:pos="9406"/>
      </w:tabs>
      <w:spacing w:after="0" w:line="240" w:lineRule="auto"/>
    </w:pPr>
    <w:rPr>
      <w:szCs w:val="24"/>
      <w:lang w:val="en-US"/>
    </w:rPr>
  </w:style>
  <w:style w:type="character" w:customStyle="1" w:styleId="HeaderChar1">
    <w:name w:val="Header Char1"/>
    <w:basedOn w:val="DefaultParagraphFont"/>
    <w:uiPriority w:val="99"/>
    <w:semiHidden/>
    <w:rsid w:val="004D6DC6"/>
    <w:rPr>
      <w:sz w:val="22"/>
      <w:szCs w:val="22"/>
      <w:lang w:val="de-DE"/>
    </w:rPr>
  </w:style>
  <w:style w:type="paragraph" w:styleId="Footer">
    <w:name w:val="footer"/>
    <w:basedOn w:val="Normal"/>
    <w:link w:val="FooterChar"/>
    <w:uiPriority w:val="99"/>
    <w:unhideWhenUsed/>
    <w:rsid w:val="004D6DC6"/>
    <w:pPr>
      <w:tabs>
        <w:tab w:val="center" w:pos="4703"/>
        <w:tab w:val="right" w:pos="9406"/>
      </w:tabs>
      <w:spacing w:after="0" w:line="240" w:lineRule="auto"/>
    </w:pPr>
    <w:rPr>
      <w:szCs w:val="24"/>
      <w:lang w:val="en-US"/>
    </w:rPr>
  </w:style>
  <w:style w:type="character" w:customStyle="1" w:styleId="FooterChar1">
    <w:name w:val="Footer Char1"/>
    <w:basedOn w:val="DefaultParagraphFont"/>
    <w:uiPriority w:val="99"/>
    <w:semiHidden/>
    <w:rsid w:val="004D6DC6"/>
    <w:rPr>
      <w:sz w:val="22"/>
      <w:szCs w:val="22"/>
      <w:lang w:val="de-DE"/>
    </w:rPr>
  </w:style>
  <w:style w:type="character" w:styleId="Hyperlink">
    <w:name w:val="Hyperlink"/>
    <w:basedOn w:val="DefaultParagraphFont"/>
    <w:uiPriority w:val="99"/>
    <w:unhideWhenUsed/>
    <w:rsid w:val="004D6DC6"/>
    <w:rPr>
      <w:color w:val="0563C1" w:themeColor="hyperlink"/>
      <w:u w:val="single"/>
    </w:rPr>
  </w:style>
  <w:style w:type="paragraph" w:customStyle="1" w:styleId="SOMContent">
    <w:name w:val="SOMContent"/>
    <w:basedOn w:val="Normal"/>
    <w:rsid w:val="004D6DC6"/>
    <w:pPr>
      <w:spacing w:before="120" w:after="0" w:line="240" w:lineRule="auto"/>
    </w:pPr>
    <w:rPr>
      <w:rFonts w:ascii="Times New Roman" w:eastAsia="Times New Roman" w:hAnsi="Times New Roman" w:cs="Times New Roman"/>
      <w:sz w:val="24"/>
      <w:szCs w:val="24"/>
      <w:lang w:val="en-US"/>
    </w:rPr>
  </w:style>
  <w:style w:type="paragraph" w:customStyle="1" w:styleId="Teaser">
    <w:name w:val="Teaser"/>
    <w:basedOn w:val="Normal"/>
    <w:rsid w:val="004D6DC6"/>
    <w:pPr>
      <w:spacing w:before="120" w:after="0" w:line="240" w:lineRule="auto"/>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4D6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8.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20"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png"/><Relationship Id="rId5" Type="http://schemas.openxmlformats.org/officeDocument/2006/relationships/image" Target="media/image2.png"/><Relationship Id="rId15" Type="http://schemas.openxmlformats.org/officeDocument/2006/relationships/header" Target="header2.xml"/><Relationship Id="rId10" Type="http://schemas.openxmlformats.org/officeDocument/2006/relationships/image" Target="media/image6.png"/><Relationship Id="rId19" Type="http://schemas.openxmlformats.org/officeDocument/2006/relationships/footer" Target="footer3.xml"/><Relationship Id="rId4" Type="http://schemas.openxmlformats.org/officeDocument/2006/relationships/image" Target="media/image1.png"/><Relationship Id="rId9" Type="http://schemas.openxmlformats.org/officeDocument/2006/relationships/hyperlink" Target="https://michaelschneiderrun.shinyapps.io/allelefreqvariation/" TargetMode="Externa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1107</Words>
  <Characters>6316</Characters>
  <Application>Microsoft Office Word</Application>
  <DocSecurity>0</DocSecurity>
  <Lines>52</Lines>
  <Paragraphs>14</Paragraphs>
  <ScaleCrop>false</ScaleCrop>
  <Company/>
  <LinksUpToDate>false</LinksUpToDate>
  <CharactersWithSpaces>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2021-03-08T16:48:00Z</dcterms:created>
  <dcterms:modified xsi:type="dcterms:W3CDTF">2021-03-08T16:48:00Z</dcterms:modified>
</cp:coreProperties>
</file>