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  <w:t>Table 1</w:t>
      </w: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  <w:t>Details of GWES included</w:t>
      </w:r>
    </w:p>
    <w:tbl>
      <w:tblPr>
        <w:tblStyle w:val="3"/>
        <w:tblW w:w="927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226"/>
        <w:gridCol w:w="887"/>
        <w:gridCol w:w="3034"/>
        <w:gridCol w:w="2332"/>
        <w:gridCol w:w="7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18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  <w:t>Organism</w:t>
            </w:r>
          </w:p>
        </w:tc>
        <w:tc>
          <w:tcPr>
            <w:tcW w:w="1226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ascii="STIX-Regular" w:hAnsi="STIX-Regular"/>
                <w:color w:val="000000"/>
                <w:sz w:val="15"/>
                <w:szCs w:val="15"/>
              </w:rPr>
              <w:t>Author</w:t>
            </w:r>
          </w:p>
        </w:tc>
        <w:tc>
          <w:tcPr>
            <w:tcW w:w="887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ascii="STIX-Regular" w:hAnsi="STIX-Regular"/>
                <w:color w:val="000000"/>
                <w:sz w:val="15"/>
                <w:szCs w:val="15"/>
              </w:rPr>
              <w:t>NCBI GEO</w:t>
            </w:r>
          </w:p>
        </w:tc>
        <w:tc>
          <w:tcPr>
            <w:tcW w:w="3034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ascii="STIX-Regular" w:hAnsi="STIX-Regular"/>
                <w:color w:val="000000"/>
                <w:sz w:val="15"/>
                <w:szCs w:val="15"/>
              </w:rPr>
              <w:t>Design</w:t>
            </w:r>
          </w:p>
        </w:tc>
        <w:tc>
          <w:tcPr>
            <w:tcW w:w="2332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ascii="STIX-Regular" w:hAnsi="STIX-Regular"/>
                <w:color w:val="000000"/>
                <w:sz w:val="15"/>
                <w:szCs w:val="15"/>
              </w:rPr>
              <w:t>Platform</w:t>
            </w:r>
          </w:p>
        </w:tc>
        <w:tc>
          <w:tcPr>
            <w:tcW w:w="780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ascii="STIX-Regular" w:hAnsi="STIX-Regular"/>
                <w:color w:val="000000"/>
                <w:sz w:val="15"/>
                <w:szCs w:val="15"/>
              </w:rPr>
              <w:t>PMID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1018" w:type="dxa"/>
          </w:tcPr>
          <w:p>
            <w:pPr>
              <w:rPr>
                <w:rFonts w:ascii="STIX-Regular" w:hAnsi="STIX-Regular"/>
                <w:color w:val="000000"/>
                <w:sz w:val="11"/>
                <w:szCs w:val="11"/>
              </w:rPr>
            </w:pPr>
            <w:r>
              <w:rPr>
                <w:rFonts w:hint="eastAsia" w:ascii="STIX-Regular" w:hAnsi="STIX-Regular"/>
                <w:color w:val="000000"/>
                <w:sz w:val="11"/>
                <w:szCs w:val="11"/>
              </w:rPr>
              <w:t>Human</w:t>
            </w:r>
          </w:p>
          <w:p>
            <w:pPr>
              <w:rPr>
                <w:rFonts w:ascii="STIX-Regular" w:hAnsi="STIX-Regular"/>
                <w:color w:val="000000"/>
                <w:sz w:val="11"/>
                <w:szCs w:val="11"/>
              </w:rPr>
            </w:pPr>
          </w:p>
          <w:p>
            <w:pPr>
              <w:rPr>
                <w:rFonts w:ascii="STIX-Regular" w:hAnsi="STIX-Regular"/>
                <w:color w:val="000000"/>
                <w:sz w:val="11"/>
                <w:szCs w:val="11"/>
              </w:rPr>
            </w:pPr>
          </w:p>
          <w:p>
            <w:pPr>
              <w:rPr>
                <w:rFonts w:ascii="STIX-Regular" w:hAnsi="STIX-Regular"/>
                <w:color w:val="000000"/>
                <w:sz w:val="11"/>
                <w:szCs w:val="11"/>
              </w:rPr>
            </w:pPr>
            <w:r>
              <w:rPr>
                <w:rFonts w:ascii="STIX-Regular" w:hAnsi="STIX-Regular"/>
                <w:color w:val="000000"/>
                <w:sz w:val="11"/>
                <w:szCs w:val="11"/>
              </w:rPr>
              <w:t>Rat</w:t>
            </w:r>
          </w:p>
          <w:p>
            <w:pPr>
              <w:rPr>
                <w:rFonts w:ascii="STIX-Regular" w:hAnsi="STIX-Regular"/>
                <w:color w:val="000000"/>
                <w:sz w:val="11"/>
                <w:szCs w:val="11"/>
              </w:rPr>
            </w:pP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</w:pPr>
            <w:r>
              <w:rPr>
                <w:rFonts w:ascii="STIX-Regular" w:hAnsi="STIX-Regular"/>
                <w:color w:val="000000"/>
                <w:sz w:val="11"/>
                <w:szCs w:val="11"/>
              </w:rPr>
              <w:t>Rat</w:t>
            </w: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  <w:t>Mouse</w:t>
            </w: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</w:pP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  <w:t>Mouse</w:t>
            </w: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</w:pP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  <w:t>Mouse</w:t>
            </w: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  <w:t>Mouse</w:t>
            </w: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  <w:t>Mouse</w:t>
            </w:r>
          </w:p>
          <w:p>
            <w:pPr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</w:pPr>
          </w:p>
        </w:tc>
        <w:tc>
          <w:tcPr>
            <w:tcW w:w="1226" w:type="dxa"/>
          </w:tcPr>
          <w:p>
            <w:pPr>
              <w:rPr>
                <w:rFonts w:hint="default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  <w:t xml:space="preserve">Bando </w:t>
            </w:r>
            <w:r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  <w:t>(2013)</w:t>
            </w: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  <w:tab/>
            </w: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</w:pPr>
          </w:p>
          <w:p>
            <w:pP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  <w:t>Dingledine</w:t>
            </w:r>
            <w:r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  <w:t>（2</w:t>
            </w:r>
            <w: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  <w:t>01</w:t>
            </w:r>
            <w:r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  <w:t>）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</w:p>
          <w:p>
            <w:pP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Koh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 （2019）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Vafiadaki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eastAsia="zh-CN"/>
              </w:rPr>
              <w:t>（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2018）</w:t>
            </w:r>
          </w:p>
          <w:p>
            <w:pP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Conte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 （2020）</w:t>
            </w:r>
          </w:p>
          <w:p>
            <w:pP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1"/>
                <w:szCs w:val="11"/>
                <w:shd w:val="clear" w:fill="FFFFFF"/>
              </w:rPr>
            </w:pP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1"/>
                <w:szCs w:val="11"/>
                <w:shd w:val="clear" w:fill="FFFFFF"/>
                <w:lang w:val="en-US" w:eastAsia="zh-CN"/>
              </w:rPr>
              <w:t>Hamby （2018)</w:t>
            </w:r>
          </w:p>
          <w:p>
            <w:pP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Schouten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（2019）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Godard （2020）</w:t>
            </w:r>
          </w:p>
        </w:tc>
        <w:tc>
          <w:tcPr>
            <w:tcW w:w="887" w:type="dxa"/>
          </w:tcPr>
          <w:p>
            <w:pPr>
              <w:jc w:val="both"/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  <w:t>GSE28674</w:t>
            </w: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</w:pPr>
          </w:p>
          <w:p>
            <w:pP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</w:pPr>
          </w:p>
          <w:p>
            <w:pPr>
              <w:rPr>
                <w:rFonts w:hint="eastAsia"/>
                <w:b w:val="0"/>
                <w:bCs w:val="0"/>
                <w:sz w:val="11"/>
                <w:szCs w:val="11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</w:rPr>
              <w:t>GSE4775</w:t>
            </w:r>
            <w:r>
              <w:rPr>
                <w:rFonts w:hint="eastAsia" w:ascii="微软雅黑" w:hAnsi="微软雅黑" w:eastAsia="微软雅黑" w:cs="微软雅黑"/>
                <w:color w:val="111111"/>
                <w:sz w:val="11"/>
                <w:szCs w:val="11"/>
                <w:shd w:val="clear" w:color="auto" w:fill="FFFFFF"/>
                <w:lang w:val="en-US" w:eastAsia="zh-CN"/>
              </w:rPr>
              <w:t>2</w:t>
            </w:r>
          </w:p>
          <w:p>
            <w:pPr>
              <w:bidi w:val="0"/>
              <w:rPr>
                <w:rFonts w:hint="eastAsia"/>
                <w:b w:val="0"/>
                <w:bCs w:val="0"/>
                <w:sz w:val="11"/>
                <w:szCs w:val="11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b w:val="0"/>
                <w:bCs w:val="0"/>
                <w:sz w:val="11"/>
                <w:szCs w:val="1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1"/>
                <w:szCs w:val="11"/>
                <w:lang w:val="en-US" w:eastAsia="zh-CN"/>
              </w:rPr>
              <w:t>GSE1156</w:t>
            </w:r>
          </w:p>
          <w:p>
            <w:pPr>
              <w:bidi w:val="0"/>
              <w:rPr>
                <w:rFonts w:hint="eastAsia"/>
                <w:b w:val="0"/>
                <w:bCs w:val="0"/>
                <w:sz w:val="11"/>
                <w:szCs w:val="1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1"/>
                <w:szCs w:val="11"/>
                <w:lang w:val="en-US" w:eastAsia="zh-CN"/>
              </w:rPr>
              <w:t>GSE88992</w:t>
            </w:r>
          </w:p>
          <w:p>
            <w:pPr>
              <w:bidi w:val="0"/>
              <w:rPr>
                <w:rFonts w:hint="eastAsia"/>
                <w:b w:val="0"/>
                <w:bCs w:val="0"/>
                <w:sz w:val="11"/>
                <w:szCs w:val="11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sz w:val="11"/>
                <w:szCs w:val="11"/>
                <w:lang w:val="en-US" w:eastAsia="zh-CN"/>
              </w:rPr>
            </w:pPr>
            <w:r>
              <w:rPr>
                <w:rFonts w:hint="eastAsia"/>
                <w:sz w:val="11"/>
                <w:szCs w:val="11"/>
                <w:lang w:val="en-US" w:eastAsia="zh-CN"/>
              </w:rPr>
              <w:t>GSE122228</w:t>
            </w:r>
          </w:p>
          <w:p>
            <w:pPr>
              <w:bidi w:val="0"/>
              <w:rPr>
                <w:rFonts w:hint="eastAsia"/>
                <w:b w:val="0"/>
                <w:bCs w:val="0"/>
                <w:sz w:val="11"/>
                <w:szCs w:val="11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sz w:val="11"/>
                <w:szCs w:val="1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1"/>
                <w:szCs w:val="11"/>
                <w:lang w:val="en-US" w:eastAsia="zh-CN"/>
              </w:rPr>
              <w:t>GSE73878</w:t>
            </w:r>
          </w:p>
          <w:p>
            <w:pPr>
              <w:bidi w:val="0"/>
              <w:jc w:val="left"/>
              <w:rPr>
                <w:rFonts w:hint="eastAsia"/>
                <w:sz w:val="11"/>
                <w:szCs w:val="11"/>
                <w:lang w:val="en-US" w:eastAsia="zh-CN"/>
              </w:rPr>
            </w:pPr>
            <w:r>
              <w:rPr>
                <w:rFonts w:hint="eastAsia"/>
                <w:sz w:val="11"/>
                <w:szCs w:val="11"/>
                <w:lang w:val="en-US" w:eastAsia="zh-CN"/>
              </w:rPr>
              <w:t>GSE79129</w:t>
            </w:r>
          </w:p>
          <w:p>
            <w:pPr>
              <w:bidi w:val="0"/>
              <w:jc w:val="left"/>
              <w:rPr>
                <w:rFonts w:hint="eastAsia"/>
                <w:sz w:val="11"/>
                <w:szCs w:val="11"/>
                <w:lang w:val="en-US" w:eastAsia="zh-CN"/>
              </w:rPr>
            </w:pPr>
            <w:r>
              <w:rPr>
                <w:rFonts w:hint="eastAsia"/>
                <w:sz w:val="11"/>
                <w:szCs w:val="11"/>
                <w:lang w:val="en-US" w:eastAsia="zh-CN"/>
              </w:rPr>
              <w:t>GSE157797</w:t>
            </w:r>
          </w:p>
          <w:p>
            <w:pPr>
              <w:bidi w:val="0"/>
              <w:jc w:val="left"/>
              <w:rPr>
                <w:rFonts w:hint="eastAsia"/>
                <w:sz w:val="11"/>
                <w:szCs w:val="11"/>
                <w:lang w:val="en-US" w:eastAsia="zh-CN"/>
              </w:rPr>
            </w:pPr>
          </w:p>
        </w:tc>
        <w:tc>
          <w:tcPr>
            <w:tcW w:w="3034" w:type="dxa"/>
            <w:vAlign w:val="top"/>
          </w:tcPr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 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the transcriptomic profile of CA3 explants surgically obtained from patients with refractory MTLE  and HS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Hippocampi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 from rats treated with kainate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Hippocampi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 from rats treated with kainate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Hippocampi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 from rats treated with kainate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Hippocampi from mice treated with kainate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Hippocampi from mice treated with kainate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Hippocampi from mice treated with kainate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Hippocampi from mice treated with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phenytoin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2332" w:type="dxa"/>
          </w:tcPr>
          <w:p>
            <w:pP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Agilent-014850 Whole Human Genome Microarray 4x44K G4112F</w:t>
            </w:r>
          </w:p>
          <w:p>
            <w:pP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</w:p>
          <w:p>
            <w:pP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Affymetrix Rat Genome 230 2.0 Array</w:t>
            </w:r>
          </w:p>
          <w:p>
            <w:pP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Affymetrix Rat Genome U34 Array</w:t>
            </w:r>
          </w:p>
          <w:p>
            <w:pP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Affymetrix Mouse Genome 430 2.0 Array</w:t>
            </w:r>
          </w:p>
          <w:p>
            <w:pP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Affymetrix HT MG-430 PM Array Plate</w:t>
            </w:r>
          </w:p>
          <w:p>
            <w:pPr>
              <w:jc w:val="left"/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Illumina MouseRef-8 v2.0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llumina MouseWG-6 v2.0</w:t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 </w:t>
            </w:r>
          </w:p>
          <w:p>
            <w:pP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Illumina MouseRef-8 v2.0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</w:p>
        </w:tc>
        <w:tc>
          <w:tcPr>
            <w:tcW w:w="780" w:type="dxa"/>
          </w:tcPr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t>24278214</w:t>
            </w:r>
          </w:p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</w:p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</w:p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t>（-）</w:t>
            </w:r>
          </w:p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</w:p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t>（-）</w:t>
            </w:r>
          </w:p>
          <w:p>
            <w:pP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t>30114263</w:t>
            </w:r>
          </w:p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</w:p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fldChar w:fldCharType="begin"/>
            </w: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instrText xml:space="preserve"> HYPERLINK "https://www.ncbi.nlm.nih.gov/pubmed/33070315" \o "Link to PubMed record" </w:instrText>
            </w: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fldChar w:fldCharType="separate"/>
            </w: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t>33070315</w:t>
            </w: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fldChar w:fldCharType="end"/>
            </w:r>
          </w:p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</w:p>
          <w:p>
            <w:pP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t>（-）</w:t>
            </w:r>
          </w:p>
          <w:p>
            <w:pP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t>（-）</w:t>
            </w:r>
          </w:p>
          <w:p>
            <w:pP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  <w:t>（-）</w:t>
            </w:r>
          </w:p>
          <w:p>
            <w:pPr>
              <w:rPr>
                <w:rFonts w:hint="default" w:ascii="STIX-Regular" w:hAnsi="STIX-Regular" w:eastAsia="STIX-Regular" w:cs="STIX-Regular"/>
                <w:color w:val="000000"/>
                <w:kern w:val="0"/>
                <w:sz w:val="11"/>
                <w:szCs w:val="11"/>
                <w:lang w:val="en-US" w:eastAsia="zh-CN" w:bidi="ar"/>
              </w:rPr>
            </w:pPr>
          </w:p>
        </w:tc>
      </w:tr>
    </w:tbl>
    <w:p>
      <w:pPr>
        <w:rPr>
          <w:rFonts w:hint="eastAsia" w:ascii="微软雅黑" w:hAnsi="微软雅黑" w:eastAsia="宋体" w:cs="微软雅黑"/>
          <w:color w:val="111111"/>
          <w:sz w:val="13"/>
          <w:szCs w:val="13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color w:val="111111"/>
          <w:sz w:val="13"/>
          <w:szCs w:val="13"/>
          <w:shd w:val="clear" w:color="auto" w:fill="FFFFFF"/>
        </w:rPr>
        <w:t>PMID PubMed identifer, NCBI GEO NCBI GEO database identifer</w:t>
      </w:r>
      <w:r>
        <w:rPr>
          <w:rFonts w:hint="eastAsia" w:ascii="微软雅黑" w:hAnsi="微软雅黑" w:eastAsia="微软雅黑" w:cs="微软雅黑"/>
          <w:color w:val="111111"/>
          <w:sz w:val="13"/>
          <w:szCs w:val="13"/>
          <w:shd w:val="clear" w:color="auto" w:fill="FFFFFF"/>
          <w:lang w:eastAsia="zh-CN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</w:rPr>
        <w:t xml:space="preserve">HS 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  <w:lang w:val="en-US" w:eastAsia="zh-CN"/>
        </w:rPr>
        <w:t>H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</w:rPr>
        <w:t xml:space="preserve">ippocampal 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  <w:lang w:val="en-US" w:eastAsia="zh-CN"/>
        </w:rPr>
        <w:t>S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</w:rPr>
        <w:t>clerosis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  <w:lang w:eastAsia="zh-CN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</w:rPr>
        <w:t xml:space="preserve">MTLE 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  <w:lang w:val="en-US" w:eastAsia="zh-CN"/>
        </w:rPr>
        <w:t>M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</w:rPr>
        <w:t xml:space="preserve">esial 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  <w:lang w:val="en-US" w:eastAsia="zh-CN"/>
        </w:rPr>
        <w:t>T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</w:rPr>
        <w:t xml:space="preserve">emporal 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  <w:lang w:val="en-US" w:eastAsia="zh-CN"/>
        </w:rPr>
        <w:t>L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</w:rPr>
        <w:t xml:space="preserve">obe 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  <w:lang w:val="en-US" w:eastAsia="zh-CN"/>
        </w:rPr>
        <w:t>E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13"/>
          <w:szCs w:val="13"/>
          <w:shd w:val="clear" w:fill="FFFFFF"/>
        </w:rPr>
        <w:t xml:space="preserve">pilepsy </w:t>
      </w:r>
    </w:p>
    <w:p>
      <w:pP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IX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YTA5NTVmNTA3N2I5Y2YwZDU0YTMyZDkzMDZhYzIifQ=="/>
  </w:docVars>
  <w:rsids>
    <w:rsidRoot w:val="00000000"/>
    <w:rsid w:val="02E21402"/>
    <w:rsid w:val="08A24D90"/>
    <w:rsid w:val="09C305C1"/>
    <w:rsid w:val="100E0D78"/>
    <w:rsid w:val="13B642FE"/>
    <w:rsid w:val="2279736C"/>
    <w:rsid w:val="28967349"/>
    <w:rsid w:val="341316FD"/>
    <w:rsid w:val="34C763B7"/>
    <w:rsid w:val="41203464"/>
    <w:rsid w:val="62B455F8"/>
    <w:rsid w:val="6FDC7000"/>
    <w:rsid w:val="7631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988</Characters>
  <Lines>0</Lines>
  <Paragraphs>0</Paragraphs>
  <TotalTime>166</TotalTime>
  <ScaleCrop>false</ScaleCrop>
  <LinksUpToDate>false</LinksUpToDate>
  <CharactersWithSpaces>1098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2023-02-03T13:02:00Z</dcterms:created>
  <dc:creator>Lenovo</dc:creator>
  <cp:lastModifiedBy>传说哥</cp:lastModifiedBy>
  <dcterms:modified xsi:type="dcterms:W3CDTF">2023-02-22T05:30:23Z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E9FB7EF333FA49D2B630297614DADF06</vt:lpwstr>
  </property>
</Properties>
</file>