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3BEE34" w14:textId="77777777" w:rsidR="00FD2769" w:rsidRPr="00F50C76" w:rsidRDefault="00FD2769" w:rsidP="00FD2769">
      <w:pPr>
        <w:pStyle w:val="Heading1"/>
        <w:rPr>
          <w:rFonts w:cs="Times New Roman"/>
          <w:b/>
          <w:bCs/>
          <w:sz w:val="32"/>
          <w:szCs w:val="32"/>
        </w:rPr>
      </w:pPr>
      <w:r>
        <w:rPr>
          <w:rFonts w:cs="Times New Roman"/>
          <w:b/>
          <w:bCs/>
          <w:sz w:val="32"/>
          <w:szCs w:val="32"/>
        </w:rPr>
        <w:t>Supplementary Information</w:t>
      </w:r>
    </w:p>
    <w:p w14:paraId="5D2E364D" w14:textId="77777777" w:rsidR="00FD2769" w:rsidRPr="00E766F9" w:rsidRDefault="00FD2769" w:rsidP="00FD2769">
      <w:pPr>
        <w:rPr>
          <w:rFonts w:cs="Times New Roman"/>
        </w:rPr>
      </w:pPr>
      <w:r w:rsidRPr="005B7CF2">
        <w:rPr>
          <w:rFonts w:cs="Times New Roman"/>
          <w:b/>
          <w:bCs/>
        </w:rPr>
        <w:t>Table S1.</w:t>
      </w:r>
      <w:r w:rsidRPr="00E766F9">
        <w:rPr>
          <w:rFonts w:cs="Times New Roman"/>
        </w:rPr>
        <w:t xml:space="preserve"> </w:t>
      </w:r>
      <w:r>
        <w:rPr>
          <w:rFonts w:cs="Times New Roman"/>
        </w:rPr>
        <w:t>Table of bioassay total organic carbon (TOC) and O</w:t>
      </w:r>
      <w:r>
        <w:rPr>
          <w:rFonts w:cs="Times New Roman"/>
        </w:rPr>
        <w:softHyphen/>
      </w:r>
      <w:r w:rsidRPr="00C806E1">
        <w:rPr>
          <w:rFonts w:cs="Times New Roman"/>
          <w:vertAlign w:val="subscript"/>
        </w:rPr>
        <w:t>2</w:t>
      </w:r>
      <w:r>
        <w:rPr>
          <w:rFonts w:cs="Times New Roman"/>
        </w:rPr>
        <w:t xml:space="preserve"> removal rates, respiratory quotient (RQ), nominal oxidation state of carbon (NOSC) for the removed DOM, relative contribution of organoheterocyclic compounds to removed DOM, bacterial growth efficiency (BGE) and the change in total dissolved amino acids in carbon units (TDAA C). Shown in the first three columns are the date of bioassay initiation, the depth that the water was collected from, and the bioassay design where “d” are dilutions of 30:70 3.0 µm:0.2 µm filtrates and “u” are undiluted 3.0 µm filtrate.  </w:t>
      </w:r>
    </w:p>
    <w:p w14:paraId="50E61A16" w14:textId="77777777" w:rsidR="00FD2769" w:rsidRPr="003035A2" w:rsidRDefault="00FD2769" w:rsidP="00FD2769">
      <w:r>
        <w:tab/>
      </w:r>
    </w:p>
    <w:tbl>
      <w:tblPr>
        <w:tblW w:w="8847" w:type="dxa"/>
        <w:tblLook w:val="04A0" w:firstRow="1" w:lastRow="0" w:firstColumn="1" w:lastColumn="0" w:noHBand="0" w:noVBand="1"/>
      </w:tblPr>
      <w:tblGrid>
        <w:gridCol w:w="608"/>
        <w:gridCol w:w="546"/>
        <w:gridCol w:w="482"/>
        <w:gridCol w:w="1026"/>
        <w:gridCol w:w="945"/>
        <w:gridCol w:w="1026"/>
        <w:gridCol w:w="1026"/>
        <w:gridCol w:w="1136"/>
        <w:gridCol w:w="1026"/>
        <w:gridCol w:w="1026"/>
      </w:tblGrid>
      <w:tr w:rsidR="00FD2769" w:rsidRPr="00E766F9" w14:paraId="0DCA7136" w14:textId="77777777" w:rsidTr="00302554">
        <w:trPr>
          <w:cantSplit/>
          <w:trHeight w:val="1134"/>
        </w:trPr>
        <w:tc>
          <w:tcPr>
            <w:tcW w:w="608" w:type="dxa"/>
            <w:tcBorders>
              <w:top w:val="nil"/>
              <w:left w:val="nil"/>
              <w:bottom w:val="nil"/>
              <w:right w:val="nil"/>
            </w:tcBorders>
            <w:shd w:val="clear" w:color="auto" w:fill="auto"/>
            <w:noWrap/>
            <w:textDirection w:val="btLr"/>
            <w:vAlign w:val="center"/>
            <w:hideMark/>
          </w:tcPr>
          <w:p w14:paraId="2683B056" w14:textId="77777777" w:rsidR="00FD2769" w:rsidRPr="00E766F9" w:rsidRDefault="00FD2769" w:rsidP="00302554">
            <w:pPr>
              <w:spacing w:line="240" w:lineRule="auto"/>
              <w:ind w:left="113" w:right="113"/>
              <w:jc w:val="center"/>
              <w:rPr>
                <w:rFonts w:eastAsia="Times New Roman" w:cs="Times New Roman"/>
                <w:b/>
                <w:bCs/>
                <w:color w:val="000000"/>
              </w:rPr>
            </w:pPr>
            <w:r w:rsidRPr="00E766F9">
              <w:rPr>
                <w:rFonts w:eastAsia="Times New Roman" w:cs="Times New Roman"/>
                <w:b/>
                <w:bCs/>
                <w:color w:val="000000"/>
              </w:rPr>
              <w:t>Date</w:t>
            </w:r>
          </w:p>
        </w:tc>
        <w:tc>
          <w:tcPr>
            <w:tcW w:w="546" w:type="dxa"/>
            <w:tcBorders>
              <w:top w:val="nil"/>
              <w:left w:val="nil"/>
              <w:bottom w:val="nil"/>
              <w:right w:val="nil"/>
            </w:tcBorders>
            <w:shd w:val="clear" w:color="auto" w:fill="auto"/>
            <w:noWrap/>
            <w:textDirection w:val="btLr"/>
            <w:vAlign w:val="center"/>
            <w:hideMark/>
          </w:tcPr>
          <w:p w14:paraId="25108DC3" w14:textId="77777777" w:rsidR="00FD2769" w:rsidRPr="00E766F9" w:rsidRDefault="00FD2769" w:rsidP="00302554">
            <w:pPr>
              <w:spacing w:line="240" w:lineRule="auto"/>
              <w:ind w:left="113" w:right="113"/>
              <w:jc w:val="center"/>
              <w:rPr>
                <w:rFonts w:eastAsia="Times New Roman" w:cs="Times New Roman"/>
                <w:b/>
                <w:bCs/>
                <w:color w:val="000000"/>
              </w:rPr>
            </w:pPr>
            <w:r w:rsidRPr="00E766F9">
              <w:rPr>
                <w:rFonts w:eastAsia="Times New Roman" w:cs="Times New Roman"/>
                <w:b/>
                <w:bCs/>
                <w:color w:val="000000"/>
              </w:rPr>
              <w:t>Depth</w:t>
            </w:r>
          </w:p>
        </w:tc>
        <w:tc>
          <w:tcPr>
            <w:tcW w:w="482" w:type="dxa"/>
            <w:tcBorders>
              <w:top w:val="nil"/>
              <w:left w:val="nil"/>
              <w:bottom w:val="nil"/>
              <w:right w:val="nil"/>
            </w:tcBorders>
            <w:shd w:val="clear" w:color="auto" w:fill="auto"/>
            <w:noWrap/>
            <w:textDirection w:val="btLr"/>
            <w:vAlign w:val="center"/>
            <w:hideMark/>
          </w:tcPr>
          <w:p w14:paraId="071B465D" w14:textId="77777777" w:rsidR="00FD2769" w:rsidRPr="00E766F9" w:rsidRDefault="00FD2769" w:rsidP="00302554">
            <w:pPr>
              <w:spacing w:line="240" w:lineRule="auto"/>
              <w:ind w:left="113" w:right="113"/>
              <w:jc w:val="center"/>
              <w:rPr>
                <w:rFonts w:eastAsia="Times New Roman" w:cs="Times New Roman"/>
                <w:b/>
                <w:bCs/>
                <w:color w:val="000000"/>
              </w:rPr>
            </w:pPr>
            <w:r w:rsidRPr="00E766F9">
              <w:rPr>
                <w:rFonts w:eastAsia="Times New Roman" w:cs="Times New Roman"/>
                <w:b/>
                <w:bCs/>
                <w:color w:val="000000"/>
              </w:rPr>
              <w:t>Dilution</w:t>
            </w:r>
          </w:p>
        </w:tc>
        <w:tc>
          <w:tcPr>
            <w:tcW w:w="1026" w:type="dxa"/>
            <w:tcBorders>
              <w:top w:val="nil"/>
              <w:left w:val="nil"/>
              <w:bottom w:val="nil"/>
              <w:right w:val="nil"/>
            </w:tcBorders>
            <w:shd w:val="clear" w:color="auto" w:fill="auto"/>
            <w:noWrap/>
            <w:vAlign w:val="center"/>
            <w:hideMark/>
          </w:tcPr>
          <w:p w14:paraId="3C670D11" w14:textId="77777777" w:rsidR="00FD2769" w:rsidRPr="00E766F9" w:rsidRDefault="00FD2769" w:rsidP="00302554">
            <w:pPr>
              <w:spacing w:line="240" w:lineRule="auto"/>
              <w:jc w:val="center"/>
              <w:rPr>
                <w:rFonts w:eastAsia="Times New Roman" w:cs="Times New Roman"/>
                <w:b/>
                <w:bCs/>
                <w:color w:val="000000"/>
              </w:rPr>
            </w:pPr>
            <w:r>
              <w:rPr>
                <w:rFonts w:eastAsia="Times New Roman" w:cs="Times New Roman"/>
                <w:b/>
                <w:bCs/>
                <w:color w:val="000000"/>
              </w:rPr>
              <w:t>T</w:t>
            </w:r>
            <w:r w:rsidRPr="00E766F9">
              <w:rPr>
                <w:rFonts w:eastAsia="Times New Roman" w:cs="Times New Roman"/>
                <w:b/>
                <w:bCs/>
                <w:color w:val="000000"/>
              </w:rPr>
              <w:t>OC</w:t>
            </w:r>
          </w:p>
        </w:tc>
        <w:tc>
          <w:tcPr>
            <w:tcW w:w="945" w:type="dxa"/>
            <w:tcBorders>
              <w:top w:val="nil"/>
              <w:left w:val="nil"/>
              <w:bottom w:val="nil"/>
              <w:right w:val="nil"/>
            </w:tcBorders>
            <w:shd w:val="clear" w:color="auto" w:fill="auto"/>
            <w:noWrap/>
            <w:vAlign w:val="center"/>
            <w:hideMark/>
          </w:tcPr>
          <w:p w14:paraId="586D1041"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rPr>
              <w:t>O</w:t>
            </w:r>
            <w:r w:rsidRPr="007661D1">
              <w:rPr>
                <w:rFonts w:eastAsia="Times New Roman" w:cs="Times New Roman"/>
                <w:b/>
                <w:bCs/>
                <w:color w:val="000000"/>
                <w:vertAlign w:val="subscript"/>
              </w:rPr>
              <w:t>2</w:t>
            </w:r>
          </w:p>
        </w:tc>
        <w:tc>
          <w:tcPr>
            <w:tcW w:w="1026" w:type="dxa"/>
            <w:tcBorders>
              <w:top w:val="nil"/>
              <w:left w:val="nil"/>
              <w:bottom w:val="nil"/>
              <w:right w:val="nil"/>
            </w:tcBorders>
            <w:shd w:val="clear" w:color="auto" w:fill="auto"/>
            <w:noWrap/>
            <w:vAlign w:val="center"/>
            <w:hideMark/>
          </w:tcPr>
          <w:p w14:paraId="6B15679A"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rPr>
              <w:t>RQ</w:t>
            </w:r>
          </w:p>
        </w:tc>
        <w:tc>
          <w:tcPr>
            <w:tcW w:w="1026" w:type="dxa"/>
            <w:tcBorders>
              <w:top w:val="nil"/>
              <w:left w:val="nil"/>
              <w:bottom w:val="nil"/>
              <w:right w:val="nil"/>
            </w:tcBorders>
            <w:shd w:val="clear" w:color="auto" w:fill="auto"/>
            <w:noWrap/>
            <w:vAlign w:val="center"/>
            <w:hideMark/>
          </w:tcPr>
          <w:p w14:paraId="2F345E8E"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rPr>
              <w:t>NOSC</w:t>
            </w:r>
          </w:p>
        </w:tc>
        <w:tc>
          <w:tcPr>
            <w:tcW w:w="1136" w:type="dxa"/>
            <w:tcBorders>
              <w:top w:val="nil"/>
              <w:left w:val="nil"/>
              <w:bottom w:val="nil"/>
              <w:right w:val="nil"/>
            </w:tcBorders>
            <w:shd w:val="clear" w:color="auto" w:fill="auto"/>
            <w:vAlign w:val="center"/>
            <w:hideMark/>
          </w:tcPr>
          <w:p w14:paraId="071C3EBD"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sz w:val="18"/>
                <w:szCs w:val="18"/>
              </w:rPr>
              <w:t>Organo-heterocyclic</w:t>
            </w:r>
          </w:p>
        </w:tc>
        <w:tc>
          <w:tcPr>
            <w:tcW w:w="1026" w:type="dxa"/>
            <w:tcBorders>
              <w:top w:val="nil"/>
              <w:left w:val="nil"/>
              <w:bottom w:val="nil"/>
              <w:right w:val="nil"/>
            </w:tcBorders>
            <w:shd w:val="clear" w:color="auto" w:fill="auto"/>
            <w:noWrap/>
            <w:vAlign w:val="center"/>
            <w:hideMark/>
          </w:tcPr>
          <w:p w14:paraId="619F8145"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rPr>
              <w:t>BGE</w:t>
            </w:r>
          </w:p>
        </w:tc>
        <w:tc>
          <w:tcPr>
            <w:tcW w:w="1026" w:type="dxa"/>
            <w:tcBorders>
              <w:top w:val="nil"/>
              <w:left w:val="nil"/>
              <w:bottom w:val="nil"/>
              <w:right w:val="nil"/>
            </w:tcBorders>
            <w:shd w:val="clear" w:color="auto" w:fill="auto"/>
            <w:noWrap/>
            <w:vAlign w:val="center"/>
            <w:hideMark/>
          </w:tcPr>
          <w:p w14:paraId="3F2F1F24" w14:textId="77777777" w:rsidR="00FD2769" w:rsidRPr="00E766F9" w:rsidRDefault="00FD2769" w:rsidP="00302554">
            <w:pPr>
              <w:spacing w:line="240" w:lineRule="auto"/>
              <w:jc w:val="center"/>
              <w:rPr>
                <w:rFonts w:eastAsia="Times New Roman" w:cs="Times New Roman"/>
                <w:b/>
                <w:bCs/>
                <w:color w:val="000000"/>
              </w:rPr>
            </w:pPr>
            <w:r w:rsidRPr="00E766F9">
              <w:rPr>
                <w:rFonts w:eastAsia="Times New Roman" w:cs="Times New Roman"/>
                <w:b/>
                <w:bCs/>
                <w:color w:val="000000"/>
              </w:rPr>
              <w:t>ΔTDAA C</w:t>
            </w:r>
          </w:p>
        </w:tc>
      </w:tr>
      <w:tr w:rsidR="00FD2769" w:rsidRPr="00E766F9" w14:paraId="6FA9C590" w14:textId="77777777" w:rsidTr="00302554">
        <w:trPr>
          <w:trHeight w:val="300"/>
        </w:trPr>
        <w:tc>
          <w:tcPr>
            <w:tcW w:w="608" w:type="dxa"/>
            <w:tcBorders>
              <w:top w:val="single" w:sz="4" w:space="0" w:color="auto"/>
              <w:left w:val="nil"/>
              <w:bottom w:val="single" w:sz="8" w:space="0" w:color="auto"/>
              <w:right w:val="nil"/>
            </w:tcBorders>
            <w:shd w:val="clear" w:color="auto" w:fill="auto"/>
            <w:noWrap/>
            <w:vAlign w:val="bottom"/>
            <w:hideMark/>
          </w:tcPr>
          <w:p w14:paraId="2A65E2E2" w14:textId="77777777" w:rsidR="00FD2769" w:rsidRPr="00E766F9" w:rsidRDefault="00FD2769" w:rsidP="00302554">
            <w:pPr>
              <w:spacing w:line="240" w:lineRule="auto"/>
              <w:rPr>
                <w:rFonts w:eastAsia="Times New Roman" w:cs="Times New Roman"/>
                <w:color w:val="000000"/>
              </w:rPr>
            </w:pPr>
            <w:r w:rsidRPr="00E766F9">
              <w:rPr>
                <w:rFonts w:eastAsia="Times New Roman" w:cs="Times New Roman"/>
                <w:color w:val="000000"/>
              </w:rPr>
              <w:t> </w:t>
            </w:r>
          </w:p>
        </w:tc>
        <w:tc>
          <w:tcPr>
            <w:tcW w:w="546" w:type="dxa"/>
            <w:tcBorders>
              <w:top w:val="single" w:sz="4" w:space="0" w:color="auto"/>
              <w:left w:val="nil"/>
              <w:bottom w:val="single" w:sz="8" w:space="0" w:color="auto"/>
              <w:right w:val="nil"/>
            </w:tcBorders>
            <w:shd w:val="clear" w:color="auto" w:fill="auto"/>
            <w:noWrap/>
            <w:vAlign w:val="center"/>
            <w:hideMark/>
          </w:tcPr>
          <w:p w14:paraId="21BDCFC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m</w:t>
            </w:r>
          </w:p>
        </w:tc>
        <w:tc>
          <w:tcPr>
            <w:tcW w:w="482" w:type="dxa"/>
            <w:tcBorders>
              <w:top w:val="single" w:sz="4" w:space="0" w:color="auto"/>
              <w:left w:val="nil"/>
              <w:bottom w:val="single" w:sz="8" w:space="0" w:color="auto"/>
              <w:right w:val="nil"/>
            </w:tcBorders>
            <w:shd w:val="clear" w:color="auto" w:fill="auto"/>
            <w:noWrap/>
            <w:vAlign w:val="center"/>
            <w:hideMark/>
          </w:tcPr>
          <w:p w14:paraId="09D87FF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p>
        </w:tc>
        <w:tc>
          <w:tcPr>
            <w:tcW w:w="1026" w:type="dxa"/>
            <w:tcBorders>
              <w:top w:val="single" w:sz="4" w:space="0" w:color="auto"/>
              <w:left w:val="nil"/>
              <w:bottom w:val="single" w:sz="8" w:space="0" w:color="auto"/>
              <w:right w:val="nil"/>
            </w:tcBorders>
            <w:shd w:val="clear" w:color="auto" w:fill="auto"/>
            <w:noWrap/>
            <w:vAlign w:val="center"/>
            <w:hideMark/>
          </w:tcPr>
          <w:p w14:paraId="51B25144"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µM C d</w:t>
            </w:r>
            <w:r w:rsidRPr="00E766F9">
              <w:rPr>
                <w:rFonts w:eastAsia="Times New Roman" w:cs="Times New Roman"/>
                <w:i/>
                <w:iCs/>
                <w:color w:val="000000"/>
                <w:sz w:val="18"/>
                <w:szCs w:val="18"/>
                <w:vertAlign w:val="superscript"/>
              </w:rPr>
              <w:t>-1</w:t>
            </w:r>
          </w:p>
        </w:tc>
        <w:tc>
          <w:tcPr>
            <w:tcW w:w="945" w:type="dxa"/>
            <w:tcBorders>
              <w:top w:val="single" w:sz="4" w:space="0" w:color="auto"/>
              <w:left w:val="nil"/>
              <w:bottom w:val="single" w:sz="8" w:space="0" w:color="auto"/>
              <w:right w:val="nil"/>
            </w:tcBorders>
            <w:shd w:val="clear" w:color="auto" w:fill="auto"/>
            <w:noWrap/>
            <w:vAlign w:val="center"/>
            <w:hideMark/>
          </w:tcPr>
          <w:p w14:paraId="40E4876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µM O</w:t>
            </w:r>
            <w:r w:rsidRPr="00E766F9">
              <w:rPr>
                <w:rFonts w:eastAsia="Times New Roman" w:cs="Times New Roman"/>
                <w:i/>
                <w:iCs/>
                <w:color w:val="000000"/>
                <w:sz w:val="18"/>
                <w:szCs w:val="18"/>
                <w:vertAlign w:val="superscript"/>
              </w:rPr>
              <w:t>2</w:t>
            </w:r>
            <w:r w:rsidRPr="00E766F9">
              <w:rPr>
                <w:rFonts w:eastAsia="Times New Roman" w:cs="Times New Roman"/>
                <w:i/>
                <w:iCs/>
                <w:color w:val="000000"/>
                <w:sz w:val="18"/>
                <w:szCs w:val="18"/>
              </w:rPr>
              <w:t xml:space="preserve"> d</w:t>
            </w:r>
            <w:r w:rsidRPr="00E766F9">
              <w:rPr>
                <w:rFonts w:eastAsia="Times New Roman" w:cs="Times New Roman"/>
                <w:i/>
                <w:iCs/>
                <w:color w:val="000000"/>
                <w:sz w:val="18"/>
                <w:szCs w:val="18"/>
                <w:vertAlign w:val="superscript"/>
              </w:rPr>
              <w:t>-1</w:t>
            </w:r>
          </w:p>
        </w:tc>
        <w:tc>
          <w:tcPr>
            <w:tcW w:w="1026" w:type="dxa"/>
            <w:tcBorders>
              <w:top w:val="single" w:sz="4" w:space="0" w:color="auto"/>
              <w:left w:val="nil"/>
              <w:bottom w:val="single" w:sz="8" w:space="0" w:color="auto"/>
              <w:right w:val="nil"/>
            </w:tcBorders>
            <w:shd w:val="clear" w:color="auto" w:fill="auto"/>
            <w:noWrap/>
            <w:vAlign w:val="center"/>
            <w:hideMark/>
          </w:tcPr>
          <w:p w14:paraId="1A2C45C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O2/TOC</w:t>
            </w:r>
          </w:p>
        </w:tc>
        <w:tc>
          <w:tcPr>
            <w:tcW w:w="1026" w:type="dxa"/>
            <w:tcBorders>
              <w:top w:val="single" w:sz="4" w:space="0" w:color="auto"/>
              <w:left w:val="nil"/>
              <w:bottom w:val="single" w:sz="8" w:space="0" w:color="auto"/>
              <w:right w:val="nil"/>
            </w:tcBorders>
            <w:shd w:val="clear" w:color="auto" w:fill="auto"/>
            <w:noWrap/>
            <w:vAlign w:val="center"/>
            <w:hideMark/>
          </w:tcPr>
          <w:p w14:paraId="2F7CB8D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p>
        </w:tc>
        <w:tc>
          <w:tcPr>
            <w:tcW w:w="1136" w:type="dxa"/>
            <w:tcBorders>
              <w:top w:val="single" w:sz="4" w:space="0" w:color="auto"/>
              <w:left w:val="nil"/>
              <w:bottom w:val="single" w:sz="8" w:space="0" w:color="auto"/>
              <w:right w:val="nil"/>
            </w:tcBorders>
            <w:shd w:val="clear" w:color="auto" w:fill="auto"/>
            <w:noWrap/>
            <w:vAlign w:val="center"/>
            <w:hideMark/>
          </w:tcPr>
          <w:p w14:paraId="5ECB944D"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c>
          <w:tcPr>
            <w:tcW w:w="1026" w:type="dxa"/>
            <w:tcBorders>
              <w:top w:val="single" w:sz="4" w:space="0" w:color="auto"/>
              <w:left w:val="nil"/>
              <w:bottom w:val="single" w:sz="8" w:space="0" w:color="auto"/>
              <w:right w:val="nil"/>
            </w:tcBorders>
            <w:shd w:val="clear" w:color="auto" w:fill="auto"/>
            <w:noWrap/>
            <w:vAlign w:val="center"/>
            <w:hideMark/>
          </w:tcPr>
          <w:p w14:paraId="43052E68"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c>
          <w:tcPr>
            <w:tcW w:w="1026" w:type="dxa"/>
            <w:tcBorders>
              <w:top w:val="single" w:sz="4" w:space="0" w:color="auto"/>
              <w:left w:val="nil"/>
              <w:bottom w:val="single" w:sz="8" w:space="0" w:color="auto"/>
              <w:right w:val="nil"/>
            </w:tcBorders>
            <w:shd w:val="clear" w:color="auto" w:fill="auto"/>
            <w:noWrap/>
            <w:vAlign w:val="center"/>
            <w:hideMark/>
          </w:tcPr>
          <w:p w14:paraId="38D21CD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µM C</w:t>
            </w:r>
          </w:p>
        </w:tc>
      </w:tr>
      <w:tr w:rsidR="00FD2769" w:rsidRPr="00E766F9" w14:paraId="2E90CDBD" w14:textId="77777777" w:rsidTr="00302554">
        <w:trPr>
          <w:trHeight w:val="290"/>
        </w:trPr>
        <w:tc>
          <w:tcPr>
            <w:tcW w:w="608" w:type="dxa"/>
            <w:vMerge w:val="restart"/>
            <w:tcBorders>
              <w:top w:val="nil"/>
              <w:left w:val="nil"/>
              <w:bottom w:val="single" w:sz="8" w:space="0" w:color="000000"/>
              <w:right w:val="nil"/>
            </w:tcBorders>
            <w:shd w:val="clear" w:color="auto" w:fill="auto"/>
            <w:noWrap/>
            <w:vAlign w:val="center"/>
            <w:hideMark/>
          </w:tcPr>
          <w:p w14:paraId="5F0D1481"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5/5</w:t>
            </w:r>
          </w:p>
        </w:tc>
        <w:tc>
          <w:tcPr>
            <w:tcW w:w="546" w:type="dxa"/>
            <w:vMerge w:val="restart"/>
            <w:tcBorders>
              <w:top w:val="nil"/>
              <w:left w:val="nil"/>
              <w:bottom w:val="single" w:sz="8" w:space="0" w:color="000000"/>
              <w:right w:val="nil"/>
            </w:tcBorders>
            <w:shd w:val="clear" w:color="auto" w:fill="auto"/>
            <w:noWrap/>
            <w:vAlign w:val="center"/>
            <w:hideMark/>
          </w:tcPr>
          <w:p w14:paraId="13D887FC"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w:t>
            </w:r>
          </w:p>
        </w:tc>
        <w:tc>
          <w:tcPr>
            <w:tcW w:w="482" w:type="dxa"/>
            <w:tcBorders>
              <w:top w:val="nil"/>
              <w:left w:val="nil"/>
              <w:bottom w:val="nil"/>
              <w:right w:val="nil"/>
            </w:tcBorders>
            <w:shd w:val="clear" w:color="auto" w:fill="auto"/>
            <w:noWrap/>
            <w:vAlign w:val="center"/>
            <w:hideMark/>
          </w:tcPr>
          <w:p w14:paraId="74E59055"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25DEF927"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c>
          <w:tcPr>
            <w:tcW w:w="945" w:type="dxa"/>
            <w:tcBorders>
              <w:top w:val="nil"/>
              <w:left w:val="nil"/>
              <w:bottom w:val="nil"/>
              <w:right w:val="nil"/>
            </w:tcBorders>
            <w:shd w:val="clear" w:color="auto" w:fill="auto"/>
            <w:noWrap/>
            <w:hideMark/>
          </w:tcPr>
          <w:p w14:paraId="760912C6"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0.43±0.03</w:t>
            </w:r>
          </w:p>
        </w:tc>
        <w:tc>
          <w:tcPr>
            <w:tcW w:w="1026" w:type="dxa"/>
            <w:tcBorders>
              <w:top w:val="nil"/>
              <w:left w:val="nil"/>
              <w:bottom w:val="nil"/>
              <w:right w:val="nil"/>
            </w:tcBorders>
            <w:shd w:val="clear" w:color="auto" w:fill="auto"/>
            <w:noWrap/>
            <w:vAlign w:val="center"/>
            <w:hideMark/>
          </w:tcPr>
          <w:p w14:paraId="55222C5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1B0AF8F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-0.82±0.02</w:t>
            </w:r>
          </w:p>
        </w:tc>
        <w:tc>
          <w:tcPr>
            <w:tcW w:w="1136" w:type="dxa"/>
            <w:tcBorders>
              <w:top w:val="nil"/>
              <w:left w:val="nil"/>
              <w:bottom w:val="nil"/>
              <w:right w:val="nil"/>
            </w:tcBorders>
            <w:shd w:val="clear" w:color="auto" w:fill="auto"/>
            <w:noWrap/>
            <w:vAlign w:val="center"/>
            <w:hideMark/>
          </w:tcPr>
          <w:p w14:paraId="0EFDF7E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w:t>
            </w:r>
            <w:r>
              <w:rPr>
                <w:rFonts w:eastAsia="Times New Roman" w:cs="Times New Roman"/>
                <w:i/>
                <w:iCs/>
                <w:color w:val="000000"/>
                <w:sz w:val="18"/>
                <w:szCs w:val="18"/>
              </w:rPr>
              <w:t>0</w:t>
            </w:r>
            <w:r w:rsidRPr="00E766F9">
              <w:rPr>
                <w:rFonts w:eastAsia="Times New Roman" w:cs="Times New Roman"/>
                <w:i/>
                <w:iCs/>
                <w:color w:val="000000"/>
                <w:sz w:val="18"/>
                <w:szCs w:val="18"/>
              </w:rPr>
              <w:t>±1</w:t>
            </w:r>
          </w:p>
        </w:tc>
        <w:tc>
          <w:tcPr>
            <w:tcW w:w="1026" w:type="dxa"/>
            <w:tcBorders>
              <w:top w:val="nil"/>
              <w:left w:val="nil"/>
              <w:bottom w:val="nil"/>
              <w:right w:val="nil"/>
            </w:tcBorders>
            <w:shd w:val="clear" w:color="auto" w:fill="auto"/>
            <w:noWrap/>
            <w:vAlign w:val="center"/>
            <w:hideMark/>
          </w:tcPr>
          <w:p w14:paraId="401BCFB4"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37±3</w:t>
            </w:r>
          </w:p>
        </w:tc>
        <w:tc>
          <w:tcPr>
            <w:tcW w:w="1026" w:type="dxa"/>
            <w:tcBorders>
              <w:top w:val="nil"/>
              <w:left w:val="nil"/>
              <w:bottom w:val="nil"/>
              <w:right w:val="nil"/>
            </w:tcBorders>
            <w:shd w:val="clear" w:color="auto" w:fill="auto"/>
            <w:noWrap/>
            <w:vAlign w:val="center"/>
            <w:hideMark/>
          </w:tcPr>
          <w:p w14:paraId="05FBF91F"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r>
      <w:tr w:rsidR="00FD2769" w:rsidRPr="00E766F9" w14:paraId="3682308F" w14:textId="77777777" w:rsidTr="00302554">
        <w:trPr>
          <w:trHeight w:val="290"/>
        </w:trPr>
        <w:tc>
          <w:tcPr>
            <w:tcW w:w="608" w:type="dxa"/>
            <w:vMerge/>
            <w:tcBorders>
              <w:top w:val="nil"/>
              <w:left w:val="nil"/>
              <w:bottom w:val="single" w:sz="8" w:space="0" w:color="000000"/>
              <w:right w:val="nil"/>
            </w:tcBorders>
            <w:vAlign w:val="center"/>
            <w:hideMark/>
          </w:tcPr>
          <w:p w14:paraId="04319D56"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7E6D9F44"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4E83E84A"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35735100"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23F738FB"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0.43±0.03</w:t>
            </w:r>
          </w:p>
        </w:tc>
        <w:tc>
          <w:tcPr>
            <w:tcW w:w="1026" w:type="dxa"/>
            <w:tcBorders>
              <w:top w:val="nil"/>
              <w:left w:val="nil"/>
              <w:bottom w:val="nil"/>
              <w:right w:val="nil"/>
            </w:tcBorders>
            <w:shd w:val="clear" w:color="auto" w:fill="auto"/>
            <w:noWrap/>
            <w:vAlign w:val="center"/>
            <w:hideMark/>
          </w:tcPr>
          <w:p w14:paraId="5E51AFB3"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7ECE60E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-0.9</w:t>
            </w:r>
            <w:r>
              <w:rPr>
                <w:rFonts w:eastAsia="Times New Roman" w:cs="Times New Roman"/>
                <w:i/>
                <w:iCs/>
                <w:color w:val="000000"/>
                <w:sz w:val="18"/>
                <w:szCs w:val="18"/>
              </w:rPr>
              <w:t>0</w:t>
            </w:r>
            <w:r w:rsidRPr="00E766F9">
              <w:rPr>
                <w:rFonts w:eastAsia="Times New Roman" w:cs="Times New Roman"/>
                <w:i/>
                <w:iCs/>
                <w:color w:val="000000"/>
                <w:sz w:val="18"/>
                <w:szCs w:val="18"/>
              </w:rPr>
              <w:t>±0.01</w:t>
            </w:r>
          </w:p>
        </w:tc>
        <w:tc>
          <w:tcPr>
            <w:tcW w:w="1136" w:type="dxa"/>
            <w:tcBorders>
              <w:top w:val="nil"/>
              <w:left w:val="nil"/>
              <w:bottom w:val="nil"/>
              <w:right w:val="nil"/>
            </w:tcBorders>
            <w:shd w:val="clear" w:color="auto" w:fill="auto"/>
            <w:noWrap/>
            <w:vAlign w:val="center"/>
            <w:hideMark/>
          </w:tcPr>
          <w:p w14:paraId="4E68A04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6±1</w:t>
            </w:r>
          </w:p>
        </w:tc>
        <w:tc>
          <w:tcPr>
            <w:tcW w:w="1026" w:type="dxa"/>
            <w:tcBorders>
              <w:top w:val="nil"/>
              <w:left w:val="nil"/>
              <w:bottom w:val="nil"/>
              <w:right w:val="nil"/>
            </w:tcBorders>
            <w:shd w:val="clear" w:color="auto" w:fill="auto"/>
            <w:noWrap/>
            <w:vAlign w:val="center"/>
            <w:hideMark/>
          </w:tcPr>
          <w:p w14:paraId="1EDA020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37±3</w:t>
            </w:r>
          </w:p>
        </w:tc>
        <w:tc>
          <w:tcPr>
            <w:tcW w:w="1026" w:type="dxa"/>
            <w:tcBorders>
              <w:top w:val="nil"/>
              <w:left w:val="nil"/>
              <w:bottom w:val="nil"/>
              <w:right w:val="nil"/>
            </w:tcBorders>
            <w:shd w:val="clear" w:color="auto" w:fill="auto"/>
            <w:noWrap/>
            <w:vAlign w:val="center"/>
            <w:hideMark/>
          </w:tcPr>
          <w:p w14:paraId="2C8CF43A"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r>
      <w:tr w:rsidR="00FD2769" w:rsidRPr="00E766F9" w14:paraId="50F99329" w14:textId="77777777" w:rsidTr="00302554">
        <w:trPr>
          <w:trHeight w:val="290"/>
        </w:trPr>
        <w:tc>
          <w:tcPr>
            <w:tcW w:w="608" w:type="dxa"/>
            <w:vMerge/>
            <w:tcBorders>
              <w:top w:val="nil"/>
              <w:left w:val="nil"/>
              <w:bottom w:val="single" w:sz="8" w:space="0" w:color="000000"/>
              <w:right w:val="nil"/>
            </w:tcBorders>
            <w:vAlign w:val="center"/>
            <w:hideMark/>
          </w:tcPr>
          <w:p w14:paraId="3B8DAF79"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45918069"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79F8129C"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3CEEDC0A"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327C3EBB"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0.46±0.02</w:t>
            </w:r>
          </w:p>
        </w:tc>
        <w:tc>
          <w:tcPr>
            <w:tcW w:w="1026" w:type="dxa"/>
            <w:tcBorders>
              <w:top w:val="nil"/>
              <w:left w:val="nil"/>
              <w:bottom w:val="nil"/>
              <w:right w:val="nil"/>
            </w:tcBorders>
            <w:shd w:val="clear" w:color="auto" w:fill="auto"/>
            <w:noWrap/>
            <w:vAlign w:val="center"/>
            <w:hideMark/>
          </w:tcPr>
          <w:p w14:paraId="637F5044"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263733B8"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136" w:type="dxa"/>
            <w:tcBorders>
              <w:top w:val="nil"/>
              <w:left w:val="nil"/>
              <w:bottom w:val="nil"/>
              <w:right w:val="nil"/>
            </w:tcBorders>
            <w:shd w:val="clear" w:color="auto" w:fill="auto"/>
            <w:noWrap/>
            <w:vAlign w:val="center"/>
            <w:hideMark/>
          </w:tcPr>
          <w:p w14:paraId="2EC7ECB7"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46D0FE46"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31±3</w:t>
            </w:r>
          </w:p>
        </w:tc>
        <w:tc>
          <w:tcPr>
            <w:tcW w:w="1026" w:type="dxa"/>
            <w:tcBorders>
              <w:top w:val="nil"/>
              <w:left w:val="nil"/>
              <w:bottom w:val="nil"/>
              <w:right w:val="nil"/>
            </w:tcBorders>
            <w:shd w:val="clear" w:color="auto" w:fill="auto"/>
            <w:noWrap/>
            <w:vAlign w:val="center"/>
            <w:hideMark/>
          </w:tcPr>
          <w:p w14:paraId="5AB79C71" w14:textId="77777777" w:rsidR="00FD2769" w:rsidRPr="00E766F9" w:rsidRDefault="00FD2769" w:rsidP="00302554">
            <w:pPr>
              <w:spacing w:line="240" w:lineRule="auto"/>
              <w:jc w:val="center"/>
              <w:rPr>
                <w:rFonts w:eastAsia="Times New Roman" w:cs="Times New Roman"/>
                <w:sz w:val="18"/>
                <w:szCs w:val="18"/>
              </w:rPr>
            </w:pPr>
            <w:r>
              <w:rPr>
                <w:rFonts w:eastAsia="Times New Roman" w:cs="Times New Roman"/>
                <w:sz w:val="18"/>
                <w:szCs w:val="18"/>
              </w:rPr>
              <w:t>-</w:t>
            </w:r>
          </w:p>
        </w:tc>
      </w:tr>
      <w:tr w:rsidR="00FD2769" w:rsidRPr="00E766F9" w14:paraId="5CE53E4B" w14:textId="77777777" w:rsidTr="00302554">
        <w:trPr>
          <w:trHeight w:val="300"/>
        </w:trPr>
        <w:tc>
          <w:tcPr>
            <w:tcW w:w="608" w:type="dxa"/>
            <w:vMerge/>
            <w:tcBorders>
              <w:top w:val="nil"/>
              <w:left w:val="nil"/>
              <w:bottom w:val="single" w:sz="8" w:space="0" w:color="000000"/>
              <w:right w:val="nil"/>
            </w:tcBorders>
            <w:vAlign w:val="center"/>
            <w:hideMark/>
          </w:tcPr>
          <w:p w14:paraId="118F6C41"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4638C3B8"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0AB935F9"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single" w:sz="8" w:space="0" w:color="auto"/>
              <w:right w:val="nil"/>
            </w:tcBorders>
            <w:shd w:val="clear" w:color="auto" w:fill="auto"/>
            <w:noWrap/>
            <w:vAlign w:val="center"/>
            <w:hideMark/>
          </w:tcPr>
          <w:p w14:paraId="7E5859E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945" w:type="dxa"/>
            <w:tcBorders>
              <w:top w:val="nil"/>
              <w:left w:val="nil"/>
              <w:bottom w:val="single" w:sz="8" w:space="0" w:color="auto"/>
              <w:right w:val="nil"/>
            </w:tcBorders>
            <w:shd w:val="clear" w:color="auto" w:fill="auto"/>
            <w:noWrap/>
            <w:hideMark/>
          </w:tcPr>
          <w:p w14:paraId="1E7E324A"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0.46±0.02</w:t>
            </w:r>
          </w:p>
        </w:tc>
        <w:tc>
          <w:tcPr>
            <w:tcW w:w="1026" w:type="dxa"/>
            <w:tcBorders>
              <w:top w:val="nil"/>
              <w:left w:val="nil"/>
              <w:bottom w:val="single" w:sz="8" w:space="0" w:color="auto"/>
              <w:right w:val="nil"/>
            </w:tcBorders>
            <w:shd w:val="clear" w:color="auto" w:fill="auto"/>
            <w:noWrap/>
            <w:vAlign w:val="center"/>
            <w:hideMark/>
          </w:tcPr>
          <w:p w14:paraId="6A5BF10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1026" w:type="dxa"/>
            <w:tcBorders>
              <w:top w:val="nil"/>
              <w:left w:val="nil"/>
              <w:bottom w:val="single" w:sz="8" w:space="0" w:color="auto"/>
              <w:right w:val="nil"/>
            </w:tcBorders>
            <w:shd w:val="clear" w:color="auto" w:fill="auto"/>
            <w:noWrap/>
            <w:vAlign w:val="center"/>
            <w:hideMark/>
          </w:tcPr>
          <w:p w14:paraId="643BC4C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w:t>
            </w:r>
            <w:r>
              <w:rPr>
                <w:rFonts w:eastAsia="Times New Roman" w:cs="Times New Roman"/>
                <w:i/>
                <w:iCs/>
                <w:color w:val="000000"/>
                <w:sz w:val="18"/>
                <w:szCs w:val="18"/>
              </w:rPr>
              <w:t>0</w:t>
            </w:r>
            <w:r w:rsidRPr="00E766F9">
              <w:rPr>
                <w:rFonts w:eastAsia="Times New Roman" w:cs="Times New Roman"/>
                <w:i/>
                <w:iCs/>
                <w:color w:val="000000"/>
                <w:sz w:val="18"/>
                <w:szCs w:val="18"/>
              </w:rPr>
              <w:t>±0.03</w:t>
            </w:r>
          </w:p>
        </w:tc>
        <w:tc>
          <w:tcPr>
            <w:tcW w:w="1136" w:type="dxa"/>
            <w:tcBorders>
              <w:top w:val="nil"/>
              <w:left w:val="nil"/>
              <w:bottom w:val="single" w:sz="8" w:space="0" w:color="auto"/>
              <w:right w:val="nil"/>
            </w:tcBorders>
            <w:shd w:val="clear" w:color="auto" w:fill="auto"/>
            <w:noWrap/>
            <w:vAlign w:val="center"/>
            <w:hideMark/>
          </w:tcPr>
          <w:p w14:paraId="63F921E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14±1</w:t>
            </w:r>
          </w:p>
        </w:tc>
        <w:tc>
          <w:tcPr>
            <w:tcW w:w="1026" w:type="dxa"/>
            <w:tcBorders>
              <w:top w:val="nil"/>
              <w:left w:val="nil"/>
              <w:bottom w:val="single" w:sz="8" w:space="0" w:color="auto"/>
              <w:right w:val="nil"/>
            </w:tcBorders>
            <w:shd w:val="clear" w:color="auto" w:fill="auto"/>
            <w:noWrap/>
            <w:vAlign w:val="center"/>
            <w:hideMark/>
          </w:tcPr>
          <w:p w14:paraId="6797187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31±3</w:t>
            </w:r>
          </w:p>
        </w:tc>
        <w:tc>
          <w:tcPr>
            <w:tcW w:w="1026" w:type="dxa"/>
            <w:tcBorders>
              <w:top w:val="nil"/>
              <w:left w:val="nil"/>
              <w:bottom w:val="single" w:sz="8" w:space="0" w:color="auto"/>
              <w:right w:val="nil"/>
            </w:tcBorders>
            <w:shd w:val="clear" w:color="auto" w:fill="auto"/>
            <w:noWrap/>
            <w:vAlign w:val="center"/>
            <w:hideMark/>
          </w:tcPr>
          <w:p w14:paraId="2A92CD9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r>
      <w:tr w:rsidR="00FD2769" w:rsidRPr="00E766F9" w14:paraId="7A4CF3C8" w14:textId="77777777" w:rsidTr="00302554">
        <w:trPr>
          <w:trHeight w:val="290"/>
        </w:trPr>
        <w:tc>
          <w:tcPr>
            <w:tcW w:w="608" w:type="dxa"/>
            <w:vMerge w:val="restart"/>
            <w:tcBorders>
              <w:top w:val="nil"/>
              <w:left w:val="nil"/>
              <w:bottom w:val="single" w:sz="8" w:space="0" w:color="000000"/>
              <w:right w:val="nil"/>
            </w:tcBorders>
            <w:shd w:val="clear" w:color="auto" w:fill="auto"/>
            <w:noWrap/>
            <w:vAlign w:val="center"/>
            <w:hideMark/>
          </w:tcPr>
          <w:p w14:paraId="61939E6F"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5/11</w:t>
            </w:r>
          </w:p>
        </w:tc>
        <w:tc>
          <w:tcPr>
            <w:tcW w:w="546" w:type="dxa"/>
            <w:vMerge w:val="restart"/>
            <w:tcBorders>
              <w:top w:val="nil"/>
              <w:left w:val="nil"/>
              <w:bottom w:val="single" w:sz="8" w:space="0" w:color="000000"/>
              <w:right w:val="nil"/>
            </w:tcBorders>
            <w:shd w:val="clear" w:color="auto" w:fill="auto"/>
            <w:noWrap/>
            <w:vAlign w:val="center"/>
            <w:hideMark/>
          </w:tcPr>
          <w:p w14:paraId="7731E455"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w:t>
            </w:r>
          </w:p>
        </w:tc>
        <w:tc>
          <w:tcPr>
            <w:tcW w:w="482" w:type="dxa"/>
            <w:tcBorders>
              <w:top w:val="nil"/>
              <w:left w:val="nil"/>
              <w:bottom w:val="nil"/>
              <w:right w:val="nil"/>
            </w:tcBorders>
            <w:shd w:val="clear" w:color="auto" w:fill="auto"/>
            <w:noWrap/>
            <w:vAlign w:val="center"/>
            <w:hideMark/>
          </w:tcPr>
          <w:p w14:paraId="5011932E"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4D4820C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0.18±0.03</w:t>
            </w:r>
          </w:p>
        </w:tc>
        <w:tc>
          <w:tcPr>
            <w:tcW w:w="945" w:type="dxa"/>
            <w:tcBorders>
              <w:top w:val="nil"/>
              <w:left w:val="nil"/>
              <w:bottom w:val="nil"/>
              <w:right w:val="nil"/>
            </w:tcBorders>
            <w:shd w:val="clear" w:color="auto" w:fill="auto"/>
            <w:noWrap/>
            <w:hideMark/>
          </w:tcPr>
          <w:p w14:paraId="631D6C2B"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0.43±0.03</w:t>
            </w:r>
          </w:p>
        </w:tc>
        <w:tc>
          <w:tcPr>
            <w:tcW w:w="1026" w:type="dxa"/>
            <w:tcBorders>
              <w:top w:val="nil"/>
              <w:left w:val="nil"/>
              <w:bottom w:val="nil"/>
              <w:right w:val="nil"/>
            </w:tcBorders>
            <w:shd w:val="clear" w:color="auto" w:fill="auto"/>
            <w:noWrap/>
            <w:vAlign w:val="center"/>
            <w:hideMark/>
          </w:tcPr>
          <w:p w14:paraId="7ACBA89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1.36±0.17</w:t>
            </w:r>
          </w:p>
        </w:tc>
        <w:tc>
          <w:tcPr>
            <w:tcW w:w="1026" w:type="dxa"/>
            <w:tcBorders>
              <w:top w:val="nil"/>
              <w:left w:val="nil"/>
              <w:bottom w:val="nil"/>
              <w:right w:val="nil"/>
            </w:tcBorders>
            <w:shd w:val="clear" w:color="auto" w:fill="auto"/>
            <w:noWrap/>
            <w:vAlign w:val="center"/>
            <w:hideMark/>
          </w:tcPr>
          <w:p w14:paraId="720F126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-0.65±0.04</w:t>
            </w:r>
          </w:p>
        </w:tc>
        <w:tc>
          <w:tcPr>
            <w:tcW w:w="1136" w:type="dxa"/>
            <w:tcBorders>
              <w:top w:val="nil"/>
              <w:left w:val="nil"/>
              <w:bottom w:val="nil"/>
              <w:right w:val="nil"/>
            </w:tcBorders>
            <w:shd w:val="clear" w:color="auto" w:fill="auto"/>
            <w:noWrap/>
            <w:vAlign w:val="center"/>
            <w:hideMark/>
          </w:tcPr>
          <w:p w14:paraId="4740DA3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w:t>
            </w:r>
            <w:r>
              <w:rPr>
                <w:rFonts w:eastAsia="Times New Roman" w:cs="Times New Roman"/>
                <w:i/>
                <w:iCs/>
                <w:color w:val="000000"/>
                <w:sz w:val="18"/>
                <w:szCs w:val="18"/>
              </w:rPr>
              <w:t>0</w:t>
            </w:r>
            <w:r w:rsidRPr="00E766F9">
              <w:rPr>
                <w:rFonts w:eastAsia="Times New Roman" w:cs="Times New Roman"/>
                <w:i/>
                <w:iCs/>
                <w:color w:val="000000"/>
                <w:sz w:val="18"/>
                <w:szCs w:val="18"/>
              </w:rPr>
              <w:t>±1</w:t>
            </w:r>
          </w:p>
        </w:tc>
        <w:tc>
          <w:tcPr>
            <w:tcW w:w="1026" w:type="dxa"/>
            <w:tcBorders>
              <w:top w:val="nil"/>
              <w:left w:val="nil"/>
              <w:bottom w:val="nil"/>
              <w:right w:val="nil"/>
            </w:tcBorders>
            <w:shd w:val="clear" w:color="auto" w:fill="auto"/>
            <w:noWrap/>
            <w:vAlign w:val="center"/>
            <w:hideMark/>
          </w:tcPr>
          <w:p w14:paraId="1DFF8A9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32±3</w:t>
            </w:r>
          </w:p>
        </w:tc>
        <w:tc>
          <w:tcPr>
            <w:tcW w:w="1026" w:type="dxa"/>
            <w:tcBorders>
              <w:top w:val="nil"/>
              <w:left w:val="nil"/>
              <w:bottom w:val="nil"/>
              <w:right w:val="nil"/>
            </w:tcBorders>
            <w:shd w:val="clear" w:color="auto" w:fill="auto"/>
            <w:noWrap/>
            <w:vAlign w:val="center"/>
            <w:hideMark/>
          </w:tcPr>
          <w:p w14:paraId="6F7518F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-0.29±0.09</w:t>
            </w:r>
          </w:p>
        </w:tc>
      </w:tr>
      <w:tr w:rsidR="00FD2769" w:rsidRPr="00E766F9" w14:paraId="616152FF" w14:textId="77777777" w:rsidTr="00302554">
        <w:trPr>
          <w:trHeight w:val="290"/>
        </w:trPr>
        <w:tc>
          <w:tcPr>
            <w:tcW w:w="608" w:type="dxa"/>
            <w:vMerge/>
            <w:tcBorders>
              <w:top w:val="nil"/>
              <w:left w:val="nil"/>
              <w:bottom w:val="single" w:sz="8" w:space="0" w:color="000000"/>
              <w:right w:val="nil"/>
            </w:tcBorders>
            <w:vAlign w:val="center"/>
            <w:hideMark/>
          </w:tcPr>
          <w:p w14:paraId="75313750"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7C23FB69"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0B70D506"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02A8ED9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0.18±0.03</w:t>
            </w:r>
          </w:p>
        </w:tc>
        <w:tc>
          <w:tcPr>
            <w:tcW w:w="945" w:type="dxa"/>
            <w:tcBorders>
              <w:top w:val="nil"/>
              <w:left w:val="nil"/>
              <w:bottom w:val="nil"/>
              <w:right w:val="nil"/>
            </w:tcBorders>
            <w:shd w:val="clear" w:color="auto" w:fill="auto"/>
            <w:noWrap/>
            <w:hideMark/>
          </w:tcPr>
          <w:p w14:paraId="25B0A735"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0.43±0.03</w:t>
            </w:r>
          </w:p>
        </w:tc>
        <w:tc>
          <w:tcPr>
            <w:tcW w:w="1026" w:type="dxa"/>
            <w:tcBorders>
              <w:top w:val="nil"/>
              <w:left w:val="nil"/>
              <w:bottom w:val="nil"/>
              <w:right w:val="nil"/>
            </w:tcBorders>
            <w:shd w:val="clear" w:color="auto" w:fill="auto"/>
            <w:noWrap/>
            <w:vAlign w:val="center"/>
            <w:hideMark/>
          </w:tcPr>
          <w:p w14:paraId="050B69D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1.36±0.17</w:t>
            </w:r>
          </w:p>
        </w:tc>
        <w:tc>
          <w:tcPr>
            <w:tcW w:w="1026" w:type="dxa"/>
            <w:tcBorders>
              <w:top w:val="nil"/>
              <w:left w:val="nil"/>
              <w:bottom w:val="nil"/>
              <w:right w:val="nil"/>
            </w:tcBorders>
            <w:shd w:val="clear" w:color="auto" w:fill="auto"/>
            <w:noWrap/>
            <w:vAlign w:val="center"/>
            <w:hideMark/>
          </w:tcPr>
          <w:p w14:paraId="21E6F49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-0.65±0.02</w:t>
            </w:r>
          </w:p>
        </w:tc>
        <w:tc>
          <w:tcPr>
            <w:tcW w:w="1136" w:type="dxa"/>
            <w:tcBorders>
              <w:top w:val="nil"/>
              <w:left w:val="nil"/>
              <w:bottom w:val="nil"/>
              <w:right w:val="nil"/>
            </w:tcBorders>
            <w:shd w:val="clear" w:color="auto" w:fill="auto"/>
            <w:noWrap/>
            <w:vAlign w:val="center"/>
            <w:hideMark/>
          </w:tcPr>
          <w:p w14:paraId="34429FF2"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11±1</w:t>
            </w:r>
          </w:p>
        </w:tc>
        <w:tc>
          <w:tcPr>
            <w:tcW w:w="1026" w:type="dxa"/>
            <w:tcBorders>
              <w:top w:val="nil"/>
              <w:left w:val="nil"/>
              <w:bottom w:val="nil"/>
              <w:right w:val="nil"/>
            </w:tcBorders>
            <w:shd w:val="clear" w:color="auto" w:fill="auto"/>
            <w:noWrap/>
            <w:vAlign w:val="center"/>
            <w:hideMark/>
          </w:tcPr>
          <w:p w14:paraId="7AFEE53F"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32±3</w:t>
            </w:r>
          </w:p>
        </w:tc>
        <w:tc>
          <w:tcPr>
            <w:tcW w:w="1026" w:type="dxa"/>
            <w:tcBorders>
              <w:top w:val="nil"/>
              <w:left w:val="nil"/>
              <w:bottom w:val="nil"/>
              <w:right w:val="nil"/>
            </w:tcBorders>
            <w:shd w:val="clear" w:color="auto" w:fill="auto"/>
            <w:noWrap/>
            <w:vAlign w:val="center"/>
            <w:hideMark/>
          </w:tcPr>
          <w:p w14:paraId="1FAD9607"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-0.29±0.09</w:t>
            </w:r>
          </w:p>
        </w:tc>
      </w:tr>
      <w:tr w:rsidR="00FD2769" w:rsidRPr="00E766F9" w14:paraId="0BB25E73" w14:textId="77777777" w:rsidTr="00302554">
        <w:trPr>
          <w:trHeight w:val="290"/>
        </w:trPr>
        <w:tc>
          <w:tcPr>
            <w:tcW w:w="608" w:type="dxa"/>
            <w:vMerge/>
            <w:tcBorders>
              <w:top w:val="nil"/>
              <w:left w:val="nil"/>
              <w:bottom w:val="single" w:sz="8" w:space="0" w:color="000000"/>
              <w:right w:val="nil"/>
            </w:tcBorders>
            <w:vAlign w:val="center"/>
            <w:hideMark/>
          </w:tcPr>
          <w:p w14:paraId="6DB9F346"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11B6C130"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2B1E128D"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3BBA62F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0.27±0.06</w:t>
            </w:r>
          </w:p>
        </w:tc>
        <w:tc>
          <w:tcPr>
            <w:tcW w:w="945" w:type="dxa"/>
            <w:tcBorders>
              <w:top w:val="nil"/>
              <w:left w:val="nil"/>
              <w:bottom w:val="nil"/>
              <w:right w:val="nil"/>
            </w:tcBorders>
            <w:shd w:val="clear" w:color="auto" w:fill="auto"/>
            <w:noWrap/>
            <w:hideMark/>
          </w:tcPr>
          <w:p w14:paraId="7873A353"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0.6</w:t>
            </w:r>
            <w:r>
              <w:rPr>
                <w:rFonts w:cs="Times New Roman"/>
                <w:i/>
                <w:iCs/>
                <w:sz w:val="18"/>
                <w:szCs w:val="18"/>
              </w:rPr>
              <w:t>0</w:t>
            </w:r>
            <w:r w:rsidRPr="007C0FE3">
              <w:rPr>
                <w:rFonts w:cs="Times New Roman"/>
                <w:i/>
                <w:iCs/>
                <w:sz w:val="18"/>
                <w:szCs w:val="18"/>
              </w:rPr>
              <w:t>±0.02</w:t>
            </w:r>
          </w:p>
        </w:tc>
        <w:tc>
          <w:tcPr>
            <w:tcW w:w="1026" w:type="dxa"/>
            <w:tcBorders>
              <w:top w:val="nil"/>
              <w:left w:val="nil"/>
              <w:bottom w:val="nil"/>
              <w:right w:val="nil"/>
            </w:tcBorders>
            <w:shd w:val="clear" w:color="auto" w:fill="auto"/>
            <w:noWrap/>
            <w:vAlign w:val="center"/>
            <w:hideMark/>
          </w:tcPr>
          <w:p w14:paraId="074DA23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1.56±0.22</w:t>
            </w:r>
          </w:p>
        </w:tc>
        <w:tc>
          <w:tcPr>
            <w:tcW w:w="1026" w:type="dxa"/>
            <w:tcBorders>
              <w:top w:val="nil"/>
              <w:left w:val="nil"/>
              <w:bottom w:val="nil"/>
              <w:right w:val="nil"/>
            </w:tcBorders>
            <w:shd w:val="clear" w:color="auto" w:fill="auto"/>
            <w:noWrap/>
            <w:vAlign w:val="center"/>
            <w:hideMark/>
          </w:tcPr>
          <w:p w14:paraId="4853C8C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-0.61±0.04</w:t>
            </w:r>
          </w:p>
        </w:tc>
        <w:tc>
          <w:tcPr>
            <w:tcW w:w="1136" w:type="dxa"/>
            <w:tcBorders>
              <w:top w:val="nil"/>
              <w:left w:val="nil"/>
              <w:bottom w:val="nil"/>
              <w:right w:val="nil"/>
            </w:tcBorders>
            <w:shd w:val="clear" w:color="auto" w:fill="auto"/>
            <w:noWrap/>
            <w:vAlign w:val="center"/>
            <w:hideMark/>
          </w:tcPr>
          <w:p w14:paraId="514B579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w:t>
            </w:r>
            <w:r>
              <w:rPr>
                <w:rFonts w:eastAsia="Times New Roman" w:cs="Times New Roman"/>
                <w:i/>
                <w:iCs/>
                <w:color w:val="000000"/>
                <w:sz w:val="18"/>
                <w:szCs w:val="18"/>
              </w:rPr>
              <w:t>0</w:t>
            </w:r>
            <w:r w:rsidRPr="00E766F9">
              <w:rPr>
                <w:rFonts w:eastAsia="Times New Roman" w:cs="Times New Roman"/>
                <w:i/>
                <w:iCs/>
                <w:color w:val="000000"/>
                <w:sz w:val="18"/>
                <w:szCs w:val="18"/>
              </w:rPr>
              <w:t>±1</w:t>
            </w:r>
          </w:p>
        </w:tc>
        <w:tc>
          <w:tcPr>
            <w:tcW w:w="1026" w:type="dxa"/>
            <w:tcBorders>
              <w:top w:val="nil"/>
              <w:left w:val="nil"/>
              <w:bottom w:val="nil"/>
              <w:right w:val="nil"/>
            </w:tcBorders>
            <w:shd w:val="clear" w:color="auto" w:fill="auto"/>
            <w:noWrap/>
            <w:vAlign w:val="center"/>
            <w:hideMark/>
          </w:tcPr>
          <w:p w14:paraId="526CCE2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31±4</w:t>
            </w:r>
          </w:p>
        </w:tc>
        <w:tc>
          <w:tcPr>
            <w:tcW w:w="1026" w:type="dxa"/>
            <w:tcBorders>
              <w:top w:val="nil"/>
              <w:left w:val="nil"/>
              <w:bottom w:val="nil"/>
              <w:right w:val="nil"/>
            </w:tcBorders>
            <w:shd w:val="clear" w:color="auto" w:fill="auto"/>
            <w:noWrap/>
            <w:vAlign w:val="center"/>
            <w:hideMark/>
          </w:tcPr>
          <w:p w14:paraId="332E20F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-0.34±0.1</w:t>
            </w:r>
            <w:r>
              <w:rPr>
                <w:rFonts w:eastAsia="Times New Roman" w:cs="Times New Roman"/>
                <w:i/>
                <w:iCs/>
                <w:color w:val="000000"/>
                <w:sz w:val="18"/>
                <w:szCs w:val="18"/>
              </w:rPr>
              <w:t>0</w:t>
            </w:r>
          </w:p>
        </w:tc>
      </w:tr>
      <w:tr w:rsidR="00FD2769" w:rsidRPr="00E766F9" w14:paraId="31D177AE" w14:textId="77777777" w:rsidTr="00302554">
        <w:trPr>
          <w:trHeight w:val="300"/>
        </w:trPr>
        <w:tc>
          <w:tcPr>
            <w:tcW w:w="608" w:type="dxa"/>
            <w:vMerge/>
            <w:tcBorders>
              <w:top w:val="nil"/>
              <w:left w:val="nil"/>
              <w:bottom w:val="single" w:sz="8" w:space="0" w:color="000000"/>
              <w:right w:val="nil"/>
            </w:tcBorders>
            <w:vAlign w:val="center"/>
            <w:hideMark/>
          </w:tcPr>
          <w:p w14:paraId="54DE0B49"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6563E17C"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43CE3673"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single" w:sz="8" w:space="0" w:color="auto"/>
              <w:right w:val="nil"/>
            </w:tcBorders>
            <w:shd w:val="clear" w:color="auto" w:fill="auto"/>
            <w:noWrap/>
            <w:vAlign w:val="center"/>
            <w:hideMark/>
          </w:tcPr>
          <w:p w14:paraId="590BC2E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0.27±0.06</w:t>
            </w:r>
          </w:p>
        </w:tc>
        <w:tc>
          <w:tcPr>
            <w:tcW w:w="945" w:type="dxa"/>
            <w:tcBorders>
              <w:top w:val="nil"/>
              <w:left w:val="nil"/>
              <w:bottom w:val="single" w:sz="8" w:space="0" w:color="auto"/>
              <w:right w:val="nil"/>
            </w:tcBorders>
            <w:shd w:val="clear" w:color="auto" w:fill="auto"/>
            <w:noWrap/>
            <w:hideMark/>
          </w:tcPr>
          <w:p w14:paraId="3340EBB0"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0.6</w:t>
            </w:r>
            <w:r>
              <w:rPr>
                <w:rFonts w:cs="Times New Roman"/>
                <w:i/>
                <w:iCs/>
                <w:sz w:val="18"/>
                <w:szCs w:val="18"/>
              </w:rPr>
              <w:t>0</w:t>
            </w:r>
            <w:r w:rsidRPr="007C0FE3">
              <w:rPr>
                <w:rFonts w:cs="Times New Roman"/>
                <w:i/>
                <w:iCs/>
                <w:sz w:val="18"/>
                <w:szCs w:val="18"/>
              </w:rPr>
              <w:t>±0.02</w:t>
            </w:r>
          </w:p>
        </w:tc>
        <w:tc>
          <w:tcPr>
            <w:tcW w:w="1026" w:type="dxa"/>
            <w:tcBorders>
              <w:top w:val="nil"/>
              <w:left w:val="nil"/>
              <w:bottom w:val="single" w:sz="8" w:space="0" w:color="auto"/>
              <w:right w:val="nil"/>
            </w:tcBorders>
            <w:shd w:val="clear" w:color="auto" w:fill="auto"/>
            <w:noWrap/>
            <w:vAlign w:val="center"/>
            <w:hideMark/>
          </w:tcPr>
          <w:p w14:paraId="5C9E9B9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1.56±0.22</w:t>
            </w:r>
          </w:p>
        </w:tc>
        <w:tc>
          <w:tcPr>
            <w:tcW w:w="1026" w:type="dxa"/>
            <w:tcBorders>
              <w:top w:val="nil"/>
              <w:left w:val="nil"/>
              <w:bottom w:val="single" w:sz="8" w:space="0" w:color="auto"/>
              <w:right w:val="nil"/>
            </w:tcBorders>
            <w:shd w:val="clear" w:color="auto" w:fill="auto"/>
            <w:noWrap/>
            <w:vAlign w:val="center"/>
            <w:hideMark/>
          </w:tcPr>
          <w:p w14:paraId="4BC5170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-0.64±0.04</w:t>
            </w:r>
          </w:p>
        </w:tc>
        <w:tc>
          <w:tcPr>
            <w:tcW w:w="1136" w:type="dxa"/>
            <w:tcBorders>
              <w:top w:val="nil"/>
              <w:left w:val="nil"/>
              <w:bottom w:val="single" w:sz="8" w:space="0" w:color="auto"/>
              <w:right w:val="nil"/>
            </w:tcBorders>
            <w:shd w:val="clear" w:color="auto" w:fill="auto"/>
            <w:noWrap/>
            <w:vAlign w:val="center"/>
            <w:hideMark/>
          </w:tcPr>
          <w:p w14:paraId="631223F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15±1</w:t>
            </w:r>
          </w:p>
        </w:tc>
        <w:tc>
          <w:tcPr>
            <w:tcW w:w="1026" w:type="dxa"/>
            <w:tcBorders>
              <w:top w:val="nil"/>
              <w:left w:val="nil"/>
              <w:bottom w:val="single" w:sz="8" w:space="0" w:color="auto"/>
              <w:right w:val="nil"/>
            </w:tcBorders>
            <w:shd w:val="clear" w:color="auto" w:fill="auto"/>
            <w:noWrap/>
            <w:vAlign w:val="center"/>
            <w:hideMark/>
          </w:tcPr>
          <w:p w14:paraId="49FA973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31±4</w:t>
            </w:r>
          </w:p>
        </w:tc>
        <w:tc>
          <w:tcPr>
            <w:tcW w:w="1026" w:type="dxa"/>
            <w:tcBorders>
              <w:top w:val="nil"/>
              <w:left w:val="nil"/>
              <w:bottom w:val="single" w:sz="8" w:space="0" w:color="auto"/>
              <w:right w:val="nil"/>
            </w:tcBorders>
            <w:shd w:val="clear" w:color="auto" w:fill="auto"/>
            <w:noWrap/>
            <w:vAlign w:val="center"/>
            <w:hideMark/>
          </w:tcPr>
          <w:p w14:paraId="2D87123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-0.34±0.1</w:t>
            </w:r>
            <w:r>
              <w:rPr>
                <w:rFonts w:eastAsia="Times New Roman" w:cs="Times New Roman"/>
                <w:i/>
                <w:iCs/>
                <w:color w:val="000000"/>
                <w:sz w:val="18"/>
                <w:szCs w:val="18"/>
              </w:rPr>
              <w:t>0</w:t>
            </w:r>
          </w:p>
        </w:tc>
      </w:tr>
      <w:tr w:rsidR="00FD2769" w:rsidRPr="00E766F9" w14:paraId="730411AD" w14:textId="77777777" w:rsidTr="00302554">
        <w:trPr>
          <w:trHeight w:val="290"/>
        </w:trPr>
        <w:tc>
          <w:tcPr>
            <w:tcW w:w="608" w:type="dxa"/>
            <w:vMerge/>
            <w:tcBorders>
              <w:top w:val="nil"/>
              <w:left w:val="nil"/>
              <w:bottom w:val="single" w:sz="8" w:space="0" w:color="000000"/>
              <w:right w:val="nil"/>
            </w:tcBorders>
            <w:vAlign w:val="center"/>
            <w:hideMark/>
          </w:tcPr>
          <w:p w14:paraId="4BE9298C" w14:textId="77777777" w:rsidR="00FD2769" w:rsidRPr="00E766F9" w:rsidRDefault="00FD2769" w:rsidP="00302554">
            <w:pPr>
              <w:spacing w:line="240" w:lineRule="auto"/>
              <w:rPr>
                <w:rFonts w:eastAsia="Times New Roman" w:cs="Times New Roman"/>
                <w:color w:val="000000"/>
              </w:rPr>
            </w:pPr>
          </w:p>
        </w:tc>
        <w:tc>
          <w:tcPr>
            <w:tcW w:w="546" w:type="dxa"/>
            <w:vMerge w:val="restart"/>
            <w:tcBorders>
              <w:top w:val="nil"/>
              <w:left w:val="nil"/>
              <w:bottom w:val="single" w:sz="8" w:space="0" w:color="000000"/>
              <w:right w:val="nil"/>
            </w:tcBorders>
            <w:shd w:val="clear" w:color="auto" w:fill="auto"/>
            <w:noWrap/>
            <w:vAlign w:val="center"/>
            <w:hideMark/>
          </w:tcPr>
          <w:p w14:paraId="4AEBC9CF"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50</w:t>
            </w:r>
          </w:p>
        </w:tc>
        <w:tc>
          <w:tcPr>
            <w:tcW w:w="482" w:type="dxa"/>
            <w:tcBorders>
              <w:top w:val="nil"/>
              <w:left w:val="nil"/>
              <w:bottom w:val="nil"/>
              <w:right w:val="nil"/>
            </w:tcBorders>
            <w:shd w:val="clear" w:color="auto" w:fill="auto"/>
            <w:noWrap/>
            <w:vAlign w:val="center"/>
            <w:hideMark/>
          </w:tcPr>
          <w:p w14:paraId="52A9DDE5"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59B26FE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0.16±0.05</w:t>
            </w:r>
          </w:p>
        </w:tc>
        <w:tc>
          <w:tcPr>
            <w:tcW w:w="945" w:type="dxa"/>
            <w:tcBorders>
              <w:top w:val="nil"/>
              <w:left w:val="nil"/>
              <w:bottom w:val="nil"/>
              <w:right w:val="nil"/>
            </w:tcBorders>
            <w:shd w:val="clear" w:color="auto" w:fill="auto"/>
            <w:noWrap/>
            <w:hideMark/>
          </w:tcPr>
          <w:p w14:paraId="2D7C0FB1"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0.37±0.03</w:t>
            </w:r>
          </w:p>
        </w:tc>
        <w:tc>
          <w:tcPr>
            <w:tcW w:w="1026" w:type="dxa"/>
            <w:tcBorders>
              <w:top w:val="nil"/>
              <w:left w:val="nil"/>
              <w:bottom w:val="nil"/>
              <w:right w:val="nil"/>
            </w:tcBorders>
            <w:shd w:val="clear" w:color="auto" w:fill="auto"/>
            <w:noWrap/>
            <w:vAlign w:val="center"/>
            <w:hideMark/>
          </w:tcPr>
          <w:p w14:paraId="0B72CF2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1.15±0.33</w:t>
            </w:r>
          </w:p>
        </w:tc>
        <w:tc>
          <w:tcPr>
            <w:tcW w:w="1026" w:type="dxa"/>
            <w:tcBorders>
              <w:top w:val="nil"/>
              <w:left w:val="nil"/>
              <w:bottom w:val="nil"/>
              <w:right w:val="nil"/>
            </w:tcBorders>
            <w:shd w:val="clear" w:color="auto" w:fill="auto"/>
            <w:noWrap/>
            <w:vAlign w:val="center"/>
            <w:hideMark/>
          </w:tcPr>
          <w:p w14:paraId="4E82849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-0.83±0.02</w:t>
            </w:r>
          </w:p>
        </w:tc>
        <w:tc>
          <w:tcPr>
            <w:tcW w:w="1136" w:type="dxa"/>
            <w:tcBorders>
              <w:top w:val="nil"/>
              <w:left w:val="nil"/>
              <w:bottom w:val="nil"/>
              <w:right w:val="nil"/>
            </w:tcBorders>
            <w:shd w:val="clear" w:color="auto" w:fill="auto"/>
            <w:noWrap/>
            <w:vAlign w:val="center"/>
            <w:hideMark/>
          </w:tcPr>
          <w:p w14:paraId="0025FBF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7±1</w:t>
            </w:r>
          </w:p>
        </w:tc>
        <w:tc>
          <w:tcPr>
            <w:tcW w:w="1026" w:type="dxa"/>
            <w:tcBorders>
              <w:top w:val="nil"/>
              <w:left w:val="nil"/>
              <w:bottom w:val="nil"/>
              <w:right w:val="nil"/>
            </w:tcBorders>
            <w:shd w:val="clear" w:color="auto" w:fill="auto"/>
            <w:noWrap/>
            <w:vAlign w:val="center"/>
            <w:hideMark/>
          </w:tcPr>
          <w:p w14:paraId="4C3EE08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45±4</w:t>
            </w:r>
          </w:p>
        </w:tc>
        <w:tc>
          <w:tcPr>
            <w:tcW w:w="1026" w:type="dxa"/>
            <w:tcBorders>
              <w:top w:val="nil"/>
              <w:left w:val="nil"/>
              <w:bottom w:val="nil"/>
              <w:right w:val="nil"/>
            </w:tcBorders>
            <w:shd w:val="clear" w:color="auto" w:fill="auto"/>
            <w:noWrap/>
            <w:vAlign w:val="center"/>
            <w:hideMark/>
          </w:tcPr>
          <w:p w14:paraId="2339948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-0.06±0.02</w:t>
            </w:r>
          </w:p>
        </w:tc>
      </w:tr>
      <w:tr w:rsidR="00FD2769" w:rsidRPr="00E766F9" w14:paraId="5C874135" w14:textId="77777777" w:rsidTr="00302554">
        <w:trPr>
          <w:trHeight w:val="290"/>
        </w:trPr>
        <w:tc>
          <w:tcPr>
            <w:tcW w:w="608" w:type="dxa"/>
            <w:vMerge/>
            <w:tcBorders>
              <w:top w:val="nil"/>
              <w:left w:val="nil"/>
              <w:bottom w:val="single" w:sz="8" w:space="0" w:color="000000"/>
              <w:right w:val="nil"/>
            </w:tcBorders>
            <w:vAlign w:val="center"/>
            <w:hideMark/>
          </w:tcPr>
          <w:p w14:paraId="7E2705BE"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3A143971"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34EC81C9"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703BDEC6"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0.16±0.05</w:t>
            </w:r>
          </w:p>
        </w:tc>
        <w:tc>
          <w:tcPr>
            <w:tcW w:w="945" w:type="dxa"/>
            <w:tcBorders>
              <w:top w:val="nil"/>
              <w:left w:val="nil"/>
              <w:bottom w:val="nil"/>
              <w:right w:val="nil"/>
            </w:tcBorders>
            <w:shd w:val="clear" w:color="auto" w:fill="auto"/>
            <w:noWrap/>
            <w:hideMark/>
          </w:tcPr>
          <w:p w14:paraId="43DE3B34"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0.37±0.03</w:t>
            </w:r>
          </w:p>
        </w:tc>
        <w:tc>
          <w:tcPr>
            <w:tcW w:w="1026" w:type="dxa"/>
            <w:tcBorders>
              <w:top w:val="nil"/>
              <w:left w:val="nil"/>
              <w:bottom w:val="nil"/>
              <w:right w:val="nil"/>
            </w:tcBorders>
            <w:shd w:val="clear" w:color="auto" w:fill="auto"/>
            <w:noWrap/>
            <w:vAlign w:val="center"/>
            <w:hideMark/>
          </w:tcPr>
          <w:p w14:paraId="3F921BA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1.15±0.33</w:t>
            </w:r>
          </w:p>
        </w:tc>
        <w:tc>
          <w:tcPr>
            <w:tcW w:w="1026" w:type="dxa"/>
            <w:tcBorders>
              <w:top w:val="nil"/>
              <w:left w:val="nil"/>
              <w:bottom w:val="nil"/>
              <w:right w:val="nil"/>
            </w:tcBorders>
            <w:shd w:val="clear" w:color="auto" w:fill="auto"/>
            <w:noWrap/>
            <w:vAlign w:val="center"/>
            <w:hideMark/>
          </w:tcPr>
          <w:p w14:paraId="633C70E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-0.83±0.02</w:t>
            </w:r>
          </w:p>
        </w:tc>
        <w:tc>
          <w:tcPr>
            <w:tcW w:w="1136" w:type="dxa"/>
            <w:tcBorders>
              <w:top w:val="nil"/>
              <w:left w:val="nil"/>
              <w:bottom w:val="nil"/>
              <w:right w:val="nil"/>
            </w:tcBorders>
            <w:shd w:val="clear" w:color="auto" w:fill="auto"/>
            <w:noWrap/>
            <w:vAlign w:val="center"/>
            <w:hideMark/>
          </w:tcPr>
          <w:p w14:paraId="20C3F21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7±1</w:t>
            </w:r>
          </w:p>
        </w:tc>
        <w:tc>
          <w:tcPr>
            <w:tcW w:w="1026" w:type="dxa"/>
            <w:tcBorders>
              <w:top w:val="nil"/>
              <w:left w:val="nil"/>
              <w:bottom w:val="nil"/>
              <w:right w:val="nil"/>
            </w:tcBorders>
            <w:shd w:val="clear" w:color="auto" w:fill="auto"/>
            <w:noWrap/>
            <w:vAlign w:val="center"/>
            <w:hideMark/>
          </w:tcPr>
          <w:p w14:paraId="182BEBC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45±4</w:t>
            </w:r>
          </w:p>
        </w:tc>
        <w:tc>
          <w:tcPr>
            <w:tcW w:w="1026" w:type="dxa"/>
            <w:tcBorders>
              <w:top w:val="nil"/>
              <w:left w:val="nil"/>
              <w:bottom w:val="nil"/>
              <w:right w:val="nil"/>
            </w:tcBorders>
            <w:shd w:val="clear" w:color="auto" w:fill="auto"/>
            <w:noWrap/>
            <w:vAlign w:val="center"/>
            <w:hideMark/>
          </w:tcPr>
          <w:p w14:paraId="67FFD47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-0.06±0.02</w:t>
            </w:r>
          </w:p>
        </w:tc>
      </w:tr>
      <w:tr w:rsidR="00FD2769" w:rsidRPr="00E766F9" w14:paraId="4769BDCF" w14:textId="77777777" w:rsidTr="00302554">
        <w:trPr>
          <w:trHeight w:val="290"/>
        </w:trPr>
        <w:tc>
          <w:tcPr>
            <w:tcW w:w="608" w:type="dxa"/>
            <w:vMerge/>
            <w:tcBorders>
              <w:top w:val="nil"/>
              <w:left w:val="nil"/>
              <w:bottom w:val="single" w:sz="8" w:space="0" w:color="000000"/>
              <w:right w:val="nil"/>
            </w:tcBorders>
            <w:vAlign w:val="center"/>
            <w:hideMark/>
          </w:tcPr>
          <w:p w14:paraId="4BDD75E1"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0A001A99"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41091B9A"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1574A96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0.11±0.01</w:t>
            </w:r>
          </w:p>
        </w:tc>
        <w:tc>
          <w:tcPr>
            <w:tcW w:w="945" w:type="dxa"/>
            <w:tcBorders>
              <w:top w:val="nil"/>
              <w:left w:val="nil"/>
              <w:bottom w:val="nil"/>
              <w:right w:val="nil"/>
            </w:tcBorders>
            <w:shd w:val="clear" w:color="auto" w:fill="auto"/>
            <w:noWrap/>
            <w:hideMark/>
          </w:tcPr>
          <w:p w14:paraId="3792BE30"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0.29±0.03</w:t>
            </w:r>
          </w:p>
        </w:tc>
        <w:tc>
          <w:tcPr>
            <w:tcW w:w="1026" w:type="dxa"/>
            <w:tcBorders>
              <w:top w:val="nil"/>
              <w:left w:val="nil"/>
              <w:bottom w:val="nil"/>
              <w:right w:val="nil"/>
            </w:tcBorders>
            <w:shd w:val="clear" w:color="auto" w:fill="auto"/>
            <w:noWrap/>
            <w:vAlign w:val="center"/>
            <w:hideMark/>
          </w:tcPr>
          <w:p w14:paraId="13970A0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1.04±0.14</w:t>
            </w:r>
          </w:p>
        </w:tc>
        <w:tc>
          <w:tcPr>
            <w:tcW w:w="1026" w:type="dxa"/>
            <w:tcBorders>
              <w:top w:val="nil"/>
              <w:left w:val="nil"/>
              <w:bottom w:val="nil"/>
              <w:right w:val="nil"/>
            </w:tcBorders>
            <w:shd w:val="clear" w:color="auto" w:fill="auto"/>
            <w:noWrap/>
            <w:vAlign w:val="center"/>
            <w:hideMark/>
          </w:tcPr>
          <w:p w14:paraId="2467CF0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-0.87±0.02</w:t>
            </w:r>
          </w:p>
        </w:tc>
        <w:tc>
          <w:tcPr>
            <w:tcW w:w="1136" w:type="dxa"/>
            <w:tcBorders>
              <w:top w:val="nil"/>
              <w:left w:val="nil"/>
              <w:bottom w:val="nil"/>
              <w:right w:val="nil"/>
            </w:tcBorders>
            <w:shd w:val="clear" w:color="auto" w:fill="auto"/>
            <w:noWrap/>
            <w:vAlign w:val="center"/>
            <w:hideMark/>
          </w:tcPr>
          <w:p w14:paraId="3D7D693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6±1</w:t>
            </w:r>
          </w:p>
        </w:tc>
        <w:tc>
          <w:tcPr>
            <w:tcW w:w="1026" w:type="dxa"/>
            <w:tcBorders>
              <w:top w:val="nil"/>
              <w:left w:val="nil"/>
              <w:bottom w:val="nil"/>
              <w:right w:val="nil"/>
            </w:tcBorders>
            <w:shd w:val="clear" w:color="auto" w:fill="auto"/>
            <w:noWrap/>
            <w:vAlign w:val="center"/>
            <w:hideMark/>
          </w:tcPr>
          <w:p w14:paraId="0F3AA65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56±3</w:t>
            </w:r>
          </w:p>
        </w:tc>
        <w:tc>
          <w:tcPr>
            <w:tcW w:w="1026" w:type="dxa"/>
            <w:tcBorders>
              <w:top w:val="nil"/>
              <w:left w:val="nil"/>
              <w:bottom w:val="nil"/>
              <w:right w:val="nil"/>
            </w:tcBorders>
            <w:shd w:val="clear" w:color="auto" w:fill="auto"/>
            <w:noWrap/>
            <w:vAlign w:val="center"/>
            <w:hideMark/>
          </w:tcPr>
          <w:p w14:paraId="580B5FD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0.31±0.09</w:t>
            </w:r>
          </w:p>
        </w:tc>
      </w:tr>
      <w:tr w:rsidR="00FD2769" w:rsidRPr="00E766F9" w14:paraId="4B570AB7" w14:textId="77777777" w:rsidTr="00302554">
        <w:trPr>
          <w:trHeight w:val="300"/>
        </w:trPr>
        <w:tc>
          <w:tcPr>
            <w:tcW w:w="608" w:type="dxa"/>
            <w:vMerge/>
            <w:tcBorders>
              <w:top w:val="nil"/>
              <w:left w:val="nil"/>
              <w:bottom w:val="single" w:sz="8" w:space="0" w:color="000000"/>
              <w:right w:val="nil"/>
            </w:tcBorders>
            <w:vAlign w:val="center"/>
            <w:hideMark/>
          </w:tcPr>
          <w:p w14:paraId="3EA39932"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2538FBB1"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161C77B1"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single" w:sz="8" w:space="0" w:color="auto"/>
              <w:right w:val="nil"/>
            </w:tcBorders>
            <w:shd w:val="clear" w:color="auto" w:fill="auto"/>
            <w:noWrap/>
            <w:vAlign w:val="center"/>
            <w:hideMark/>
          </w:tcPr>
          <w:p w14:paraId="5D28723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0.11±0.01</w:t>
            </w:r>
          </w:p>
        </w:tc>
        <w:tc>
          <w:tcPr>
            <w:tcW w:w="945" w:type="dxa"/>
            <w:tcBorders>
              <w:top w:val="nil"/>
              <w:left w:val="nil"/>
              <w:bottom w:val="single" w:sz="8" w:space="0" w:color="auto"/>
              <w:right w:val="nil"/>
            </w:tcBorders>
            <w:shd w:val="clear" w:color="auto" w:fill="auto"/>
            <w:noWrap/>
            <w:hideMark/>
          </w:tcPr>
          <w:p w14:paraId="73B30C5C"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0.29±0.03</w:t>
            </w:r>
          </w:p>
        </w:tc>
        <w:tc>
          <w:tcPr>
            <w:tcW w:w="1026" w:type="dxa"/>
            <w:tcBorders>
              <w:top w:val="nil"/>
              <w:left w:val="nil"/>
              <w:bottom w:val="single" w:sz="8" w:space="0" w:color="auto"/>
              <w:right w:val="nil"/>
            </w:tcBorders>
            <w:shd w:val="clear" w:color="auto" w:fill="auto"/>
            <w:noWrap/>
            <w:vAlign w:val="center"/>
            <w:hideMark/>
          </w:tcPr>
          <w:p w14:paraId="36EE17D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1.04±0.14</w:t>
            </w:r>
          </w:p>
        </w:tc>
        <w:tc>
          <w:tcPr>
            <w:tcW w:w="1026" w:type="dxa"/>
            <w:tcBorders>
              <w:top w:val="nil"/>
              <w:left w:val="nil"/>
              <w:bottom w:val="single" w:sz="8" w:space="0" w:color="auto"/>
              <w:right w:val="nil"/>
            </w:tcBorders>
            <w:shd w:val="clear" w:color="auto" w:fill="auto"/>
            <w:noWrap/>
            <w:vAlign w:val="center"/>
            <w:hideMark/>
          </w:tcPr>
          <w:p w14:paraId="671554A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-0.9</w:t>
            </w:r>
            <w:r>
              <w:rPr>
                <w:rFonts w:eastAsia="Times New Roman" w:cs="Times New Roman"/>
                <w:i/>
                <w:iCs/>
                <w:color w:val="000000"/>
                <w:sz w:val="18"/>
                <w:szCs w:val="18"/>
              </w:rPr>
              <w:t>0</w:t>
            </w:r>
            <w:r w:rsidRPr="00E766F9">
              <w:rPr>
                <w:rFonts w:eastAsia="Times New Roman" w:cs="Times New Roman"/>
                <w:i/>
                <w:iCs/>
                <w:color w:val="000000"/>
                <w:sz w:val="18"/>
                <w:szCs w:val="18"/>
              </w:rPr>
              <w:t>±0.02</w:t>
            </w:r>
          </w:p>
        </w:tc>
        <w:tc>
          <w:tcPr>
            <w:tcW w:w="1136" w:type="dxa"/>
            <w:tcBorders>
              <w:top w:val="nil"/>
              <w:left w:val="nil"/>
              <w:bottom w:val="single" w:sz="8" w:space="0" w:color="auto"/>
              <w:right w:val="nil"/>
            </w:tcBorders>
            <w:shd w:val="clear" w:color="auto" w:fill="auto"/>
            <w:noWrap/>
            <w:vAlign w:val="center"/>
            <w:hideMark/>
          </w:tcPr>
          <w:p w14:paraId="385DFB7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6±1</w:t>
            </w:r>
          </w:p>
        </w:tc>
        <w:tc>
          <w:tcPr>
            <w:tcW w:w="1026" w:type="dxa"/>
            <w:tcBorders>
              <w:top w:val="nil"/>
              <w:left w:val="nil"/>
              <w:bottom w:val="single" w:sz="8" w:space="0" w:color="auto"/>
              <w:right w:val="nil"/>
            </w:tcBorders>
            <w:shd w:val="clear" w:color="auto" w:fill="auto"/>
            <w:noWrap/>
            <w:vAlign w:val="center"/>
            <w:hideMark/>
          </w:tcPr>
          <w:p w14:paraId="0885BC4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56±3</w:t>
            </w:r>
          </w:p>
        </w:tc>
        <w:tc>
          <w:tcPr>
            <w:tcW w:w="1026" w:type="dxa"/>
            <w:tcBorders>
              <w:top w:val="nil"/>
              <w:left w:val="nil"/>
              <w:bottom w:val="single" w:sz="8" w:space="0" w:color="auto"/>
              <w:right w:val="nil"/>
            </w:tcBorders>
            <w:shd w:val="clear" w:color="auto" w:fill="auto"/>
            <w:noWrap/>
            <w:vAlign w:val="center"/>
            <w:hideMark/>
          </w:tcPr>
          <w:p w14:paraId="0D95EAA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0.31±0.09</w:t>
            </w:r>
          </w:p>
        </w:tc>
      </w:tr>
      <w:tr w:rsidR="00FD2769" w:rsidRPr="00E766F9" w14:paraId="78974467" w14:textId="77777777" w:rsidTr="00302554">
        <w:trPr>
          <w:trHeight w:val="290"/>
        </w:trPr>
        <w:tc>
          <w:tcPr>
            <w:tcW w:w="608" w:type="dxa"/>
            <w:vMerge w:val="restart"/>
            <w:tcBorders>
              <w:top w:val="nil"/>
              <w:left w:val="nil"/>
              <w:bottom w:val="single" w:sz="8" w:space="0" w:color="000000"/>
              <w:right w:val="nil"/>
            </w:tcBorders>
            <w:shd w:val="clear" w:color="auto" w:fill="auto"/>
            <w:noWrap/>
            <w:vAlign w:val="center"/>
            <w:hideMark/>
          </w:tcPr>
          <w:p w14:paraId="6542DB5B"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5/17</w:t>
            </w:r>
          </w:p>
        </w:tc>
        <w:tc>
          <w:tcPr>
            <w:tcW w:w="546" w:type="dxa"/>
            <w:vMerge w:val="restart"/>
            <w:tcBorders>
              <w:top w:val="nil"/>
              <w:left w:val="nil"/>
              <w:bottom w:val="single" w:sz="8" w:space="0" w:color="000000"/>
              <w:right w:val="nil"/>
            </w:tcBorders>
            <w:shd w:val="clear" w:color="auto" w:fill="auto"/>
            <w:noWrap/>
            <w:vAlign w:val="center"/>
            <w:hideMark/>
          </w:tcPr>
          <w:p w14:paraId="50E619D5"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w:t>
            </w:r>
          </w:p>
        </w:tc>
        <w:tc>
          <w:tcPr>
            <w:tcW w:w="482" w:type="dxa"/>
            <w:tcBorders>
              <w:top w:val="nil"/>
              <w:left w:val="nil"/>
              <w:bottom w:val="nil"/>
              <w:right w:val="nil"/>
            </w:tcBorders>
            <w:shd w:val="clear" w:color="auto" w:fill="auto"/>
            <w:noWrap/>
            <w:vAlign w:val="center"/>
            <w:hideMark/>
          </w:tcPr>
          <w:p w14:paraId="2679F02C"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2EFFA22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0.24±0.04</w:t>
            </w:r>
          </w:p>
        </w:tc>
        <w:tc>
          <w:tcPr>
            <w:tcW w:w="945" w:type="dxa"/>
            <w:tcBorders>
              <w:top w:val="nil"/>
              <w:left w:val="nil"/>
              <w:bottom w:val="nil"/>
              <w:right w:val="nil"/>
            </w:tcBorders>
            <w:shd w:val="clear" w:color="auto" w:fill="auto"/>
            <w:noWrap/>
            <w:hideMark/>
          </w:tcPr>
          <w:p w14:paraId="1FFB6CCF"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0.48±0.04</w:t>
            </w:r>
          </w:p>
        </w:tc>
        <w:tc>
          <w:tcPr>
            <w:tcW w:w="1026" w:type="dxa"/>
            <w:tcBorders>
              <w:top w:val="nil"/>
              <w:left w:val="nil"/>
              <w:bottom w:val="nil"/>
              <w:right w:val="nil"/>
            </w:tcBorders>
            <w:shd w:val="clear" w:color="auto" w:fill="auto"/>
            <w:noWrap/>
            <w:vAlign w:val="center"/>
            <w:hideMark/>
          </w:tcPr>
          <w:p w14:paraId="0B8A0A1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1.24±0.19</w:t>
            </w:r>
          </w:p>
        </w:tc>
        <w:tc>
          <w:tcPr>
            <w:tcW w:w="1026" w:type="dxa"/>
            <w:tcBorders>
              <w:top w:val="nil"/>
              <w:left w:val="nil"/>
              <w:bottom w:val="nil"/>
              <w:right w:val="nil"/>
            </w:tcBorders>
            <w:shd w:val="clear" w:color="auto" w:fill="auto"/>
            <w:noWrap/>
            <w:vAlign w:val="center"/>
            <w:hideMark/>
          </w:tcPr>
          <w:p w14:paraId="49B27D8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w:t>
            </w:r>
            <w:r>
              <w:rPr>
                <w:rFonts w:eastAsia="Times New Roman" w:cs="Times New Roman"/>
                <w:i/>
                <w:iCs/>
                <w:color w:val="000000"/>
                <w:sz w:val="18"/>
                <w:szCs w:val="18"/>
              </w:rPr>
              <w:t>0</w:t>
            </w:r>
            <w:r w:rsidRPr="00E766F9">
              <w:rPr>
                <w:rFonts w:eastAsia="Times New Roman" w:cs="Times New Roman"/>
                <w:i/>
                <w:iCs/>
                <w:color w:val="000000"/>
                <w:sz w:val="18"/>
                <w:szCs w:val="18"/>
              </w:rPr>
              <w:t>±0.02</w:t>
            </w:r>
          </w:p>
        </w:tc>
        <w:tc>
          <w:tcPr>
            <w:tcW w:w="1136" w:type="dxa"/>
            <w:tcBorders>
              <w:top w:val="nil"/>
              <w:left w:val="nil"/>
              <w:bottom w:val="nil"/>
              <w:right w:val="nil"/>
            </w:tcBorders>
            <w:shd w:val="clear" w:color="auto" w:fill="auto"/>
            <w:noWrap/>
            <w:vAlign w:val="center"/>
            <w:hideMark/>
          </w:tcPr>
          <w:p w14:paraId="5F86AE6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13±1</w:t>
            </w:r>
          </w:p>
        </w:tc>
        <w:tc>
          <w:tcPr>
            <w:tcW w:w="1026" w:type="dxa"/>
            <w:tcBorders>
              <w:top w:val="nil"/>
              <w:left w:val="nil"/>
              <w:bottom w:val="nil"/>
              <w:right w:val="nil"/>
            </w:tcBorders>
            <w:shd w:val="clear" w:color="auto" w:fill="auto"/>
            <w:noWrap/>
            <w:vAlign w:val="center"/>
            <w:hideMark/>
          </w:tcPr>
          <w:p w14:paraId="4CDEC4F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26±5</w:t>
            </w:r>
          </w:p>
        </w:tc>
        <w:tc>
          <w:tcPr>
            <w:tcW w:w="1026" w:type="dxa"/>
            <w:tcBorders>
              <w:top w:val="nil"/>
              <w:left w:val="nil"/>
              <w:bottom w:val="nil"/>
              <w:right w:val="nil"/>
            </w:tcBorders>
            <w:shd w:val="clear" w:color="auto" w:fill="auto"/>
            <w:noWrap/>
            <w:vAlign w:val="center"/>
            <w:hideMark/>
          </w:tcPr>
          <w:p w14:paraId="1937467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-0.05±0.02</w:t>
            </w:r>
          </w:p>
        </w:tc>
      </w:tr>
      <w:tr w:rsidR="00FD2769" w:rsidRPr="00E766F9" w14:paraId="2EDE4BC9" w14:textId="77777777" w:rsidTr="00302554">
        <w:trPr>
          <w:trHeight w:val="290"/>
        </w:trPr>
        <w:tc>
          <w:tcPr>
            <w:tcW w:w="608" w:type="dxa"/>
            <w:vMerge/>
            <w:tcBorders>
              <w:top w:val="nil"/>
              <w:left w:val="nil"/>
              <w:bottom w:val="single" w:sz="8" w:space="0" w:color="000000"/>
              <w:right w:val="nil"/>
            </w:tcBorders>
            <w:vAlign w:val="center"/>
            <w:hideMark/>
          </w:tcPr>
          <w:p w14:paraId="5E282950"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45C5D2AE"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51303746"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41C55F0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0.24±0.05</w:t>
            </w:r>
          </w:p>
        </w:tc>
        <w:tc>
          <w:tcPr>
            <w:tcW w:w="945" w:type="dxa"/>
            <w:tcBorders>
              <w:top w:val="nil"/>
              <w:left w:val="nil"/>
              <w:bottom w:val="nil"/>
              <w:right w:val="nil"/>
            </w:tcBorders>
            <w:shd w:val="clear" w:color="auto" w:fill="auto"/>
            <w:noWrap/>
            <w:hideMark/>
          </w:tcPr>
          <w:p w14:paraId="4BDA9CC1"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0.57±0.02</w:t>
            </w:r>
          </w:p>
        </w:tc>
        <w:tc>
          <w:tcPr>
            <w:tcW w:w="1026" w:type="dxa"/>
            <w:tcBorders>
              <w:top w:val="nil"/>
              <w:left w:val="nil"/>
              <w:bottom w:val="nil"/>
              <w:right w:val="nil"/>
            </w:tcBorders>
            <w:shd w:val="clear" w:color="auto" w:fill="auto"/>
            <w:noWrap/>
            <w:vAlign w:val="center"/>
            <w:hideMark/>
          </w:tcPr>
          <w:p w14:paraId="1CBC677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1.62±0.2</w:t>
            </w:r>
            <w:r>
              <w:rPr>
                <w:rFonts w:eastAsia="Times New Roman" w:cs="Times New Roman"/>
                <w:i/>
                <w:iCs/>
                <w:color w:val="000000"/>
                <w:sz w:val="18"/>
                <w:szCs w:val="18"/>
              </w:rPr>
              <w:t>0</w:t>
            </w:r>
          </w:p>
        </w:tc>
        <w:tc>
          <w:tcPr>
            <w:tcW w:w="1026" w:type="dxa"/>
            <w:tcBorders>
              <w:top w:val="nil"/>
              <w:left w:val="nil"/>
              <w:bottom w:val="nil"/>
              <w:right w:val="nil"/>
            </w:tcBorders>
            <w:shd w:val="clear" w:color="auto" w:fill="auto"/>
            <w:noWrap/>
            <w:vAlign w:val="center"/>
            <w:hideMark/>
          </w:tcPr>
          <w:p w14:paraId="02DA016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w:t>
            </w:r>
            <w:r>
              <w:rPr>
                <w:rFonts w:eastAsia="Times New Roman" w:cs="Times New Roman"/>
                <w:i/>
                <w:iCs/>
                <w:color w:val="000000"/>
                <w:sz w:val="18"/>
                <w:szCs w:val="18"/>
              </w:rPr>
              <w:t>0</w:t>
            </w:r>
            <w:r w:rsidRPr="00E766F9">
              <w:rPr>
                <w:rFonts w:eastAsia="Times New Roman" w:cs="Times New Roman"/>
                <w:i/>
                <w:iCs/>
                <w:color w:val="000000"/>
                <w:sz w:val="18"/>
                <w:szCs w:val="18"/>
              </w:rPr>
              <w:t>±0.03</w:t>
            </w:r>
          </w:p>
        </w:tc>
        <w:tc>
          <w:tcPr>
            <w:tcW w:w="1136" w:type="dxa"/>
            <w:tcBorders>
              <w:top w:val="nil"/>
              <w:left w:val="nil"/>
              <w:bottom w:val="nil"/>
              <w:right w:val="nil"/>
            </w:tcBorders>
            <w:shd w:val="clear" w:color="auto" w:fill="auto"/>
            <w:noWrap/>
            <w:vAlign w:val="center"/>
            <w:hideMark/>
          </w:tcPr>
          <w:p w14:paraId="007540C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w:t>
            </w:r>
          </w:p>
        </w:tc>
        <w:tc>
          <w:tcPr>
            <w:tcW w:w="1026" w:type="dxa"/>
            <w:tcBorders>
              <w:top w:val="nil"/>
              <w:left w:val="nil"/>
              <w:bottom w:val="nil"/>
              <w:right w:val="nil"/>
            </w:tcBorders>
            <w:shd w:val="clear" w:color="auto" w:fill="auto"/>
            <w:noWrap/>
            <w:vAlign w:val="center"/>
            <w:hideMark/>
          </w:tcPr>
          <w:p w14:paraId="2D4238F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28±4</w:t>
            </w:r>
          </w:p>
        </w:tc>
        <w:tc>
          <w:tcPr>
            <w:tcW w:w="1026" w:type="dxa"/>
            <w:tcBorders>
              <w:top w:val="nil"/>
              <w:left w:val="nil"/>
              <w:bottom w:val="nil"/>
              <w:right w:val="nil"/>
            </w:tcBorders>
            <w:shd w:val="clear" w:color="auto" w:fill="auto"/>
            <w:noWrap/>
            <w:vAlign w:val="center"/>
            <w:hideMark/>
          </w:tcPr>
          <w:p w14:paraId="6090D23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-0.5</w:t>
            </w:r>
            <w:r>
              <w:rPr>
                <w:rFonts w:eastAsia="Times New Roman" w:cs="Times New Roman"/>
                <w:i/>
                <w:iCs/>
                <w:color w:val="000000"/>
                <w:sz w:val="18"/>
                <w:szCs w:val="18"/>
              </w:rPr>
              <w:t>0</w:t>
            </w:r>
            <w:r w:rsidRPr="00E766F9">
              <w:rPr>
                <w:rFonts w:eastAsia="Times New Roman" w:cs="Times New Roman"/>
                <w:i/>
                <w:iCs/>
                <w:color w:val="000000"/>
                <w:sz w:val="18"/>
                <w:szCs w:val="18"/>
              </w:rPr>
              <w:t>±0.15</w:t>
            </w:r>
          </w:p>
        </w:tc>
      </w:tr>
      <w:tr w:rsidR="00FD2769" w:rsidRPr="00E766F9" w14:paraId="69A379AC" w14:textId="77777777" w:rsidTr="00302554">
        <w:trPr>
          <w:trHeight w:val="300"/>
        </w:trPr>
        <w:tc>
          <w:tcPr>
            <w:tcW w:w="608" w:type="dxa"/>
            <w:vMerge/>
            <w:tcBorders>
              <w:top w:val="nil"/>
              <w:left w:val="nil"/>
              <w:bottom w:val="single" w:sz="8" w:space="0" w:color="000000"/>
              <w:right w:val="nil"/>
            </w:tcBorders>
            <w:vAlign w:val="center"/>
            <w:hideMark/>
          </w:tcPr>
          <w:p w14:paraId="210E231B"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3665886B"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702F40E4"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single" w:sz="8" w:space="0" w:color="auto"/>
              <w:right w:val="nil"/>
            </w:tcBorders>
            <w:shd w:val="clear" w:color="auto" w:fill="auto"/>
            <w:noWrap/>
            <w:vAlign w:val="center"/>
            <w:hideMark/>
          </w:tcPr>
          <w:p w14:paraId="5FD96AB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0.24±0.05</w:t>
            </w:r>
          </w:p>
        </w:tc>
        <w:tc>
          <w:tcPr>
            <w:tcW w:w="945" w:type="dxa"/>
            <w:tcBorders>
              <w:top w:val="nil"/>
              <w:left w:val="nil"/>
              <w:bottom w:val="single" w:sz="8" w:space="0" w:color="auto"/>
              <w:right w:val="nil"/>
            </w:tcBorders>
            <w:shd w:val="clear" w:color="auto" w:fill="auto"/>
            <w:noWrap/>
            <w:hideMark/>
          </w:tcPr>
          <w:p w14:paraId="32E0642C"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0.57±0.02</w:t>
            </w:r>
          </w:p>
        </w:tc>
        <w:tc>
          <w:tcPr>
            <w:tcW w:w="1026" w:type="dxa"/>
            <w:tcBorders>
              <w:top w:val="nil"/>
              <w:left w:val="nil"/>
              <w:bottom w:val="single" w:sz="8" w:space="0" w:color="auto"/>
              <w:right w:val="nil"/>
            </w:tcBorders>
            <w:shd w:val="clear" w:color="auto" w:fill="auto"/>
            <w:noWrap/>
            <w:vAlign w:val="center"/>
            <w:hideMark/>
          </w:tcPr>
          <w:p w14:paraId="656FB676"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1.62±0.2</w:t>
            </w:r>
            <w:r>
              <w:rPr>
                <w:rFonts w:eastAsia="Times New Roman" w:cs="Times New Roman"/>
                <w:i/>
                <w:iCs/>
                <w:color w:val="000000"/>
                <w:sz w:val="18"/>
                <w:szCs w:val="18"/>
              </w:rPr>
              <w:t>0</w:t>
            </w:r>
          </w:p>
        </w:tc>
        <w:tc>
          <w:tcPr>
            <w:tcW w:w="1026" w:type="dxa"/>
            <w:tcBorders>
              <w:top w:val="nil"/>
              <w:left w:val="nil"/>
              <w:bottom w:val="single" w:sz="8" w:space="0" w:color="auto"/>
              <w:right w:val="nil"/>
            </w:tcBorders>
            <w:shd w:val="clear" w:color="auto" w:fill="auto"/>
            <w:noWrap/>
            <w:vAlign w:val="center"/>
            <w:hideMark/>
          </w:tcPr>
          <w:p w14:paraId="09B7BBD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-0.64±0.03</w:t>
            </w:r>
          </w:p>
        </w:tc>
        <w:tc>
          <w:tcPr>
            <w:tcW w:w="1136" w:type="dxa"/>
            <w:tcBorders>
              <w:top w:val="nil"/>
              <w:left w:val="nil"/>
              <w:bottom w:val="single" w:sz="8" w:space="0" w:color="auto"/>
              <w:right w:val="nil"/>
            </w:tcBorders>
            <w:shd w:val="clear" w:color="auto" w:fill="auto"/>
            <w:noWrap/>
            <w:vAlign w:val="center"/>
            <w:hideMark/>
          </w:tcPr>
          <w:p w14:paraId="68ADDAF4"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13±1</w:t>
            </w:r>
          </w:p>
        </w:tc>
        <w:tc>
          <w:tcPr>
            <w:tcW w:w="1026" w:type="dxa"/>
            <w:tcBorders>
              <w:top w:val="nil"/>
              <w:left w:val="nil"/>
              <w:bottom w:val="single" w:sz="8" w:space="0" w:color="auto"/>
              <w:right w:val="nil"/>
            </w:tcBorders>
            <w:shd w:val="clear" w:color="auto" w:fill="auto"/>
            <w:noWrap/>
            <w:vAlign w:val="center"/>
            <w:hideMark/>
          </w:tcPr>
          <w:p w14:paraId="70B5B727"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28±4</w:t>
            </w:r>
          </w:p>
        </w:tc>
        <w:tc>
          <w:tcPr>
            <w:tcW w:w="1026" w:type="dxa"/>
            <w:tcBorders>
              <w:top w:val="nil"/>
              <w:left w:val="nil"/>
              <w:bottom w:val="single" w:sz="8" w:space="0" w:color="auto"/>
              <w:right w:val="nil"/>
            </w:tcBorders>
            <w:shd w:val="clear" w:color="auto" w:fill="auto"/>
            <w:noWrap/>
            <w:vAlign w:val="center"/>
            <w:hideMark/>
          </w:tcPr>
          <w:p w14:paraId="06403E5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-0.5</w:t>
            </w:r>
            <w:r>
              <w:rPr>
                <w:rFonts w:eastAsia="Times New Roman" w:cs="Times New Roman"/>
                <w:i/>
                <w:iCs/>
                <w:color w:val="000000"/>
                <w:sz w:val="18"/>
                <w:szCs w:val="18"/>
              </w:rPr>
              <w:t>0</w:t>
            </w:r>
            <w:r w:rsidRPr="00E766F9">
              <w:rPr>
                <w:rFonts w:eastAsia="Times New Roman" w:cs="Times New Roman"/>
                <w:i/>
                <w:iCs/>
                <w:color w:val="000000"/>
                <w:sz w:val="18"/>
                <w:szCs w:val="18"/>
              </w:rPr>
              <w:t>±0.15</w:t>
            </w:r>
          </w:p>
        </w:tc>
      </w:tr>
      <w:tr w:rsidR="00FD2769" w:rsidRPr="00E766F9" w14:paraId="0B6C5976" w14:textId="77777777" w:rsidTr="00302554">
        <w:trPr>
          <w:trHeight w:val="290"/>
        </w:trPr>
        <w:tc>
          <w:tcPr>
            <w:tcW w:w="608" w:type="dxa"/>
            <w:vMerge w:val="restart"/>
            <w:tcBorders>
              <w:top w:val="nil"/>
              <w:left w:val="nil"/>
              <w:bottom w:val="single" w:sz="8" w:space="0" w:color="000000"/>
              <w:right w:val="nil"/>
            </w:tcBorders>
            <w:shd w:val="clear" w:color="auto" w:fill="auto"/>
            <w:noWrap/>
            <w:vAlign w:val="center"/>
            <w:hideMark/>
          </w:tcPr>
          <w:p w14:paraId="3F7FA9EE"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5/22</w:t>
            </w:r>
          </w:p>
        </w:tc>
        <w:tc>
          <w:tcPr>
            <w:tcW w:w="546" w:type="dxa"/>
            <w:vMerge w:val="restart"/>
            <w:tcBorders>
              <w:top w:val="nil"/>
              <w:left w:val="nil"/>
              <w:bottom w:val="single" w:sz="8" w:space="0" w:color="000000"/>
              <w:right w:val="nil"/>
            </w:tcBorders>
            <w:shd w:val="clear" w:color="auto" w:fill="auto"/>
            <w:noWrap/>
            <w:vAlign w:val="center"/>
            <w:hideMark/>
          </w:tcPr>
          <w:p w14:paraId="1FA6DF43"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w:t>
            </w:r>
          </w:p>
        </w:tc>
        <w:tc>
          <w:tcPr>
            <w:tcW w:w="482" w:type="dxa"/>
            <w:tcBorders>
              <w:top w:val="nil"/>
              <w:left w:val="nil"/>
              <w:bottom w:val="nil"/>
              <w:right w:val="nil"/>
            </w:tcBorders>
            <w:shd w:val="clear" w:color="auto" w:fill="auto"/>
            <w:noWrap/>
            <w:vAlign w:val="center"/>
            <w:hideMark/>
          </w:tcPr>
          <w:p w14:paraId="5FCFD1F9"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42B725F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0.29±0.02</w:t>
            </w:r>
          </w:p>
        </w:tc>
        <w:tc>
          <w:tcPr>
            <w:tcW w:w="945" w:type="dxa"/>
            <w:tcBorders>
              <w:top w:val="nil"/>
              <w:left w:val="nil"/>
              <w:bottom w:val="nil"/>
              <w:right w:val="nil"/>
            </w:tcBorders>
            <w:shd w:val="clear" w:color="auto" w:fill="auto"/>
            <w:noWrap/>
            <w:hideMark/>
          </w:tcPr>
          <w:p w14:paraId="0738F6F0"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0.58±0.04</w:t>
            </w:r>
          </w:p>
        </w:tc>
        <w:tc>
          <w:tcPr>
            <w:tcW w:w="1026" w:type="dxa"/>
            <w:tcBorders>
              <w:top w:val="nil"/>
              <w:left w:val="nil"/>
              <w:bottom w:val="nil"/>
              <w:right w:val="nil"/>
            </w:tcBorders>
            <w:shd w:val="clear" w:color="auto" w:fill="auto"/>
            <w:noWrap/>
            <w:vAlign w:val="center"/>
            <w:hideMark/>
          </w:tcPr>
          <w:p w14:paraId="2F66061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1.38±0.1</w:t>
            </w:r>
            <w:r>
              <w:rPr>
                <w:rFonts w:eastAsia="Times New Roman" w:cs="Times New Roman"/>
                <w:i/>
                <w:iCs/>
                <w:color w:val="000000"/>
                <w:sz w:val="18"/>
                <w:szCs w:val="18"/>
              </w:rPr>
              <w:t>0</w:t>
            </w:r>
          </w:p>
        </w:tc>
        <w:tc>
          <w:tcPr>
            <w:tcW w:w="1026" w:type="dxa"/>
            <w:tcBorders>
              <w:top w:val="nil"/>
              <w:left w:val="nil"/>
              <w:bottom w:val="nil"/>
              <w:right w:val="nil"/>
            </w:tcBorders>
            <w:shd w:val="clear" w:color="auto" w:fill="auto"/>
            <w:noWrap/>
            <w:vAlign w:val="center"/>
            <w:hideMark/>
          </w:tcPr>
          <w:p w14:paraId="780577D3"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-0.71±0.01</w:t>
            </w:r>
          </w:p>
        </w:tc>
        <w:tc>
          <w:tcPr>
            <w:tcW w:w="1136" w:type="dxa"/>
            <w:tcBorders>
              <w:top w:val="nil"/>
              <w:left w:val="nil"/>
              <w:bottom w:val="nil"/>
              <w:right w:val="nil"/>
            </w:tcBorders>
            <w:shd w:val="clear" w:color="auto" w:fill="auto"/>
            <w:noWrap/>
            <w:vAlign w:val="center"/>
            <w:hideMark/>
          </w:tcPr>
          <w:p w14:paraId="04D2CC1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w:t>
            </w:r>
          </w:p>
        </w:tc>
        <w:tc>
          <w:tcPr>
            <w:tcW w:w="1026" w:type="dxa"/>
            <w:tcBorders>
              <w:top w:val="nil"/>
              <w:left w:val="nil"/>
              <w:bottom w:val="nil"/>
              <w:right w:val="nil"/>
            </w:tcBorders>
            <w:shd w:val="clear" w:color="auto" w:fill="auto"/>
            <w:noWrap/>
            <w:vAlign w:val="center"/>
            <w:hideMark/>
          </w:tcPr>
          <w:p w14:paraId="25EB901A"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23±4</w:t>
            </w:r>
          </w:p>
        </w:tc>
        <w:tc>
          <w:tcPr>
            <w:tcW w:w="1026" w:type="dxa"/>
            <w:tcBorders>
              <w:top w:val="nil"/>
              <w:left w:val="nil"/>
              <w:bottom w:val="nil"/>
              <w:right w:val="nil"/>
            </w:tcBorders>
            <w:shd w:val="clear" w:color="auto" w:fill="auto"/>
            <w:noWrap/>
            <w:vAlign w:val="center"/>
            <w:hideMark/>
          </w:tcPr>
          <w:p w14:paraId="59040CC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-0.42±0.13</w:t>
            </w:r>
          </w:p>
        </w:tc>
      </w:tr>
      <w:tr w:rsidR="00FD2769" w:rsidRPr="00E766F9" w14:paraId="363DB0C3" w14:textId="77777777" w:rsidTr="00302554">
        <w:trPr>
          <w:trHeight w:val="300"/>
        </w:trPr>
        <w:tc>
          <w:tcPr>
            <w:tcW w:w="608" w:type="dxa"/>
            <w:vMerge/>
            <w:tcBorders>
              <w:top w:val="nil"/>
              <w:left w:val="nil"/>
              <w:bottom w:val="single" w:sz="8" w:space="0" w:color="000000"/>
              <w:right w:val="nil"/>
            </w:tcBorders>
            <w:vAlign w:val="center"/>
            <w:hideMark/>
          </w:tcPr>
          <w:p w14:paraId="56B0CBCC"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57873955"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79AF651E"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single" w:sz="8" w:space="0" w:color="auto"/>
              <w:right w:val="nil"/>
            </w:tcBorders>
            <w:shd w:val="clear" w:color="auto" w:fill="auto"/>
            <w:noWrap/>
            <w:vAlign w:val="center"/>
            <w:hideMark/>
          </w:tcPr>
          <w:p w14:paraId="58C717A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0.29±0.02</w:t>
            </w:r>
          </w:p>
        </w:tc>
        <w:tc>
          <w:tcPr>
            <w:tcW w:w="945" w:type="dxa"/>
            <w:tcBorders>
              <w:top w:val="nil"/>
              <w:left w:val="nil"/>
              <w:bottom w:val="single" w:sz="8" w:space="0" w:color="auto"/>
              <w:right w:val="nil"/>
            </w:tcBorders>
            <w:shd w:val="clear" w:color="auto" w:fill="auto"/>
            <w:noWrap/>
            <w:hideMark/>
          </w:tcPr>
          <w:p w14:paraId="68E4115A"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0.58±0.04</w:t>
            </w:r>
          </w:p>
        </w:tc>
        <w:tc>
          <w:tcPr>
            <w:tcW w:w="1026" w:type="dxa"/>
            <w:tcBorders>
              <w:top w:val="nil"/>
              <w:left w:val="nil"/>
              <w:bottom w:val="single" w:sz="8" w:space="0" w:color="auto"/>
              <w:right w:val="nil"/>
            </w:tcBorders>
            <w:shd w:val="clear" w:color="auto" w:fill="auto"/>
            <w:noWrap/>
            <w:vAlign w:val="center"/>
            <w:hideMark/>
          </w:tcPr>
          <w:p w14:paraId="107A8AC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1.38±0.1</w:t>
            </w:r>
            <w:r>
              <w:rPr>
                <w:rFonts w:eastAsia="Times New Roman" w:cs="Times New Roman"/>
                <w:i/>
                <w:iCs/>
                <w:color w:val="000000"/>
                <w:sz w:val="18"/>
                <w:szCs w:val="18"/>
              </w:rPr>
              <w:t>0</w:t>
            </w:r>
          </w:p>
        </w:tc>
        <w:tc>
          <w:tcPr>
            <w:tcW w:w="1026" w:type="dxa"/>
            <w:tcBorders>
              <w:top w:val="nil"/>
              <w:left w:val="nil"/>
              <w:bottom w:val="single" w:sz="8" w:space="0" w:color="auto"/>
              <w:right w:val="nil"/>
            </w:tcBorders>
            <w:shd w:val="clear" w:color="auto" w:fill="auto"/>
            <w:noWrap/>
            <w:vAlign w:val="center"/>
            <w:hideMark/>
          </w:tcPr>
          <w:p w14:paraId="482BC3E6"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-0.71±0.01</w:t>
            </w:r>
          </w:p>
        </w:tc>
        <w:tc>
          <w:tcPr>
            <w:tcW w:w="1136" w:type="dxa"/>
            <w:tcBorders>
              <w:top w:val="nil"/>
              <w:left w:val="nil"/>
              <w:bottom w:val="single" w:sz="8" w:space="0" w:color="auto"/>
              <w:right w:val="nil"/>
            </w:tcBorders>
            <w:shd w:val="clear" w:color="auto" w:fill="auto"/>
            <w:noWrap/>
            <w:vAlign w:val="center"/>
            <w:hideMark/>
          </w:tcPr>
          <w:p w14:paraId="520717D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w:t>
            </w:r>
          </w:p>
        </w:tc>
        <w:tc>
          <w:tcPr>
            <w:tcW w:w="1026" w:type="dxa"/>
            <w:tcBorders>
              <w:top w:val="nil"/>
              <w:left w:val="nil"/>
              <w:bottom w:val="single" w:sz="8" w:space="0" w:color="auto"/>
              <w:right w:val="nil"/>
            </w:tcBorders>
            <w:shd w:val="clear" w:color="auto" w:fill="auto"/>
            <w:noWrap/>
            <w:vAlign w:val="center"/>
            <w:hideMark/>
          </w:tcPr>
          <w:p w14:paraId="752A38F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23±4</w:t>
            </w:r>
          </w:p>
        </w:tc>
        <w:tc>
          <w:tcPr>
            <w:tcW w:w="1026" w:type="dxa"/>
            <w:tcBorders>
              <w:top w:val="nil"/>
              <w:left w:val="nil"/>
              <w:bottom w:val="single" w:sz="8" w:space="0" w:color="auto"/>
              <w:right w:val="nil"/>
            </w:tcBorders>
            <w:shd w:val="clear" w:color="auto" w:fill="auto"/>
            <w:noWrap/>
            <w:vAlign w:val="center"/>
            <w:hideMark/>
          </w:tcPr>
          <w:p w14:paraId="6FD76B56"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-0.42±0.13</w:t>
            </w:r>
          </w:p>
        </w:tc>
      </w:tr>
      <w:tr w:rsidR="00FD2769" w:rsidRPr="00E766F9" w14:paraId="6AA1516C" w14:textId="77777777" w:rsidTr="00302554">
        <w:trPr>
          <w:trHeight w:val="290"/>
        </w:trPr>
        <w:tc>
          <w:tcPr>
            <w:tcW w:w="608" w:type="dxa"/>
            <w:vMerge/>
            <w:tcBorders>
              <w:top w:val="nil"/>
              <w:left w:val="nil"/>
              <w:bottom w:val="single" w:sz="8" w:space="0" w:color="000000"/>
              <w:right w:val="nil"/>
            </w:tcBorders>
            <w:vAlign w:val="center"/>
            <w:hideMark/>
          </w:tcPr>
          <w:p w14:paraId="77B2FFAE" w14:textId="77777777" w:rsidR="00FD2769" w:rsidRPr="00E766F9" w:rsidRDefault="00FD2769" w:rsidP="00302554">
            <w:pPr>
              <w:spacing w:line="240" w:lineRule="auto"/>
              <w:rPr>
                <w:rFonts w:eastAsia="Times New Roman" w:cs="Times New Roman"/>
                <w:color w:val="000000"/>
              </w:rPr>
            </w:pPr>
          </w:p>
        </w:tc>
        <w:tc>
          <w:tcPr>
            <w:tcW w:w="546" w:type="dxa"/>
            <w:vMerge w:val="restart"/>
            <w:tcBorders>
              <w:top w:val="nil"/>
              <w:left w:val="nil"/>
              <w:bottom w:val="single" w:sz="8" w:space="0" w:color="000000"/>
              <w:right w:val="nil"/>
            </w:tcBorders>
            <w:shd w:val="clear" w:color="auto" w:fill="auto"/>
            <w:noWrap/>
            <w:vAlign w:val="center"/>
            <w:hideMark/>
          </w:tcPr>
          <w:p w14:paraId="2907A40F"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95</w:t>
            </w:r>
          </w:p>
        </w:tc>
        <w:tc>
          <w:tcPr>
            <w:tcW w:w="482" w:type="dxa"/>
            <w:tcBorders>
              <w:top w:val="nil"/>
              <w:left w:val="nil"/>
              <w:bottom w:val="nil"/>
              <w:right w:val="nil"/>
            </w:tcBorders>
            <w:shd w:val="clear" w:color="auto" w:fill="auto"/>
            <w:noWrap/>
            <w:vAlign w:val="center"/>
            <w:hideMark/>
          </w:tcPr>
          <w:p w14:paraId="252D9204"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604770A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0.21±0.08</w:t>
            </w:r>
          </w:p>
        </w:tc>
        <w:tc>
          <w:tcPr>
            <w:tcW w:w="945" w:type="dxa"/>
            <w:tcBorders>
              <w:top w:val="nil"/>
              <w:left w:val="nil"/>
              <w:bottom w:val="nil"/>
              <w:right w:val="nil"/>
            </w:tcBorders>
            <w:shd w:val="clear" w:color="auto" w:fill="auto"/>
            <w:noWrap/>
            <w:hideMark/>
          </w:tcPr>
          <w:p w14:paraId="2FB8ADC6"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0.42±0.04</w:t>
            </w:r>
          </w:p>
        </w:tc>
        <w:tc>
          <w:tcPr>
            <w:tcW w:w="1026" w:type="dxa"/>
            <w:tcBorders>
              <w:top w:val="nil"/>
              <w:left w:val="nil"/>
              <w:bottom w:val="nil"/>
              <w:right w:val="nil"/>
            </w:tcBorders>
            <w:shd w:val="clear" w:color="auto" w:fill="auto"/>
            <w:noWrap/>
            <w:vAlign w:val="center"/>
            <w:hideMark/>
          </w:tcPr>
          <w:p w14:paraId="5AEF643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1.11±0.4</w:t>
            </w:r>
            <w:r>
              <w:rPr>
                <w:rFonts w:eastAsia="Times New Roman" w:cs="Times New Roman"/>
                <w:i/>
                <w:iCs/>
                <w:color w:val="000000"/>
                <w:sz w:val="18"/>
                <w:szCs w:val="18"/>
              </w:rPr>
              <w:t>0</w:t>
            </w:r>
          </w:p>
        </w:tc>
        <w:tc>
          <w:tcPr>
            <w:tcW w:w="1026" w:type="dxa"/>
            <w:tcBorders>
              <w:top w:val="nil"/>
              <w:left w:val="nil"/>
              <w:bottom w:val="nil"/>
              <w:right w:val="nil"/>
            </w:tcBorders>
            <w:shd w:val="clear" w:color="auto" w:fill="auto"/>
            <w:noWrap/>
            <w:vAlign w:val="center"/>
            <w:hideMark/>
          </w:tcPr>
          <w:p w14:paraId="2CE553CD"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w:t>
            </w:r>
            <w:r>
              <w:rPr>
                <w:rFonts w:eastAsia="Times New Roman" w:cs="Times New Roman"/>
                <w:i/>
                <w:iCs/>
                <w:color w:val="000000"/>
                <w:sz w:val="18"/>
                <w:szCs w:val="18"/>
              </w:rPr>
              <w:t>0</w:t>
            </w:r>
            <w:r w:rsidRPr="00E766F9">
              <w:rPr>
                <w:rFonts w:eastAsia="Times New Roman" w:cs="Times New Roman"/>
                <w:i/>
                <w:iCs/>
                <w:color w:val="000000"/>
                <w:sz w:val="18"/>
                <w:szCs w:val="18"/>
              </w:rPr>
              <w:t>±0.04</w:t>
            </w:r>
          </w:p>
        </w:tc>
        <w:tc>
          <w:tcPr>
            <w:tcW w:w="1136" w:type="dxa"/>
            <w:tcBorders>
              <w:top w:val="nil"/>
              <w:left w:val="nil"/>
              <w:bottom w:val="nil"/>
              <w:right w:val="nil"/>
            </w:tcBorders>
            <w:shd w:val="clear" w:color="auto" w:fill="auto"/>
            <w:noWrap/>
            <w:vAlign w:val="center"/>
            <w:hideMark/>
          </w:tcPr>
          <w:p w14:paraId="74CC989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12±1</w:t>
            </w:r>
          </w:p>
        </w:tc>
        <w:tc>
          <w:tcPr>
            <w:tcW w:w="1026" w:type="dxa"/>
            <w:tcBorders>
              <w:top w:val="nil"/>
              <w:left w:val="nil"/>
              <w:bottom w:val="nil"/>
              <w:right w:val="nil"/>
            </w:tcBorders>
            <w:shd w:val="clear" w:color="auto" w:fill="auto"/>
            <w:noWrap/>
            <w:vAlign w:val="center"/>
            <w:hideMark/>
          </w:tcPr>
          <w:p w14:paraId="6805DC3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29±4</w:t>
            </w:r>
          </w:p>
        </w:tc>
        <w:tc>
          <w:tcPr>
            <w:tcW w:w="1026" w:type="dxa"/>
            <w:tcBorders>
              <w:top w:val="nil"/>
              <w:left w:val="nil"/>
              <w:bottom w:val="nil"/>
              <w:right w:val="nil"/>
            </w:tcBorders>
            <w:shd w:val="clear" w:color="auto" w:fill="auto"/>
            <w:noWrap/>
            <w:vAlign w:val="center"/>
            <w:hideMark/>
          </w:tcPr>
          <w:p w14:paraId="43DF5A8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0.06±0.02</w:t>
            </w:r>
          </w:p>
        </w:tc>
      </w:tr>
      <w:tr w:rsidR="00FD2769" w:rsidRPr="00E766F9" w14:paraId="5C7ECBA4" w14:textId="77777777" w:rsidTr="00302554">
        <w:trPr>
          <w:trHeight w:val="300"/>
        </w:trPr>
        <w:tc>
          <w:tcPr>
            <w:tcW w:w="608" w:type="dxa"/>
            <w:vMerge/>
            <w:tcBorders>
              <w:top w:val="nil"/>
              <w:left w:val="nil"/>
              <w:bottom w:val="single" w:sz="8" w:space="0" w:color="000000"/>
              <w:right w:val="nil"/>
            </w:tcBorders>
            <w:vAlign w:val="center"/>
            <w:hideMark/>
          </w:tcPr>
          <w:p w14:paraId="49BD8EA6"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08165E29"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5D26F4EE"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single" w:sz="8" w:space="0" w:color="auto"/>
              <w:right w:val="nil"/>
            </w:tcBorders>
            <w:shd w:val="clear" w:color="auto" w:fill="auto"/>
            <w:noWrap/>
            <w:vAlign w:val="center"/>
            <w:hideMark/>
          </w:tcPr>
          <w:p w14:paraId="3A8F247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0.21±0.08</w:t>
            </w:r>
          </w:p>
        </w:tc>
        <w:tc>
          <w:tcPr>
            <w:tcW w:w="945" w:type="dxa"/>
            <w:tcBorders>
              <w:top w:val="nil"/>
              <w:left w:val="nil"/>
              <w:bottom w:val="single" w:sz="8" w:space="0" w:color="auto"/>
              <w:right w:val="nil"/>
            </w:tcBorders>
            <w:shd w:val="clear" w:color="auto" w:fill="auto"/>
            <w:noWrap/>
            <w:hideMark/>
          </w:tcPr>
          <w:p w14:paraId="20774A3E"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0.42±0.04</w:t>
            </w:r>
          </w:p>
        </w:tc>
        <w:tc>
          <w:tcPr>
            <w:tcW w:w="1026" w:type="dxa"/>
            <w:tcBorders>
              <w:top w:val="nil"/>
              <w:left w:val="nil"/>
              <w:bottom w:val="single" w:sz="8" w:space="0" w:color="auto"/>
              <w:right w:val="nil"/>
            </w:tcBorders>
            <w:shd w:val="clear" w:color="auto" w:fill="auto"/>
            <w:noWrap/>
            <w:vAlign w:val="center"/>
            <w:hideMark/>
          </w:tcPr>
          <w:p w14:paraId="1B67F1E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1.11±0.4</w:t>
            </w:r>
            <w:r>
              <w:rPr>
                <w:rFonts w:eastAsia="Times New Roman" w:cs="Times New Roman"/>
                <w:i/>
                <w:iCs/>
                <w:color w:val="000000"/>
                <w:sz w:val="18"/>
                <w:szCs w:val="18"/>
              </w:rPr>
              <w:t>0</w:t>
            </w:r>
          </w:p>
        </w:tc>
        <w:tc>
          <w:tcPr>
            <w:tcW w:w="1026" w:type="dxa"/>
            <w:tcBorders>
              <w:top w:val="nil"/>
              <w:left w:val="nil"/>
              <w:bottom w:val="single" w:sz="8" w:space="0" w:color="auto"/>
              <w:right w:val="nil"/>
            </w:tcBorders>
            <w:shd w:val="clear" w:color="auto" w:fill="auto"/>
            <w:noWrap/>
            <w:vAlign w:val="center"/>
            <w:hideMark/>
          </w:tcPr>
          <w:p w14:paraId="7DB832C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-0.71±0.03</w:t>
            </w:r>
          </w:p>
        </w:tc>
        <w:tc>
          <w:tcPr>
            <w:tcW w:w="1136" w:type="dxa"/>
            <w:tcBorders>
              <w:top w:val="nil"/>
              <w:left w:val="nil"/>
              <w:bottom w:val="single" w:sz="8" w:space="0" w:color="auto"/>
              <w:right w:val="nil"/>
            </w:tcBorders>
            <w:shd w:val="clear" w:color="auto" w:fill="auto"/>
            <w:noWrap/>
            <w:vAlign w:val="center"/>
            <w:hideMark/>
          </w:tcPr>
          <w:p w14:paraId="1E8048BF"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w:t>
            </w:r>
            <w:r>
              <w:rPr>
                <w:rFonts w:eastAsia="Times New Roman" w:cs="Times New Roman"/>
                <w:i/>
                <w:iCs/>
                <w:color w:val="000000"/>
                <w:sz w:val="18"/>
                <w:szCs w:val="18"/>
              </w:rPr>
              <w:t>0</w:t>
            </w:r>
            <w:r w:rsidRPr="00E766F9">
              <w:rPr>
                <w:rFonts w:eastAsia="Times New Roman" w:cs="Times New Roman"/>
                <w:i/>
                <w:iCs/>
                <w:color w:val="000000"/>
                <w:sz w:val="18"/>
                <w:szCs w:val="18"/>
              </w:rPr>
              <w:t>±1</w:t>
            </w:r>
          </w:p>
        </w:tc>
        <w:tc>
          <w:tcPr>
            <w:tcW w:w="1026" w:type="dxa"/>
            <w:tcBorders>
              <w:top w:val="nil"/>
              <w:left w:val="nil"/>
              <w:bottom w:val="single" w:sz="8" w:space="0" w:color="auto"/>
              <w:right w:val="nil"/>
            </w:tcBorders>
            <w:shd w:val="clear" w:color="auto" w:fill="auto"/>
            <w:noWrap/>
            <w:vAlign w:val="center"/>
            <w:hideMark/>
          </w:tcPr>
          <w:p w14:paraId="3A737C10"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29±4</w:t>
            </w:r>
          </w:p>
        </w:tc>
        <w:tc>
          <w:tcPr>
            <w:tcW w:w="1026" w:type="dxa"/>
            <w:tcBorders>
              <w:top w:val="nil"/>
              <w:left w:val="nil"/>
              <w:bottom w:val="single" w:sz="8" w:space="0" w:color="auto"/>
              <w:right w:val="nil"/>
            </w:tcBorders>
            <w:shd w:val="clear" w:color="auto" w:fill="auto"/>
            <w:noWrap/>
            <w:vAlign w:val="center"/>
            <w:hideMark/>
          </w:tcPr>
          <w:p w14:paraId="7B6B3FE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0.06±0.02</w:t>
            </w:r>
          </w:p>
        </w:tc>
      </w:tr>
      <w:tr w:rsidR="00FD2769" w:rsidRPr="00E766F9" w14:paraId="0CF05C6B" w14:textId="77777777" w:rsidTr="00302554">
        <w:trPr>
          <w:trHeight w:val="290"/>
        </w:trPr>
        <w:tc>
          <w:tcPr>
            <w:tcW w:w="608" w:type="dxa"/>
            <w:vMerge w:val="restart"/>
            <w:tcBorders>
              <w:top w:val="nil"/>
              <w:left w:val="nil"/>
              <w:bottom w:val="nil"/>
              <w:right w:val="nil"/>
            </w:tcBorders>
            <w:shd w:val="clear" w:color="auto" w:fill="auto"/>
            <w:noWrap/>
            <w:vAlign w:val="center"/>
            <w:hideMark/>
          </w:tcPr>
          <w:p w14:paraId="07574D3D"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5/5</w:t>
            </w:r>
          </w:p>
        </w:tc>
        <w:tc>
          <w:tcPr>
            <w:tcW w:w="546" w:type="dxa"/>
            <w:vMerge w:val="restart"/>
            <w:tcBorders>
              <w:top w:val="nil"/>
              <w:left w:val="nil"/>
              <w:bottom w:val="single" w:sz="8" w:space="0" w:color="000000"/>
              <w:right w:val="nil"/>
            </w:tcBorders>
            <w:shd w:val="clear" w:color="auto" w:fill="auto"/>
            <w:noWrap/>
            <w:vAlign w:val="center"/>
            <w:hideMark/>
          </w:tcPr>
          <w:p w14:paraId="3B3ADDE6"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75</w:t>
            </w:r>
          </w:p>
        </w:tc>
        <w:tc>
          <w:tcPr>
            <w:tcW w:w="482" w:type="dxa"/>
            <w:tcBorders>
              <w:top w:val="nil"/>
              <w:left w:val="nil"/>
              <w:bottom w:val="nil"/>
              <w:right w:val="nil"/>
            </w:tcBorders>
            <w:shd w:val="clear" w:color="auto" w:fill="auto"/>
            <w:noWrap/>
            <w:vAlign w:val="center"/>
            <w:hideMark/>
          </w:tcPr>
          <w:p w14:paraId="5C5F97FF"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5A56EA80"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c>
          <w:tcPr>
            <w:tcW w:w="945" w:type="dxa"/>
            <w:tcBorders>
              <w:top w:val="nil"/>
              <w:left w:val="nil"/>
              <w:bottom w:val="nil"/>
              <w:right w:val="nil"/>
            </w:tcBorders>
            <w:shd w:val="clear" w:color="auto" w:fill="auto"/>
            <w:noWrap/>
            <w:hideMark/>
          </w:tcPr>
          <w:p w14:paraId="536F1AAC"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0.38±0.02</w:t>
            </w:r>
          </w:p>
        </w:tc>
        <w:tc>
          <w:tcPr>
            <w:tcW w:w="1026" w:type="dxa"/>
            <w:tcBorders>
              <w:top w:val="nil"/>
              <w:left w:val="nil"/>
              <w:bottom w:val="nil"/>
              <w:right w:val="nil"/>
            </w:tcBorders>
            <w:shd w:val="clear" w:color="auto" w:fill="auto"/>
            <w:noWrap/>
            <w:vAlign w:val="center"/>
            <w:hideMark/>
          </w:tcPr>
          <w:p w14:paraId="685F211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2485125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-0.67±0.02</w:t>
            </w:r>
          </w:p>
        </w:tc>
        <w:tc>
          <w:tcPr>
            <w:tcW w:w="1136" w:type="dxa"/>
            <w:tcBorders>
              <w:top w:val="nil"/>
              <w:left w:val="nil"/>
              <w:bottom w:val="nil"/>
              <w:right w:val="nil"/>
            </w:tcBorders>
            <w:shd w:val="clear" w:color="auto" w:fill="auto"/>
            <w:noWrap/>
            <w:vAlign w:val="center"/>
            <w:hideMark/>
          </w:tcPr>
          <w:p w14:paraId="201DB381"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16±2</w:t>
            </w:r>
          </w:p>
        </w:tc>
        <w:tc>
          <w:tcPr>
            <w:tcW w:w="1026" w:type="dxa"/>
            <w:tcBorders>
              <w:top w:val="nil"/>
              <w:left w:val="nil"/>
              <w:bottom w:val="nil"/>
              <w:right w:val="nil"/>
            </w:tcBorders>
            <w:shd w:val="clear" w:color="auto" w:fill="auto"/>
            <w:noWrap/>
            <w:vAlign w:val="center"/>
            <w:hideMark/>
          </w:tcPr>
          <w:p w14:paraId="2E7C272B"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18±2</w:t>
            </w:r>
          </w:p>
        </w:tc>
        <w:tc>
          <w:tcPr>
            <w:tcW w:w="1026" w:type="dxa"/>
            <w:tcBorders>
              <w:top w:val="nil"/>
              <w:left w:val="nil"/>
              <w:bottom w:val="nil"/>
              <w:right w:val="nil"/>
            </w:tcBorders>
            <w:shd w:val="clear" w:color="auto" w:fill="auto"/>
            <w:noWrap/>
            <w:vAlign w:val="center"/>
            <w:hideMark/>
          </w:tcPr>
          <w:p w14:paraId="6BF76526"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r w:rsidRPr="00E766F9">
              <w:rPr>
                <w:rFonts w:eastAsia="Times New Roman" w:cs="Times New Roman"/>
                <w:i/>
                <w:iCs/>
                <w:color w:val="000000"/>
                <w:sz w:val="18"/>
                <w:szCs w:val="18"/>
              </w:rPr>
              <w:t> </w:t>
            </w:r>
          </w:p>
        </w:tc>
      </w:tr>
      <w:tr w:rsidR="00FD2769" w:rsidRPr="00E766F9" w14:paraId="09990640" w14:textId="77777777" w:rsidTr="00302554">
        <w:trPr>
          <w:trHeight w:val="290"/>
        </w:trPr>
        <w:tc>
          <w:tcPr>
            <w:tcW w:w="608" w:type="dxa"/>
            <w:vMerge/>
            <w:tcBorders>
              <w:top w:val="nil"/>
              <w:left w:val="nil"/>
              <w:bottom w:val="nil"/>
              <w:right w:val="nil"/>
            </w:tcBorders>
            <w:vAlign w:val="center"/>
            <w:hideMark/>
          </w:tcPr>
          <w:p w14:paraId="7C1620DA"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77F73CEF"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62E992D6"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35B2F8E1"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2E02A11D"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0.38±0.02</w:t>
            </w:r>
          </w:p>
        </w:tc>
        <w:tc>
          <w:tcPr>
            <w:tcW w:w="1026" w:type="dxa"/>
            <w:tcBorders>
              <w:top w:val="nil"/>
              <w:left w:val="nil"/>
              <w:bottom w:val="nil"/>
              <w:right w:val="nil"/>
            </w:tcBorders>
            <w:shd w:val="clear" w:color="auto" w:fill="auto"/>
            <w:noWrap/>
            <w:vAlign w:val="center"/>
            <w:hideMark/>
          </w:tcPr>
          <w:p w14:paraId="35EB930D"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2975386F"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136" w:type="dxa"/>
            <w:tcBorders>
              <w:top w:val="nil"/>
              <w:left w:val="nil"/>
              <w:bottom w:val="nil"/>
              <w:right w:val="nil"/>
            </w:tcBorders>
            <w:shd w:val="clear" w:color="auto" w:fill="auto"/>
            <w:noWrap/>
            <w:vAlign w:val="center"/>
            <w:hideMark/>
          </w:tcPr>
          <w:p w14:paraId="1102C495"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323C3BD5"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18±2</w:t>
            </w:r>
          </w:p>
        </w:tc>
        <w:tc>
          <w:tcPr>
            <w:tcW w:w="1026" w:type="dxa"/>
            <w:tcBorders>
              <w:top w:val="nil"/>
              <w:left w:val="nil"/>
              <w:bottom w:val="nil"/>
              <w:right w:val="nil"/>
            </w:tcBorders>
            <w:shd w:val="clear" w:color="auto" w:fill="auto"/>
            <w:noWrap/>
            <w:vAlign w:val="center"/>
            <w:hideMark/>
          </w:tcPr>
          <w:p w14:paraId="4BD01A98" w14:textId="77777777" w:rsidR="00FD2769" w:rsidRPr="00E766F9" w:rsidRDefault="00FD2769" w:rsidP="00302554">
            <w:pPr>
              <w:spacing w:line="240" w:lineRule="auto"/>
              <w:jc w:val="center"/>
              <w:rPr>
                <w:rFonts w:eastAsia="Times New Roman" w:cs="Times New Roman"/>
                <w:sz w:val="18"/>
                <w:szCs w:val="18"/>
              </w:rPr>
            </w:pPr>
            <w:r>
              <w:rPr>
                <w:rFonts w:eastAsia="Times New Roman" w:cs="Times New Roman"/>
                <w:sz w:val="18"/>
                <w:szCs w:val="18"/>
              </w:rPr>
              <w:t>-</w:t>
            </w:r>
          </w:p>
        </w:tc>
      </w:tr>
      <w:tr w:rsidR="00FD2769" w:rsidRPr="00E766F9" w14:paraId="28A7F32D" w14:textId="77777777" w:rsidTr="00302554">
        <w:trPr>
          <w:trHeight w:val="290"/>
        </w:trPr>
        <w:tc>
          <w:tcPr>
            <w:tcW w:w="608" w:type="dxa"/>
            <w:vMerge/>
            <w:tcBorders>
              <w:top w:val="nil"/>
              <w:left w:val="nil"/>
              <w:bottom w:val="nil"/>
              <w:right w:val="nil"/>
            </w:tcBorders>
            <w:vAlign w:val="center"/>
            <w:hideMark/>
          </w:tcPr>
          <w:p w14:paraId="4E916E3C"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3C3EDB59"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5271C038"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70E80AD8"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10F4ECE5"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0.54±0.02</w:t>
            </w:r>
          </w:p>
        </w:tc>
        <w:tc>
          <w:tcPr>
            <w:tcW w:w="1026" w:type="dxa"/>
            <w:tcBorders>
              <w:top w:val="nil"/>
              <w:left w:val="nil"/>
              <w:bottom w:val="nil"/>
              <w:right w:val="nil"/>
            </w:tcBorders>
            <w:shd w:val="clear" w:color="auto" w:fill="auto"/>
            <w:noWrap/>
            <w:vAlign w:val="center"/>
            <w:hideMark/>
          </w:tcPr>
          <w:p w14:paraId="1F30BA60"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2B6ABCA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-0.64±0.01</w:t>
            </w:r>
          </w:p>
        </w:tc>
        <w:tc>
          <w:tcPr>
            <w:tcW w:w="1136" w:type="dxa"/>
            <w:tcBorders>
              <w:top w:val="nil"/>
              <w:left w:val="nil"/>
              <w:bottom w:val="nil"/>
              <w:right w:val="nil"/>
            </w:tcBorders>
            <w:shd w:val="clear" w:color="auto" w:fill="auto"/>
            <w:noWrap/>
            <w:vAlign w:val="center"/>
            <w:hideMark/>
          </w:tcPr>
          <w:p w14:paraId="38D4535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16±2</w:t>
            </w:r>
          </w:p>
        </w:tc>
        <w:tc>
          <w:tcPr>
            <w:tcW w:w="1026" w:type="dxa"/>
            <w:tcBorders>
              <w:top w:val="nil"/>
              <w:left w:val="nil"/>
              <w:bottom w:val="nil"/>
              <w:right w:val="nil"/>
            </w:tcBorders>
            <w:shd w:val="clear" w:color="auto" w:fill="auto"/>
            <w:noWrap/>
            <w:vAlign w:val="center"/>
            <w:hideMark/>
          </w:tcPr>
          <w:p w14:paraId="448D45E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12±3</w:t>
            </w:r>
          </w:p>
        </w:tc>
        <w:tc>
          <w:tcPr>
            <w:tcW w:w="1026" w:type="dxa"/>
            <w:tcBorders>
              <w:top w:val="nil"/>
              <w:left w:val="nil"/>
              <w:bottom w:val="nil"/>
              <w:right w:val="nil"/>
            </w:tcBorders>
            <w:shd w:val="clear" w:color="auto" w:fill="auto"/>
            <w:noWrap/>
            <w:vAlign w:val="center"/>
            <w:hideMark/>
          </w:tcPr>
          <w:p w14:paraId="7ABFBC4E"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r>
      <w:tr w:rsidR="00FD2769" w:rsidRPr="00E766F9" w14:paraId="2A48F1A2" w14:textId="77777777" w:rsidTr="00302554">
        <w:trPr>
          <w:trHeight w:val="300"/>
        </w:trPr>
        <w:tc>
          <w:tcPr>
            <w:tcW w:w="608" w:type="dxa"/>
            <w:vMerge/>
            <w:tcBorders>
              <w:top w:val="nil"/>
              <w:left w:val="nil"/>
              <w:bottom w:val="nil"/>
              <w:right w:val="nil"/>
            </w:tcBorders>
            <w:vAlign w:val="center"/>
            <w:hideMark/>
          </w:tcPr>
          <w:p w14:paraId="4E28BC1F"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single" w:sz="8" w:space="0" w:color="000000"/>
              <w:right w:val="nil"/>
            </w:tcBorders>
            <w:vAlign w:val="center"/>
            <w:hideMark/>
          </w:tcPr>
          <w:p w14:paraId="0BC5C2A3"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single" w:sz="8" w:space="0" w:color="auto"/>
              <w:right w:val="nil"/>
            </w:tcBorders>
            <w:shd w:val="clear" w:color="auto" w:fill="auto"/>
            <w:noWrap/>
            <w:vAlign w:val="center"/>
            <w:hideMark/>
          </w:tcPr>
          <w:p w14:paraId="3CC8A4BB"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single" w:sz="8" w:space="0" w:color="auto"/>
              <w:right w:val="nil"/>
            </w:tcBorders>
            <w:shd w:val="clear" w:color="auto" w:fill="auto"/>
            <w:noWrap/>
            <w:vAlign w:val="center"/>
            <w:hideMark/>
          </w:tcPr>
          <w:p w14:paraId="786478A4"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945" w:type="dxa"/>
            <w:tcBorders>
              <w:top w:val="nil"/>
              <w:left w:val="nil"/>
              <w:bottom w:val="single" w:sz="8" w:space="0" w:color="auto"/>
              <w:right w:val="nil"/>
            </w:tcBorders>
            <w:shd w:val="clear" w:color="auto" w:fill="auto"/>
            <w:noWrap/>
            <w:hideMark/>
          </w:tcPr>
          <w:p w14:paraId="41751C32"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0.54±0.02</w:t>
            </w:r>
          </w:p>
        </w:tc>
        <w:tc>
          <w:tcPr>
            <w:tcW w:w="1026" w:type="dxa"/>
            <w:tcBorders>
              <w:top w:val="nil"/>
              <w:left w:val="nil"/>
              <w:bottom w:val="single" w:sz="8" w:space="0" w:color="auto"/>
              <w:right w:val="nil"/>
            </w:tcBorders>
            <w:shd w:val="clear" w:color="auto" w:fill="auto"/>
            <w:noWrap/>
            <w:vAlign w:val="center"/>
            <w:hideMark/>
          </w:tcPr>
          <w:p w14:paraId="44C7844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c>
          <w:tcPr>
            <w:tcW w:w="1026" w:type="dxa"/>
            <w:tcBorders>
              <w:top w:val="nil"/>
              <w:left w:val="nil"/>
              <w:bottom w:val="single" w:sz="8" w:space="0" w:color="auto"/>
              <w:right w:val="nil"/>
            </w:tcBorders>
            <w:shd w:val="clear" w:color="auto" w:fill="auto"/>
            <w:noWrap/>
            <w:vAlign w:val="center"/>
            <w:hideMark/>
          </w:tcPr>
          <w:p w14:paraId="352B6B8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-0.72±0.03</w:t>
            </w:r>
          </w:p>
        </w:tc>
        <w:tc>
          <w:tcPr>
            <w:tcW w:w="1136" w:type="dxa"/>
            <w:tcBorders>
              <w:top w:val="nil"/>
              <w:left w:val="nil"/>
              <w:bottom w:val="single" w:sz="8" w:space="0" w:color="auto"/>
              <w:right w:val="nil"/>
            </w:tcBorders>
            <w:shd w:val="clear" w:color="auto" w:fill="auto"/>
            <w:noWrap/>
            <w:vAlign w:val="center"/>
            <w:hideMark/>
          </w:tcPr>
          <w:p w14:paraId="5DC8963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14±1</w:t>
            </w:r>
          </w:p>
        </w:tc>
        <w:tc>
          <w:tcPr>
            <w:tcW w:w="1026" w:type="dxa"/>
            <w:tcBorders>
              <w:top w:val="nil"/>
              <w:left w:val="nil"/>
              <w:bottom w:val="single" w:sz="8" w:space="0" w:color="auto"/>
              <w:right w:val="nil"/>
            </w:tcBorders>
            <w:shd w:val="clear" w:color="auto" w:fill="auto"/>
            <w:noWrap/>
            <w:vAlign w:val="center"/>
            <w:hideMark/>
          </w:tcPr>
          <w:p w14:paraId="7337D86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12±3</w:t>
            </w:r>
          </w:p>
        </w:tc>
        <w:tc>
          <w:tcPr>
            <w:tcW w:w="1026" w:type="dxa"/>
            <w:tcBorders>
              <w:top w:val="nil"/>
              <w:left w:val="nil"/>
              <w:bottom w:val="single" w:sz="8" w:space="0" w:color="auto"/>
              <w:right w:val="nil"/>
            </w:tcBorders>
            <w:shd w:val="clear" w:color="auto" w:fill="auto"/>
            <w:noWrap/>
            <w:vAlign w:val="center"/>
            <w:hideMark/>
          </w:tcPr>
          <w:p w14:paraId="4076D7FE"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 </w:t>
            </w:r>
            <w:r>
              <w:rPr>
                <w:rFonts w:eastAsia="Times New Roman" w:cs="Times New Roman"/>
                <w:i/>
                <w:iCs/>
                <w:color w:val="000000"/>
                <w:sz w:val="18"/>
                <w:szCs w:val="18"/>
              </w:rPr>
              <w:t>-</w:t>
            </w:r>
          </w:p>
        </w:tc>
      </w:tr>
      <w:tr w:rsidR="00FD2769" w:rsidRPr="00E766F9" w14:paraId="4A90BFF2" w14:textId="77777777" w:rsidTr="00302554">
        <w:trPr>
          <w:trHeight w:val="290"/>
        </w:trPr>
        <w:tc>
          <w:tcPr>
            <w:tcW w:w="608" w:type="dxa"/>
            <w:vMerge/>
            <w:tcBorders>
              <w:top w:val="nil"/>
              <w:left w:val="nil"/>
              <w:bottom w:val="nil"/>
              <w:right w:val="nil"/>
            </w:tcBorders>
            <w:vAlign w:val="center"/>
            <w:hideMark/>
          </w:tcPr>
          <w:p w14:paraId="4B6A9CD5" w14:textId="77777777" w:rsidR="00FD2769" w:rsidRPr="00E766F9" w:rsidRDefault="00FD2769" w:rsidP="00302554">
            <w:pPr>
              <w:spacing w:line="240" w:lineRule="auto"/>
              <w:rPr>
                <w:rFonts w:eastAsia="Times New Roman" w:cs="Times New Roman"/>
                <w:color w:val="000000"/>
              </w:rPr>
            </w:pPr>
          </w:p>
        </w:tc>
        <w:tc>
          <w:tcPr>
            <w:tcW w:w="546" w:type="dxa"/>
            <w:vMerge w:val="restart"/>
            <w:tcBorders>
              <w:top w:val="nil"/>
              <w:left w:val="nil"/>
              <w:bottom w:val="nil"/>
              <w:right w:val="nil"/>
            </w:tcBorders>
            <w:shd w:val="clear" w:color="auto" w:fill="auto"/>
            <w:noWrap/>
            <w:vAlign w:val="center"/>
            <w:hideMark/>
          </w:tcPr>
          <w:p w14:paraId="540F6E12" w14:textId="77777777" w:rsidR="00FD2769" w:rsidRPr="00E766F9" w:rsidRDefault="00FD2769" w:rsidP="00302554">
            <w:pPr>
              <w:spacing w:line="240" w:lineRule="auto"/>
              <w:jc w:val="center"/>
              <w:rPr>
                <w:rFonts w:eastAsia="Times New Roman" w:cs="Times New Roman"/>
                <w:color w:val="000000"/>
              </w:rPr>
            </w:pPr>
            <w:r w:rsidRPr="00E766F9">
              <w:rPr>
                <w:rFonts w:eastAsia="Times New Roman" w:cs="Times New Roman"/>
                <w:color w:val="000000"/>
              </w:rPr>
              <w:t>125</w:t>
            </w:r>
          </w:p>
        </w:tc>
        <w:tc>
          <w:tcPr>
            <w:tcW w:w="482" w:type="dxa"/>
            <w:tcBorders>
              <w:top w:val="nil"/>
              <w:left w:val="nil"/>
              <w:bottom w:val="nil"/>
              <w:right w:val="nil"/>
            </w:tcBorders>
            <w:shd w:val="clear" w:color="auto" w:fill="auto"/>
            <w:noWrap/>
            <w:vAlign w:val="center"/>
            <w:hideMark/>
          </w:tcPr>
          <w:p w14:paraId="6EFE8872"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35C56A70"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71910940"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0.27±0.02</w:t>
            </w:r>
          </w:p>
        </w:tc>
        <w:tc>
          <w:tcPr>
            <w:tcW w:w="1026" w:type="dxa"/>
            <w:tcBorders>
              <w:top w:val="nil"/>
              <w:left w:val="nil"/>
              <w:bottom w:val="nil"/>
              <w:right w:val="nil"/>
            </w:tcBorders>
            <w:shd w:val="clear" w:color="auto" w:fill="auto"/>
            <w:noWrap/>
            <w:vAlign w:val="center"/>
            <w:hideMark/>
          </w:tcPr>
          <w:p w14:paraId="641CCFCA"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405C55D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-0.74±0.03</w:t>
            </w:r>
          </w:p>
        </w:tc>
        <w:tc>
          <w:tcPr>
            <w:tcW w:w="1136" w:type="dxa"/>
            <w:tcBorders>
              <w:top w:val="nil"/>
              <w:left w:val="nil"/>
              <w:bottom w:val="nil"/>
              <w:right w:val="nil"/>
            </w:tcBorders>
            <w:shd w:val="clear" w:color="auto" w:fill="auto"/>
            <w:noWrap/>
            <w:vAlign w:val="center"/>
            <w:hideMark/>
          </w:tcPr>
          <w:p w14:paraId="3155202C"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12±1</w:t>
            </w:r>
          </w:p>
        </w:tc>
        <w:tc>
          <w:tcPr>
            <w:tcW w:w="1026" w:type="dxa"/>
            <w:tcBorders>
              <w:top w:val="nil"/>
              <w:left w:val="nil"/>
              <w:bottom w:val="nil"/>
              <w:right w:val="nil"/>
            </w:tcBorders>
            <w:shd w:val="clear" w:color="auto" w:fill="auto"/>
            <w:noWrap/>
            <w:vAlign w:val="center"/>
            <w:hideMark/>
          </w:tcPr>
          <w:p w14:paraId="29C00B62"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32±2</w:t>
            </w:r>
          </w:p>
        </w:tc>
        <w:tc>
          <w:tcPr>
            <w:tcW w:w="1026" w:type="dxa"/>
            <w:tcBorders>
              <w:top w:val="nil"/>
              <w:left w:val="nil"/>
              <w:bottom w:val="nil"/>
              <w:right w:val="nil"/>
            </w:tcBorders>
            <w:shd w:val="clear" w:color="auto" w:fill="auto"/>
            <w:noWrap/>
            <w:vAlign w:val="center"/>
            <w:hideMark/>
          </w:tcPr>
          <w:p w14:paraId="47816872"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r>
      <w:tr w:rsidR="00FD2769" w:rsidRPr="00E766F9" w14:paraId="5937ABB4" w14:textId="77777777" w:rsidTr="00302554">
        <w:trPr>
          <w:trHeight w:val="290"/>
        </w:trPr>
        <w:tc>
          <w:tcPr>
            <w:tcW w:w="608" w:type="dxa"/>
            <w:vMerge/>
            <w:tcBorders>
              <w:top w:val="nil"/>
              <w:left w:val="nil"/>
              <w:bottom w:val="nil"/>
              <w:right w:val="nil"/>
            </w:tcBorders>
            <w:vAlign w:val="center"/>
            <w:hideMark/>
          </w:tcPr>
          <w:p w14:paraId="2E207B49"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nil"/>
              <w:right w:val="nil"/>
            </w:tcBorders>
            <w:vAlign w:val="center"/>
            <w:hideMark/>
          </w:tcPr>
          <w:p w14:paraId="2F26673A"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6F52EF63"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d</w:t>
            </w:r>
          </w:p>
        </w:tc>
        <w:tc>
          <w:tcPr>
            <w:tcW w:w="1026" w:type="dxa"/>
            <w:tcBorders>
              <w:top w:val="nil"/>
              <w:left w:val="nil"/>
              <w:bottom w:val="nil"/>
              <w:right w:val="nil"/>
            </w:tcBorders>
            <w:shd w:val="clear" w:color="auto" w:fill="auto"/>
            <w:noWrap/>
            <w:vAlign w:val="center"/>
            <w:hideMark/>
          </w:tcPr>
          <w:p w14:paraId="5BB6A891"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096DA968"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0.27±0.02</w:t>
            </w:r>
          </w:p>
        </w:tc>
        <w:tc>
          <w:tcPr>
            <w:tcW w:w="1026" w:type="dxa"/>
            <w:tcBorders>
              <w:top w:val="nil"/>
              <w:left w:val="nil"/>
              <w:bottom w:val="nil"/>
              <w:right w:val="nil"/>
            </w:tcBorders>
            <w:shd w:val="clear" w:color="auto" w:fill="auto"/>
            <w:noWrap/>
            <w:vAlign w:val="center"/>
            <w:hideMark/>
          </w:tcPr>
          <w:p w14:paraId="4F08AF61"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1B3D09B6"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136" w:type="dxa"/>
            <w:tcBorders>
              <w:top w:val="nil"/>
              <w:left w:val="nil"/>
              <w:bottom w:val="nil"/>
              <w:right w:val="nil"/>
            </w:tcBorders>
            <w:shd w:val="clear" w:color="auto" w:fill="auto"/>
            <w:noWrap/>
            <w:vAlign w:val="center"/>
            <w:hideMark/>
          </w:tcPr>
          <w:p w14:paraId="0FAA4D0F"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135AE5EF"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32±2</w:t>
            </w:r>
          </w:p>
        </w:tc>
        <w:tc>
          <w:tcPr>
            <w:tcW w:w="1026" w:type="dxa"/>
            <w:tcBorders>
              <w:top w:val="nil"/>
              <w:left w:val="nil"/>
              <w:bottom w:val="nil"/>
              <w:right w:val="nil"/>
            </w:tcBorders>
            <w:shd w:val="clear" w:color="auto" w:fill="auto"/>
            <w:noWrap/>
            <w:vAlign w:val="center"/>
            <w:hideMark/>
          </w:tcPr>
          <w:p w14:paraId="2133BF1E" w14:textId="77777777" w:rsidR="00FD2769" w:rsidRPr="00E766F9" w:rsidRDefault="00FD2769" w:rsidP="00302554">
            <w:pPr>
              <w:spacing w:line="240" w:lineRule="auto"/>
              <w:jc w:val="center"/>
              <w:rPr>
                <w:rFonts w:eastAsia="Times New Roman" w:cs="Times New Roman"/>
                <w:sz w:val="18"/>
                <w:szCs w:val="18"/>
              </w:rPr>
            </w:pPr>
            <w:r>
              <w:rPr>
                <w:rFonts w:eastAsia="Times New Roman" w:cs="Times New Roman"/>
                <w:sz w:val="18"/>
                <w:szCs w:val="18"/>
              </w:rPr>
              <w:t>-</w:t>
            </w:r>
          </w:p>
        </w:tc>
      </w:tr>
      <w:tr w:rsidR="00FD2769" w:rsidRPr="00E766F9" w14:paraId="404FC321" w14:textId="77777777" w:rsidTr="00302554">
        <w:trPr>
          <w:trHeight w:val="290"/>
        </w:trPr>
        <w:tc>
          <w:tcPr>
            <w:tcW w:w="608" w:type="dxa"/>
            <w:vMerge/>
            <w:tcBorders>
              <w:top w:val="nil"/>
              <w:left w:val="nil"/>
              <w:bottom w:val="nil"/>
              <w:right w:val="nil"/>
            </w:tcBorders>
            <w:vAlign w:val="center"/>
            <w:hideMark/>
          </w:tcPr>
          <w:p w14:paraId="47C2EF02"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nil"/>
              <w:right w:val="nil"/>
            </w:tcBorders>
            <w:vAlign w:val="center"/>
            <w:hideMark/>
          </w:tcPr>
          <w:p w14:paraId="1C57F8AB"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75EB82E6"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67099608"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75CDA112"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0.43±0.02</w:t>
            </w:r>
          </w:p>
        </w:tc>
        <w:tc>
          <w:tcPr>
            <w:tcW w:w="1026" w:type="dxa"/>
            <w:tcBorders>
              <w:top w:val="nil"/>
              <w:left w:val="nil"/>
              <w:bottom w:val="nil"/>
              <w:right w:val="nil"/>
            </w:tcBorders>
            <w:shd w:val="clear" w:color="auto" w:fill="auto"/>
            <w:noWrap/>
            <w:vAlign w:val="center"/>
            <w:hideMark/>
          </w:tcPr>
          <w:p w14:paraId="6CA92C84"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311DC342"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136" w:type="dxa"/>
            <w:tcBorders>
              <w:top w:val="nil"/>
              <w:left w:val="nil"/>
              <w:bottom w:val="nil"/>
              <w:right w:val="nil"/>
            </w:tcBorders>
            <w:shd w:val="clear" w:color="auto" w:fill="auto"/>
            <w:noWrap/>
            <w:vAlign w:val="center"/>
            <w:hideMark/>
          </w:tcPr>
          <w:p w14:paraId="5DD885D4"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56930176" w14:textId="77777777" w:rsidR="00FD2769" w:rsidRPr="00E766F9" w:rsidRDefault="00FD2769" w:rsidP="00302554">
            <w:pPr>
              <w:spacing w:line="240" w:lineRule="auto"/>
              <w:jc w:val="center"/>
              <w:rPr>
                <w:rFonts w:eastAsia="Times New Roman" w:cs="Times New Roman"/>
                <w:sz w:val="18"/>
                <w:szCs w:val="18"/>
              </w:rPr>
            </w:pPr>
            <w:r w:rsidRPr="00E766F9">
              <w:rPr>
                <w:rFonts w:eastAsia="Times New Roman" w:cs="Times New Roman"/>
                <w:i/>
                <w:iCs/>
                <w:color w:val="000000"/>
                <w:sz w:val="18"/>
                <w:szCs w:val="18"/>
              </w:rPr>
              <w:t>15±2</w:t>
            </w:r>
          </w:p>
        </w:tc>
        <w:tc>
          <w:tcPr>
            <w:tcW w:w="1026" w:type="dxa"/>
            <w:tcBorders>
              <w:top w:val="nil"/>
              <w:left w:val="nil"/>
              <w:bottom w:val="nil"/>
              <w:right w:val="nil"/>
            </w:tcBorders>
            <w:shd w:val="clear" w:color="auto" w:fill="auto"/>
            <w:noWrap/>
            <w:vAlign w:val="center"/>
            <w:hideMark/>
          </w:tcPr>
          <w:p w14:paraId="60ABF7D6" w14:textId="77777777" w:rsidR="00FD2769" w:rsidRPr="00E766F9" w:rsidRDefault="00FD2769" w:rsidP="00302554">
            <w:pPr>
              <w:spacing w:line="240" w:lineRule="auto"/>
              <w:jc w:val="center"/>
              <w:rPr>
                <w:rFonts w:eastAsia="Times New Roman" w:cs="Times New Roman"/>
                <w:sz w:val="18"/>
                <w:szCs w:val="18"/>
              </w:rPr>
            </w:pPr>
            <w:r>
              <w:rPr>
                <w:rFonts w:eastAsia="Times New Roman" w:cs="Times New Roman"/>
                <w:sz w:val="18"/>
                <w:szCs w:val="18"/>
              </w:rPr>
              <w:t>-</w:t>
            </w:r>
          </w:p>
        </w:tc>
      </w:tr>
      <w:tr w:rsidR="00FD2769" w:rsidRPr="00E766F9" w14:paraId="3EFED4F7" w14:textId="77777777" w:rsidTr="00302554">
        <w:trPr>
          <w:trHeight w:val="290"/>
        </w:trPr>
        <w:tc>
          <w:tcPr>
            <w:tcW w:w="608" w:type="dxa"/>
            <w:vMerge/>
            <w:tcBorders>
              <w:top w:val="nil"/>
              <w:left w:val="nil"/>
              <w:bottom w:val="nil"/>
              <w:right w:val="nil"/>
            </w:tcBorders>
            <w:vAlign w:val="center"/>
            <w:hideMark/>
          </w:tcPr>
          <w:p w14:paraId="4EFDA287" w14:textId="77777777" w:rsidR="00FD2769" w:rsidRPr="00E766F9" w:rsidRDefault="00FD2769" w:rsidP="00302554">
            <w:pPr>
              <w:spacing w:line="240" w:lineRule="auto"/>
              <w:rPr>
                <w:rFonts w:eastAsia="Times New Roman" w:cs="Times New Roman"/>
                <w:color w:val="000000"/>
              </w:rPr>
            </w:pPr>
          </w:p>
        </w:tc>
        <w:tc>
          <w:tcPr>
            <w:tcW w:w="546" w:type="dxa"/>
            <w:vMerge/>
            <w:tcBorders>
              <w:top w:val="nil"/>
              <w:left w:val="nil"/>
              <w:bottom w:val="nil"/>
              <w:right w:val="nil"/>
            </w:tcBorders>
            <w:vAlign w:val="center"/>
            <w:hideMark/>
          </w:tcPr>
          <w:p w14:paraId="7350F134" w14:textId="77777777" w:rsidR="00FD2769" w:rsidRPr="00E766F9" w:rsidRDefault="00FD2769" w:rsidP="00302554">
            <w:pPr>
              <w:spacing w:line="240" w:lineRule="auto"/>
              <w:rPr>
                <w:rFonts w:eastAsia="Times New Roman" w:cs="Times New Roman"/>
                <w:color w:val="000000"/>
              </w:rPr>
            </w:pPr>
          </w:p>
        </w:tc>
        <w:tc>
          <w:tcPr>
            <w:tcW w:w="482" w:type="dxa"/>
            <w:tcBorders>
              <w:top w:val="nil"/>
              <w:left w:val="nil"/>
              <w:bottom w:val="nil"/>
              <w:right w:val="nil"/>
            </w:tcBorders>
            <w:shd w:val="clear" w:color="auto" w:fill="auto"/>
            <w:noWrap/>
            <w:vAlign w:val="center"/>
            <w:hideMark/>
          </w:tcPr>
          <w:p w14:paraId="034241C5" w14:textId="77777777" w:rsidR="00FD2769" w:rsidRPr="00E766F9" w:rsidRDefault="00FD2769" w:rsidP="00302554">
            <w:pPr>
              <w:spacing w:line="240" w:lineRule="auto"/>
              <w:jc w:val="center"/>
              <w:rPr>
                <w:rFonts w:eastAsia="Times New Roman" w:cs="Times New Roman"/>
                <w:i/>
                <w:iCs/>
                <w:color w:val="000000"/>
                <w:sz w:val="20"/>
                <w:szCs w:val="20"/>
              </w:rPr>
            </w:pPr>
            <w:r w:rsidRPr="00E766F9">
              <w:rPr>
                <w:rFonts w:eastAsia="Times New Roman" w:cs="Times New Roman"/>
                <w:i/>
                <w:iCs/>
                <w:color w:val="000000"/>
                <w:sz w:val="20"/>
                <w:szCs w:val="20"/>
              </w:rPr>
              <w:t>u</w:t>
            </w:r>
          </w:p>
        </w:tc>
        <w:tc>
          <w:tcPr>
            <w:tcW w:w="1026" w:type="dxa"/>
            <w:tcBorders>
              <w:top w:val="nil"/>
              <w:left w:val="nil"/>
              <w:bottom w:val="nil"/>
              <w:right w:val="nil"/>
            </w:tcBorders>
            <w:shd w:val="clear" w:color="auto" w:fill="auto"/>
            <w:noWrap/>
            <w:vAlign w:val="center"/>
            <w:hideMark/>
          </w:tcPr>
          <w:p w14:paraId="1FE1C902"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945" w:type="dxa"/>
            <w:tcBorders>
              <w:top w:val="nil"/>
              <w:left w:val="nil"/>
              <w:bottom w:val="nil"/>
              <w:right w:val="nil"/>
            </w:tcBorders>
            <w:shd w:val="clear" w:color="auto" w:fill="auto"/>
            <w:noWrap/>
            <w:hideMark/>
          </w:tcPr>
          <w:p w14:paraId="33E90C2D" w14:textId="77777777" w:rsidR="00FD2769" w:rsidRPr="00E766F9" w:rsidRDefault="00FD2769" w:rsidP="00302554">
            <w:pPr>
              <w:spacing w:line="240" w:lineRule="auto"/>
              <w:jc w:val="center"/>
              <w:rPr>
                <w:rFonts w:eastAsia="Times New Roman" w:cs="Times New Roman"/>
                <w:i/>
                <w:iCs/>
                <w:color w:val="000000"/>
                <w:sz w:val="18"/>
                <w:szCs w:val="18"/>
              </w:rPr>
            </w:pPr>
            <w:r w:rsidRPr="007C0FE3">
              <w:rPr>
                <w:rFonts w:cs="Times New Roman"/>
                <w:i/>
                <w:iCs/>
                <w:sz w:val="18"/>
                <w:szCs w:val="18"/>
              </w:rPr>
              <w:t>0.43±0.02</w:t>
            </w:r>
          </w:p>
        </w:tc>
        <w:tc>
          <w:tcPr>
            <w:tcW w:w="1026" w:type="dxa"/>
            <w:tcBorders>
              <w:top w:val="nil"/>
              <w:left w:val="nil"/>
              <w:bottom w:val="nil"/>
              <w:right w:val="nil"/>
            </w:tcBorders>
            <w:shd w:val="clear" w:color="auto" w:fill="auto"/>
            <w:noWrap/>
            <w:vAlign w:val="center"/>
            <w:hideMark/>
          </w:tcPr>
          <w:p w14:paraId="0E84D88B"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c>
          <w:tcPr>
            <w:tcW w:w="1026" w:type="dxa"/>
            <w:tcBorders>
              <w:top w:val="nil"/>
              <w:left w:val="nil"/>
              <w:bottom w:val="nil"/>
              <w:right w:val="nil"/>
            </w:tcBorders>
            <w:shd w:val="clear" w:color="auto" w:fill="auto"/>
            <w:noWrap/>
            <w:vAlign w:val="center"/>
            <w:hideMark/>
          </w:tcPr>
          <w:p w14:paraId="1973F6D5"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-0.72±0.04</w:t>
            </w:r>
          </w:p>
        </w:tc>
        <w:tc>
          <w:tcPr>
            <w:tcW w:w="1136" w:type="dxa"/>
            <w:tcBorders>
              <w:top w:val="nil"/>
              <w:left w:val="nil"/>
              <w:bottom w:val="nil"/>
              <w:right w:val="nil"/>
            </w:tcBorders>
            <w:shd w:val="clear" w:color="auto" w:fill="auto"/>
            <w:noWrap/>
            <w:vAlign w:val="center"/>
            <w:hideMark/>
          </w:tcPr>
          <w:p w14:paraId="10D114E9"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11±1</w:t>
            </w:r>
          </w:p>
        </w:tc>
        <w:tc>
          <w:tcPr>
            <w:tcW w:w="1026" w:type="dxa"/>
            <w:tcBorders>
              <w:top w:val="nil"/>
              <w:left w:val="nil"/>
              <w:bottom w:val="nil"/>
              <w:right w:val="nil"/>
            </w:tcBorders>
            <w:shd w:val="clear" w:color="auto" w:fill="auto"/>
            <w:noWrap/>
            <w:vAlign w:val="center"/>
            <w:hideMark/>
          </w:tcPr>
          <w:p w14:paraId="401BE5B8" w14:textId="77777777" w:rsidR="00FD2769" w:rsidRPr="00E766F9" w:rsidRDefault="00FD2769" w:rsidP="00302554">
            <w:pPr>
              <w:spacing w:line="240" w:lineRule="auto"/>
              <w:jc w:val="center"/>
              <w:rPr>
                <w:rFonts w:eastAsia="Times New Roman" w:cs="Times New Roman"/>
                <w:i/>
                <w:iCs/>
                <w:color w:val="000000"/>
                <w:sz w:val="18"/>
                <w:szCs w:val="18"/>
              </w:rPr>
            </w:pPr>
            <w:r w:rsidRPr="00E766F9">
              <w:rPr>
                <w:rFonts w:eastAsia="Times New Roman" w:cs="Times New Roman"/>
                <w:i/>
                <w:iCs/>
                <w:color w:val="000000"/>
                <w:sz w:val="18"/>
                <w:szCs w:val="18"/>
              </w:rPr>
              <w:t>15±2</w:t>
            </w:r>
          </w:p>
        </w:tc>
        <w:tc>
          <w:tcPr>
            <w:tcW w:w="1026" w:type="dxa"/>
            <w:tcBorders>
              <w:top w:val="nil"/>
              <w:left w:val="nil"/>
              <w:bottom w:val="nil"/>
              <w:right w:val="nil"/>
            </w:tcBorders>
            <w:shd w:val="clear" w:color="auto" w:fill="auto"/>
            <w:noWrap/>
            <w:vAlign w:val="center"/>
            <w:hideMark/>
          </w:tcPr>
          <w:p w14:paraId="09488ABB" w14:textId="77777777" w:rsidR="00FD2769" w:rsidRPr="00E766F9" w:rsidRDefault="00FD2769" w:rsidP="00302554">
            <w:pPr>
              <w:spacing w:line="240" w:lineRule="auto"/>
              <w:jc w:val="center"/>
              <w:rPr>
                <w:rFonts w:eastAsia="Times New Roman" w:cs="Times New Roman"/>
                <w:i/>
                <w:iCs/>
                <w:color w:val="000000"/>
                <w:sz w:val="18"/>
                <w:szCs w:val="18"/>
              </w:rPr>
            </w:pPr>
            <w:r>
              <w:rPr>
                <w:rFonts w:eastAsia="Times New Roman" w:cs="Times New Roman"/>
                <w:i/>
                <w:iCs/>
                <w:color w:val="000000"/>
                <w:sz w:val="18"/>
                <w:szCs w:val="18"/>
              </w:rPr>
              <w:t>-</w:t>
            </w:r>
          </w:p>
        </w:tc>
      </w:tr>
    </w:tbl>
    <w:p w14:paraId="513CE7F0" w14:textId="77777777" w:rsidR="00FD2769" w:rsidRDefault="00FD2769" w:rsidP="00FD2769">
      <w:pPr>
        <w:rPr>
          <w:rFonts w:cs="Times New Roman"/>
        </w:rPr>
      </w:pPr>
    </w:p>
    <w:p w14:paraId="289AC4B8" w14:textId="77777777" w:rsidR="00FD2769" w:rsidRDefault="00FD2769" w:rsidP="00FD2769">
      <w:pPr>
        <w:spacing w:after="160" w:line="259" w:lineRule="auto"/>
        <w:rPr>
          <w:rFonts w:cs="Times New Roman"/>
        </w:rPr>
      </w:pPr>
      <w:r>
        <w:rPr>
          <w:rFonts w:cs="Times New Roman"/>
        </w:rPr>
        <w:br w:type="page"/>
      </w:r>
    </w:p>
    <w:p w14:paraId="54799B36" w14:textId="77777777" w:rsidR="00FD2769" w:rsidRDefault="00FD2769" w:rsidP="00FD2769">
      <w:pPr>
        <w:spacing w:after="160" w:line="259" w:lineRule="auto"/>
        <w:rPr>
          <w:rFonts w:cs="Times New Roman"/>
        </w:rPr>
      </w:pPr>
    </w:p>
    <w:p w14:paraId="584454B0" w14:textId="77777777" w:rsidR="00FD2769" w:rsidRDefault="00FD2769" w:rsidP="00FD2769">
      <w:pPr>
        <w:spacing w:beforeLines="40" w:before="96" w:afterLines="120" w:after="288"/>
        <w:jc w:val="center"/>
        <w:rPr>
          <w:rFonts w:cs="Times New Roman"/>
          <w:b/>
          <w:bCs/>
        </w:rPr>
      </w:pPr>
      <w:r>
        <w:rPr>
          <w:rFonts w:cs="Times New Roman"/>
          <w:b/>
          <w:bCs/>
          <w:noProof/>
        </w:rPr>
        <w:drawing>
          <wp:inline distT="0" distB="0" distL="0" distR="0" wp14:anchorId="2C645769" wp14:editId="207A182F">
            <wp:extent cx="4203700" cy="3810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03700" cy="3810000"/>
                    </a:xfrm>
                    <a:prstGeom prst="rect">
                      <a:avLst/>
                    </a:prstGeom>
                  </pic:spPr>
                </pic:pic>
              </a:graphicData>
            </a:graphic>
          </wp:inline>
        </w:drawing>
      </w:r>
    </w:p>
    <w:p w14:paraId="5071B742" w14:textId="77777777" w:rsidR="00FD2769" w:rsidRPr="00624A42" w:rsidRDefault="00FD2769" w:rsidP="00FD2769">
      <w:pPr>
        <w:spacing w:beforeLines="40" w:before="96" w:afterLines="120" w:after="288"/>
        <w:rPr>
          <w:rFonts w:cs="Times New Roman"/>
          <w:b/>
          <w:bCs/>
        </w:rPr>
      </w:pPr>
      <w:r>
        <w:rPr>
          <w:rFonts w:cs="Times New Roman"/>
          <w:b/>
          <w:bCs/>
        </w:rPr>
        <w:t>Supp. Fig.</w:t>
      </w:r>
      <w:r w:rsidRPr="000103CC">
        <w:rPr>
          <w:rFonts w:cs="Times New Roman"/>
          <w:b/>
          <w:bCs/>
        </w:rPr>
        <w:t xml:space="preserve"> </w:t>
      </w:r>
      <w:r>
        <w:rPr>
          <w:rFonts w:cs="Times New Roman"/>
          <w:b/>
          <w:bCs/>
        </w:rPr>
        <w:t>1</w:t>
      </w:r>
      <w:r w:rsidRPr="00624A42">
        <w:rPr>
          <w:rFonts w:cs="Times New Roman"/>
          <w:b/>
          <w:bCs/>
        </w:rPr>
        <w:t xml:space="preserve">.  </w:t>
      </w:r>
      <w:r>
        <w:rPr>
          <w:rFonts w:cs="Times New Roman"/>
          <w:b/>
          <w:bCs/>
        </w:rPr>
        <w:t>O</w:t>
      </w:r>
      <w:r w:rsidRPr="001F4A31">
        <w:rPr>
          <w:rFonts w:cs="Times New Roman"/>
          <w:b/>
          <w:bCs/>
          <w:vertAlign w:val="subscript"/>
        </w:rPr>
        <w:t>2</w:t>
      </w:r>
      <w:r>
        <w:rPr>
          <w:rFonts w:cs="Times New Roman"/>
          <w:b/>
          <w:bCs/>
        </w:rPr>
        <w:t>, TCO</w:t>
      </w:r>
      <w:r w:rsidRPr="001F4A31">
        <w:rPr>
          <w:rFonts w:cs="Times New Roman"/>
          <w:b/>
          <w:bCs/>
          <w:vertAlign w:val="subscript"/>
        </w:rPr>
        <w:t>2</w:t>
      </w:r>
      <w:r>
        <w:rPr>
          <w:rFonts w:cs="Times New Roman"/>
          <w:b/>
          <w:bCs/>
        </w:rPr>
        <w:t xml:space="preserve"> and TOC response to glucose and glutamic acid additions</w:t>
      </w:r>
      <w:r w:rsidRPr="00624A42">
        <w:rPr>
          <w:rFonts w:cs="Times New Roman"/>
          <w:b/>
          <w:bCs/>
        </w:rPr>
        <w:t>.</w:t>
      </w:r>
    </w:p>
    <w:p w14:paraId="35903838" w14:textId="77777777" w:rsidR="00FD2769" w:rsidRPr="00B149C0" w:rsidRDefault="00FD2769" w:rsidP="00FD2769">
      <w:pPr>
        <w:spacing w:after="160" w:line="259" w:lineRule="auto"/>
        <w:rPr>
          <w:rFonts w:cs="Times New Roman"/>
        </w:rPr>
      </w:pPr>
      <w:r>
        <w:rPr>
          <w:rFonts w:cs="Times New Roman"/>
        </w:rPr>
        <w:t>In a substrate addition test, t</w:t>
      </w:r>
      <w:r w:rsidRPr="00B149C0">
        <w:rPr>
          <w:rFonts w:cs="Times New Roman"/>
        </w:rPr>
        <w:t xml:space="preserve">he </w:t>
      </w:r>
      <w:r>
        <w:rPr>
          <w:rFonts w:cs="Times New Roman"/>
        </w:rPr>
        <w:t>amount of carbon added to the seawater control was similar to the pre-determined amount (4 μM C and 8 μM C), and after 7 days, the amount of TOC removed was relatively similar to the amount added suggesting complete oxidation of added substrate (a). TOC removal and TCO</w:t>
      </w:r>
      <w:r w:rsidRPr="00B149C0">
        <w:rPr>
          <w:rFonts w:cs="Times New Roman"/>
          <w:vertAlign w:val="subscript"/>
        </w:rPr>
        <w:t>2</w:t>
      </w:r>
      <w:r>
        <w:rPr>
          <w:rFonts w:cs="Times New Roman"/>
        </w:rPr>
        <w:t xml:space="preserve"> production (b) and TOC and O</w:t>
      </w:r>
      <w:r w:rsidRPr="00B149C0">
        <w:rPr>
          <w:rFonts w:cs="Times New Roman"/>
          <w:vertAlign w:val="subscript"/>
        </w:rPr>
        <w:t>2</w:t>
      </w:r>
      <w:r>
        <w:rPr>
          <w:rFonts w:cs="Times New Roman"/>
        </w:rPr>
        <w:t xml:space="preserve"> removal (c) were close to the 1:1 line for nearly all treatments. The complete oxidation of glutamic acid is predicted to have a slightly higher RQ than glucose</w:t>
      </w:r>
      <w:sdt>
        <w:sdtPr>
          <w:rPr>
            <w:rFonts w:cs="Times New Roman"/>
            <w:color w:val="000000"/>
            <w:vertAlign w:val="superscript"/>
          </w:rPr>
          <w:tag w:val="MENDELEY_CITATION_v3_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"/>
          <w:id w:val="99697174"/>
          <w:placeholder>
            <w:docPart w:val="FE6143E9E42A4442ABCCECE2E23BFD89"/>
          </w:placeholder>
        </w:sdtPr>
        <w:sdtContent>
          <w:r w:rsidRPr="00FB5324">
            <w:rPr>
              <w:rFonts w:cs="Times New Roman"/>
              <w:color w:val="000000"/>
              <w:vertAlign w:val="superscript"/>
            </w:rPr>
            <w:t>14</w:t>
          </w:r>
        </w:sdtContent>
      </w:sdt>
      <w:r>
        <w:rPr>
          <w:rFonts w:cs="Times New Roman"/>
        </w:rPr>
        <w:t xml:space="preserve">, as suggested by the dotted line RQ = 1.1. </w:t>
      </w:r>
    </w:p>
    <w:p w14:paraId="78C97CA1" w14:textId="77777777" w:rsidR="00FD2769" w:rsidRDefault="00FD2769" w:rsidP="00FD2769">
      <w:pPr>
        <w:spacing w:after="160" w:line="259" w:lineRule="auto"/>
        <w:rPr>
          <w:rFonts w:cs="Times New Roman"/>
        </w:rPr>
      </w:pPr>
      <w:r>
        <w:rPr>
          <w:rFonts w:cs="Times New Roman"/>
        </w:rPr>
        <w:br w:type="page"/>
      </w:r>
    </w:p>
    <w:p w14:paraId="64BF26D8" w14:textId="77777777" w:rsidR="00FD2769" w:rsidRDefault="00FD2769" w:rsidP="00FD2769">
      <w:pPr>
        <w:jc w:val="center"/>
        <w:rPr>
          <w:rFonts w:cs="Times New Roman"/>
        </w:rPr>
      </w:pPr>
      <w:r>
        <w:rPr>
          <w:rFonts w:cs="Times New Roman"/>
          <w:noProof/>
        </w:rPr>
        <w:lastRenderedPageBreak/>
        <w:drawing>
          <wp:inline distT="0" distB="0" distL="0" distR="0" wp14:anchorId="06FE9008" wp14:editId="6EE824EC">
            <wp:extent cx="3657600" cy="284011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57600" cy="2840110"/>
                    </a:xfrm>
                    <a:prstGeom prst="rect">
                      <a:avLst/>
                    </a:prstGeom>
                  </pic:spPr>
                </pic:pic>
              </a:graphicData>
            </a:graphic>
          </wp:inline>
        </w:drawing>
      </w:r>
    </w:p>
    <w:p w14:paraId="14421E23" w14:textId="77777777" w:rsidR="00FD2769" w:rsidRPr="00624A42" w:rsidRDefault="00FD2769" w:rsidP="00FD2769">
      <w:pPr>
        <w:spacing w:beforeLines="40" w:before="96" w:afterLines="120" w:after="288"/>
        <w:rPr>
          <w:rFonts w:cs="Times New Roman"/>
          <w:b/>
          <w:bCs/>
        </w:rPr>
      </w:pPr>
      <w:r>
        <w:rPr>
          <w:rFonts w:cs="Times New Roman"/>
          <w:b/>
          <w:bCs/>
        </w:rPr>
        <w:t>Supp. Fig.</w:t>
      </w:r>
      <w:r w:rsidRPr="000103CC">
        <w:rPr>
          <w:rFonts w:cs="Times New Roman"/>
          <w:b/>
          <w:bCs/>
        </w:rPr>
        <w:t xml:space="preserve"> </w:t>
      </w:r>
      <w:r>
        <w:rPr>
          <w:rFonts w:cs="Times New Roman"/>
          <w:b/>
          <w:bCs/>
        </w:rPr>
        <w:t>2</w:t>
      </w:r>
      <w:r w:rsidRPr="00624A42">
        <w:rPr>
          <w:rFonts w:cs="Times New Roman"/>
          <w:b/>
          <w:bCs/>
        </w:rPr>
        <w:t xml:space="preserve">.  The oxidation state of bioavailable dissolved organic matter was correlated with </w:t>
      </w:r>
      <w:r>
        <w:rPr>
          <w:rFonts w:cs="Times New Roman"/>
          <w:b/>
          <w:bCs/>
        </w:rPr>
        <w:t>oxygen removal rates</w:t>
      </w:r>
      <w:r w:rsidRPr="00624A42">
        <w:rPr>
          <w:rFonts w:cs="Times New Roman"/>
          <w:b/>
          <w:bCs/>
        </w:rPr>
        <w:t>.</w:t>
      </w:r>
    </w:p>
    <w:p w14:paraId="478AED3F" w14:textId="77777777" w:rsidR="00FD2769" w:rsidRPr="001F797B" w:rsidRDefault="00FD2769" w:rsidP="00FD2769">
      <w:pPr>
        <w:spacing w:after="160" w:line="259" w:lineRule="auto"/>
        <w:rPr>
          <w:rFonts w:cs="Times New Roman"/>
          <w:b/>
          <w:bCs/>
        </w:rPr>
      </w:pPr>
      <w:r>
        <w:rPr>
          <w:rFonts w:cs="Times New Roman"/>
        </w:rPr>
        <w:t>The nominal oxidation state of bioavailable dissolved organic matter (DOM) was positively correlated with dissolved oxygen (O</w:t>
      </w:r>
      <w:r w:rsidRPr="00DA32AD">
        <w:rPr>
          <w:rFonts w:cs="Times New Roman"/>
          <w:vertAlign w:val="subscript"/>
        </w:rPr>
        <w:t>2</w:t>
      </w:r>
      <w:r>
        <w:rPr>
          <w:rFonts w:cs="Times New Roman"/>
        </w:rPr>
        <w:t>) removal rates. The solid black line and dotted lines represent the Model II linear fit and 95% confidence intervals for the oxidation state and O</w:t>
      </w:r>
      <w:r w:rsidRPr="00736D9E">
        <w:rPr>
          <w:rFonts w:cs="Times New Roman"/>
          <w:vertAlign w:val="subscript"/>
        </w:rPr>
        <w:t>2</w:t>
      </w:r>
      <w:r>
        <w:rPr>
          <w:rFonts w:cs="Times New Roman"/>
        </w:rPr>
        <w:t xml:space="preserve"> removal rate (R = 0.6621, </w:t>
      </w:r>
      <w:r w:rsidRPr="004406CA">
        <w:rPr>
          <w:rFonts w:cs="Times New Roman"/>
          <w:i/>
          <w:iCs/>
        </w:rPr>
        <w:t>p</w:t>
      </w:r>
      <w:r>
        <w:rPr>
          <w:rFonts w:cs="Times New Roman"/>
        </w:rPr>
        <w:t xml:space="preserve"> = 0.0099).  The lighter lines outside of the symbols represent standard deviations.  </w:t>
      </w:r>
    </w:p>
    <w:p w14:paraId="37BC5D22" w14:textId="77777777" w:rsidR="00FD2769" w:rsidRDefault="00FD2769" w:rsidP="00FD2769">
      <w:pPr>
        <w:spacing w:after="160" w:line="259" w:lineRule="auto"/>
        <w:rPr>
          <w:rFonts w:cs="Times New Roman"/>
        </w:rPr>
      </w:pPr>
      <w:r>
        <w:rPr>
          <w:rFonts w:cs="Times New Roman"/>
        </w:rPr>
        <w:br w:type="page"/>
      </w:r>
    </w:p>
    <w:p w14:paraId="504DB39F" w14:textId="77777777" w:rsidR="00FD2769" w:rsidRDefault="00FD2769" w:rsidP="00FD2769">
      <w:pPr>
        <w:jc w:val="center"/>
        <w:rPr>
          <w:rFonts w:cs="Times New Roman"/>
        </w:rPr>
      </w:pPr>
      <w:r w:rsidRPr="00DA32AD">
        <w:rPr>
          <w:rFonts w:cs="Times New Roman"/>
          <w:noProof/>
        </w:rPr>
        <w:lastRenderedPageBreak/>
        <mc:AlternateContent>
          <mc:Choice Requires="wpg">
            <w:drawing>
              <wp:inline distT="0" distB="0" distL="0" distR="0" wp14:anchorId="5ADD5D68" wp14:editId="7955395E">
                <wp:extent cx="4388090" cy="2388030"/>
                <wp:effectExtent l="0" t="0" r="0" b="0"/>
                <wp:docPr id="7" name="Group 61"/>
                <wp:cNvGraphicFramePr/>
                <a:graphic xmlns:a="http://schemas.openxmlformats.org/drawingml/2006/main">
                  <a:graphicData uri="http://schemas.microsoft.com/office/word/2010/wordprocessingGroup">
                    <wpg:wgp>
                      <wpg:cNvGrpSpPr/>
                      <wpg:grpSpPr>
                        <a:xfrm>
                          <a:off x="0" y="0"/>
                          <a:ext cx="4388090" cy="2388030"/>
                          <a:chOff x="0" y="0"/>
                          <a:chExt cx="5401213" cy="2388030"/>
                        </a:xfrm>
                      </wpg:grpSpPr>
                      <wpg:graphicFrame>
                        <wpg:cNvPr id="8" name="Chart 8"/>
                        <wpg:cNvFrPr>
                          <a:graphicFrameLocks/>
                        </wpg:cNvFrPr>
                        <wpg:xfrm>
                          <a:off x="0" y="12383"/>
                          <a:ext cx="5401213" cy="2375647"/>
                        </wpg:xfrm>
                        <a:graphic>
                          <a:graphicData uri="http://schemas.openxmlformats.org/drawingml/2006/chart">
                            <c:chart xmlns:c="http://schemas.openxmlformats.org/drawingml/2006/chart" xmlns:r="http://schemas.openxmlformats.org/officeDocument/2006/relationships" r:id="rId6"/>
                          </a:graphicData>
                        </a:graphic>
                      </wpg:graphicFrame>
                      <wps:wsp>
                        <wps:cNvPr id="9" name="TextBox 24"/>
                        <wps:cNvSpPr txBox="1"/>
                        <wps:spPr>
                          <a:xfrm rot="16200000">
                            <a:off x="4479225" y="572675"/>
                            <a:ext cx="1493028" cy="347678"/>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5807142" w14:textId="77777777" w:rsidR="00FD2769" w:rsidRDefault="00FD2769" w:rsidP="00FD2769">
                              <w:pPr>
                                <w:rPr>
                                  <w:rFonts w:asciiTheme="minorHAnsi" w:hAnsi="Calibri"/>
                                  <w:color w:val="1F3864" w:themeColor="accent1" w:themeShade="80"/>
                                  <w:kern w:val="24"/>
                                </w:rPr>
                              </w:pPr>
                              <w:r>
                                <w:rPr>
                                  <w:rFonts w:asciiTheme="minorHAnsi" w:hAnsi="Calibri"/>
                                  <w:color w:val="1F3864" w:themeColor="accent1" w:themeShade="80"/>
                                  <w:kern w:val="24"/>
                                </w:rPr>
                                <w:t>N-containing</w:t>
                              </w:r>
                            </w:p>
                          </w:txbxContent>
                        </wps:txbx>
                        <wps:bodyPr wrap="square" rtlCol="0" anchor="t"/>
                      </wps:wsp>
                      <wps:wsp>
                        <wps:cNvPr id="10" name="Right Brace 10"/>
                        <wps:cNvSpPr/>
                        <wps:spPr>
                          <a:xfrm>
                            <a:off x="4783088" y="542794"/>
                            <a:ext cx="299882" cy="1090706"/>
                          </a:xfrm>
                          <a:prstGeom prst="rightBrace">
                            <a:avLst>
                              <a:gd name="adj1" fmla="val 29439"/>
                              <a:gd name="adj2" fmla="val 50000"/>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rtlCol="0" anchor="t"/>
                      </wps:wsp>
                    </wpg:wgp>
                  </a:graphicData>
                </a:graphic>
              </wp:inline>
            </w:drawing>
          </mc:Choice>
          <mc:Fallback>
            <w:pict>
              <v:group w14:anchorId="5ADD5D68" id="Group 61" o:spid="_x0000_s1026" style="width:345.5pt;height:188.05pt;mso-position-horizontal-relative:char;mso-position-vertical-relative:line" coordsize="54012,23880" o:gfxdata="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8" o:spid="_x0000_s1027" type="#_x0000_t75" style="position:absolute;top:121;width:54024;height:2377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">
                  <v:imagedata r:id="rId7" o:title=""/>
                  <o:lock v:ext="edit" aspectratio="f"/>
                </v:shape>
                <v:shapetype id="_x0000_t202" coordsize="21600,21600" o:spt="202" path="m,l,21600r21600,l21600,xe">
                  <v:stroke joinstyle="miter"/>
                  <v:path gradientshapeok="t" o:connecttype="rect"/>
                </v:shapetype>
                <v:shape id="TextBox 24" o:spid="_x0000_s1028" type="#_x0000_t202" style="position:absolute;left:44792;top:5727;width:14930;height:347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" filled="f" stroked="f">
                  <v:textbox>
                    <w:txbxContent>
                      <w:p w14:paraId="35807142" w14:textId="77777777" w:rsidR="00FD2769" w:rsidRDefault="00FD2769" w:rsidP="00FD2769">
                        <w:pPr>
                          <w:rPr>
                            <w:rFonts w:asciiTheme="minorHAnsi" w:hAnsi="Calibri"/>
                            <w:color w:val="1F3864" w:themeColor="accent1" w:themeShade="80"/>
                            <w:kern w:val="24"/>
                          </w:rPr>
                        </w:pPr>
                        <w:r>
                          <w:rPr>
                            <w:rFonts w:asciiTheme="minorHAnsi" w:hAnsi="Calibri"/>
                            <w:color w:val="1F3864" w:themeColor="accent1" w:themeShade="80"/>
                            <w:kern w:val="24"/>
                          </w:rPr>
                          <w:t>N-containing</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0" o:spid="_x0000_s1029" type="#_x0000_t88" style="position:absolute;left:47830;top:5427;width:2999;height:109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" adj="1748" strokecolor="#1f3763 [1604]" strokeweight=".5pt">
                  <v:stroke joinstyle="miter"/>
                </v:shape>
                <w10:anchorlock/>
              </v:group>
            </w:pict>
          </mc:Fallback>
        </mc:AlternateContent>
      </w:r>
    </w:p>
    <w:p w14:paraId="4FF0C589" w14:textId="77777777" w:rsidR="00FD2769" w:rsidRDefault="00FD2769" w:rsidP="00FD2769">
      <w:pPr>
        <w:rPr>
          <w:rFonts w:cs="Times New Roman"/>
        </w:rPr>
      </w:pPr>
    </w:p>
    <w:p w14:paraId="62D6EC63" w14:textId="77777777" w:rsidR="00FD2769" w:rsidRPr="00624A42" w:rsidRDefault="00FD2769" w:rsidP="00FD2769">
      <w:pPr>
        <w:spacing w:beforeLines="40" w:before="96" w:afterLines="120" w:after="288"/>
        <w:rPr>
          <w:rFonts w:cs="Times New Roman"/>
          <w:b/>
          <w:bCs/>
        </w:rPr>
      </w:pPr>
      <w:r>
        <w:rPr>
          <w:rFonts w:cs="Times New Roman"/>
          <w:b/>
          <w:bCs/>
        </w:rPr>
        <w:t>Supp. Fig.</w:t>
      </w:r>
      <w:r w:rsidRPr="000103CC">
        <w:rPr>
          <w:rFonts w:cs="Times New Roman"/>
          <w:b/>
          <w:bCs/>
        </w:rPr>
        <w:t xml:space="preserve"> </w:t>
      </w:r>
      <w:r>
        <w:rPr>
          <w:rFonts w:cs="Times New Roman"/>
          <w:b/>
          <w:bCs/>
        </w:rPr>
        <w:t>3</w:t>
      </w:r>
      <w:r w:rsidRPr="00624A42">
        <w:rPr>
          <w:rFonts w:cs="Times New Roman"/>
          <w:b/>
          <w:bCs/>
        </w:rPr>
        <w:t xml:space="preserve">.  </w:t>
      </w:r>
      <w:r>
        <w:rPr>
          <w:rFonts w:cs="Times New Roman"/>
          <w:b/>
          <w:bCs/>
        </w:rPr>
        <w:t>A majority of the organoheterocyclic compounds contained nitrogen</w:t>
      </w:r>
      <w:r w:rsidRPr="00624A42">
        <w:rPr>
          <w:rFonts w:cs="Times New Roman"/>
          <w:b/>
          <w:bCs/>
        </w:rPr>
        <w:t>.</w:t>
      </w:r>
    </w:p>
    <w:p w14:paraId="6A378713" w14:textId="77777777" w:rsidR="00FD2769" w:rsidRPr="00C71443" w:rsidRDefault="00FD2769" w:rsidP="00FD2769">
      <w:pPr>
        <w:spacing w:after="160" w:line="259" w:lineRule="auto"/>
        <w:rPr>
          <w:rFonts w:cs="Times New Roman"/>
          <w:b/>
          <w:bCs/>
        </w:rPr>
      </w:pPr>
      <w:r>
        <w:rPr>
          <w:rFonts w:cs="Times New Roman"/>
        </w:rPr>
        <w:t xml:space="preserve">The relative contributions of organoheterocyclic compounds were positively correlated with the oxidation state of bioavailable dissolved organic matter (as shown in the main text). The majority of the organoheterocyclic compounds (&gt; 70%) contained nitrogen.  </w:t>
      </w:r>
    </w:p>
    <w:p w14:paraId="6F45E06E" w14:textId="77777777" w:rsidR="00FD2769" w:rsidRDefault="00FD2769" w:rsidP="00FD2769">
      <w:pPr>
        <w:spacing w:after="160" w:line="259" w:lineRule="auto"/>
        <w:rPr>
          <w:rFonts w:cs="Times New Roman"/>
        </w:rPr>
      </w:pPr>
      <w:r>
        <w:rPr>
          <w:rFonts w:cs="Times New Roman"/>
        </w:rPr>
        <w:br w:type="page"/>
      </w:r>
    </w:p>
    <w:p w14:paraId="66BFD7D1" w14:textId="77777777" w:rsidR="00FD2769" w:rsidRDefault="00FD2769" w:rsidP="00FD2769">
      <w:pPr>
        <w:jc w:val="center"/>
        <w:rPr>
          <w:rFonts w:cs="Times New Roman"/>
        </w:rPr>
      </w:pPr>
      <w:r>
        <w:rPr>
          <w:rFonts w:cs="Times New Roman"/>
          <w:noProof/>
        </w:rPr>
        <w:lastRenderedPageBreak/>
        <w:drawing>
          <wp:inline distT="0" distB="0" distL="0" distR="0" wp14:anchorId="5586BC24" wp14:editId="2CEC879F">
            <wp:extent cx="3657600" cy="283403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57600" cy="2834034"/>
                    </a:xfrm>
                    <a:prstGeom prst="rect">
                      <a:avLst/>
                    </a:prstGeom>
                  </pic:spPr>
                </pic:pic>
              </a:graphicData>
            </a:graphic>
          </wp:inline>
        </w:drawing>
      </w:r>
    </w:p>
    <w:p w14:paraId="68C75081" w14:textId="77777777" w:rsidR="00FD2769" w:rsidRDefault="00FD2769" w:rsidP="00FD2769">
      <w:pPr>
        <w:rPr>
          <w:rFonts w:cs="Times New Roman"/>
        </w:rPr>
      </w:pPr>
    </w:p>
    <w:p w14:paraId="41684E10" w14:textId="77777777" w:rsidR="00FD2769" w:rsidRPr="00B13F53" w:rsidRDefault="00FD2769" w:rsidP="00FD2769">
      <w:pPr>
        <w:spacing w:beforeLines="40" w:before="96" w:afterLines="120" w:after="288"/>
        <w:rPr>
          <w:rFonts w:cs="Times New Roman"/>
          <w:b/>
          <w:bCs/>
        </w:rPr>
      </w:pPr>
      <w:r>
        <w:rPr>
          <w:rFonts w:cs="Times New Roman"/>
          <w:b/>
          <w:bCs/>
        </w:rPr>
        <w:t>Supp. Fig.</w:t>
      </w:r>
      <w:r w:rsidRPr="000103CC">
        <w:rPr>
          <w:rFonts w:cs="Times New Roman"/>
          <w:b/>
          <w:bCs/>
        </w:rPr>
        <w:t xml:space="preserve"> </w:t>
      </w:r>
      <w:r>
        <w:rPr>
          <w:rFonts w:cs="Times New Roman"/>
          <w:b/>
          <w:bCs/>
        </w:rPr>
        <w:t>4</w:t>
      </w:r>
      <w:r w:rsidRPr="000103CC">
        <w:rPr>
          <w:rFonts w:cs="Times New Roman"/>
          <w:b/>
          <w:bCs/>
        </w:rPr>
        <w:t>.</w:t>
      </w:r>
      <w:r>
        <w:rPr>
          <w:rFonts w:cs="Times New Roman"/>
        </w:rPr>
        <w:t xml:space="preserve"> </w:t>
      </w:r>
      <w:r>
        <w:rPr>
          <w:rFonts w:cs="Times New Roman"/>
          <w:b/>
          <w:bCs/>
        </w:rPr>
        <w:t>The rate of total dissolved amino acid change was correlated with the respiratory quotient for dissolved organic matter.</w:t>
      </w:r>
    </w:p>
    <w:p w14:paraId="5987968D" w14:textId="77777777" w:rsidR="00FD2769" w:rsidRDefault="00FD2769" w:rsidP="00FD2769">
      <w:pPr>
        <w:spacing w:beforeLines="40" w:before="96" w:afterLines="120" w:after="288"/>
        <w:rPr>
          <w:rFonts w:cs="Times New Roman"/>
        </w:rPr>
      </w:pPr>
      <w:r>
        <w:rPr>
          <w:rFonts w:cs="Times New Roman"/>
        </w:rPr>
        <w:t>The rate of total dissolved amino acids in carbon units (TDAA C) change per day between initial and stationary growth phases were significantly negatively correlated with the respiratory quotient (RQ; O</w:t>
      </w:r>
      <w:r w:rsidRPr="008E43EC">
        <w:rPr>
          <w:rFonts w:cs="Times New Roman"/>
          <w:vertAlign w:val="subscript"/>
        </w:rPr>
        <w:t>2</w:t>
      </w:r>
      <w:r>
        <w:rPr>
          <w:rFonts w:cs="Times New Roman"/>
        </w:rPr>
        <w:t xml:space="preserve"> uptake vs. respiration of dissolved organic carbon) for dissolved organic matter (DOM) (R = -0.9192, </w:t>
      </w:r>
      <w:r>
        <w:rPr>
          <w:rFonts w:cs="Times New Roman"/>
          <w:i/>
          <w:iCs/>
        </w:rPr>
        <w:t>p</w:t>
      </w:r>
      <w:r>
        <w:rPr>
          <w:rFonts w:cs="Times New Roman"/>
        </w:rPr>
        <w:t xml:space="preserve"> = 0.0012). Note that negative values in the x-axis indicate removal and positive values indicate production. The solid black line and dotted lines represent the weighted model II linear fit and 95% confidence intervals. The lighter lines outside of the symbols represent standard deviations.  </w:t>
      </w:r>
    </w:p>
    <w:p w14:paraId="41A777CA" w14:textId="77777777" w:rsidR="00FD2769" w:rsidRDefault="00FD2769" w:rsidP="00FD2769">
      <w:pPr>
        <w:spacing w:after="160" w:line="259" w:lineRule="auto"/>
        <w:rPr>
          <w:rFonts w:cs="Times New Roman"/>
        </w:rPr>
      </w:pPr>
      <w:r>
        <w:rPr>
          <w:rFonts w:cs="Times New Roman"/>
        </w:rPr>
        <w:br w:type="page"/>
      </w:r>
    </w:p>
    <w:p w14:paraId="50AB4EAF" w14:textId="77777777" w:rsidR="00FD2769" w:rsidRDefault="00FD2769" w:rsidP="00FD2769">
      <w:pPr>
        <w:jc w:val="center"/>
        <w:rPr>
          <w:rFonts w:cs="Times New Roman"/>
          <w:u w:val="single"/>
        </w:rPr>
      </w:pPr>
      <w:r>
        <w:rPr>
          <w:rFonts w:cs="Times New Roman"/>
          <w:noProof/>
          <w:u w:val="single"/>
        </w:rPr>
        <w:lastRenderedPageBreak/>
        <w:drawing>
          <wp:inline distT="0" distB="0" distL="0" distR="0" wp14:anchorId="091BB0BD" wp14:editId="0657EB33">
            <wp:extent cx="5943600" cy="2331720"/>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331720"/>
                    </a:xfrm>
                    <a:prstGeom prst="rect">
                      <a:avLst/>
                    </a:prstGeom>
                  </pic:spPr>
                </pic:pic>
              </a:graphicData>
            </a:graphic>
          </wp:inline>
        </w:drawing>
      </w:r>
    </w:p>
    <w:p w14:paraId="56F6624B" w14:textId="77777777" w:rsidR="00FD2769" w:rsidRPr="00B13F53" w:rsidRDefault="00FD2769" w:rsidP="00FD2769">
      <w:pPr>
        <w:spacing w:beforeLines="40" w:before="96" w:afterLines="120" w:after="288"/>
        <w:rPr>
          <w:rFonts w:cs="Times New Roman"/>
          <w:b/>
          <w:bCs/>
        </w:rPr>
      </w:pPr>
      <w:r>
        <w:rPr>
          <w:rFonts w:cs="Times New Roman"/>
          <w:b/>
          <w:bCs/>
        </w:rPr>
        <w:t>Supp. Fig.</w:t>
      </w:r>
      <w:r w:rsidRPr="000103CC">
        <w:rPr>
          <w:rFonts w:cs="Times New Roman"/>
          <w:b/>
          <w:bCs/>
        </w:rPr>
        <w:t xml:space="preserve"> </w:t>
      </w:r>
      <w:r>
        <w:rPr>
          <w:rFonts w:cs="Times New Roman"/>
          <w:b/>
          <w:bCs/>
        </w:rPr>
        <w:t>5</w:t>
      </w:r>
      <w:r w:rsidRPr="000103CC">
        <w:rPr>
          <w:rFonts w:cs="Times New Roman"/>
          <w:b/>
          <w:bCs/>
        </w:rPr>
        <w:t>.</w:t>
      </w:r>
      <w:r>
        <w:rPr>
          <w:rFonts w:cs="Times New Roman"/>
        </w:rPr>
        <w:t xml:space="preserve"> </w:t>
      </w:r>
      <w:r>
        <w:rPr>
          <w:rFonts w:cs="Times New Roman"/>
          <w:b/>
          <w:bCs/>
        </w:rPr>
        <w:t>Functional group losses identified were from a range of compound types but the majority contained carboxylic groups.</w:t>
      </w:r>
    </w:p>
    <w:p w14:paraId="4525C577" w14:textId="77777777" w:rsidR="00FD2769" w:rsidRDefault="00FD2769" w:rsidP="00FD2769">
      <w:pPr>
        <w:rPr>
          <w:rFonts w:cs="Times New Roman"/>
        </w:rPr>
      </w:pPr>
      <w:r>
        <w:rPr>
          <w:rFonts w:cs="Times New Roman"/>
        </w:rPr>
        <w:t>Functional group losses were identified using the chemical proportionality workflow</w:t>
      </w:r>
      <w:sdt>
        <w:sdtPr>
          <w:rPr>
            <w:rFonts w:cs="Times New Roman"/>
            <w:color w:val="000000"/>
            <w:vertAlign w:val="superscript"/>
          </w:rPr>
          <w:tag w:val="MENDELEY_CITATION_v3_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"/>
          <w:id w:val="539180643"/>
          <w:placeholder>
            <w:docPart w:val="FE6143E9E42A4442ABCCECE2E23BFD89"/>
          </w:placeholder>
        </w:sdtPr>
        <w:sdtContent>
          <w:r w:rsidRPr="00FB5324">
            <w:rPr>
              <w:rFonts w:cs="Times New Roman"/>
              <w:color w:val="000000"/>
              <w:vertAlign w:val="superscript"/>
            </w:rPr>
            <w:t>77</w:t>
          </w:r>
        </w:sdtContent>
      </w:sdt>
      <w:r>
        <w:rPr>
          <w:rFonts w:cs="Times New Roman"/>
        </w:rPr>
        <w:t xml:space="preserve"> leveraging Global Natural Products Social networking molecular feature connections. The most commonly recurring molecular offsets included mass offsets related to -CH</w:t>
      </w:r>
      <w:r w:rsidRPr="009670E4">
        <w:rPr>
          <w:rFonts w:cs="Times New Roman"/>
          <w:vertAlign w:val="subscript"/>
        </w:rPr>
        <w:t>2</w:t>
      </w:r>
      <w:r>
        <w:rPr>
          <w:rFonts w:cs="Times New Roman"/>
        </w:rPr>
        <w:t>, -C</w:t>
      </w:r>
      <w:r w:rsidRPr="009670E4">
        <w:rPr>
          <w:rFonts w:cs="Times New Roman"/>
          <w:vertAlign w:val="subscript"/>
        </w:rPr>
        <w:t>2</w:t>
      </w:r>
      <w:r>
        <w:rPr>
          <w:rFonts w:cs="Times New Roman"/>
        </w:rPr>
        <w:t>H</w:t>
      </w:r>
      <w:r w:rsidRPr="009670E4">
        <w:rPr>
          <w:rFonts w:cs="Times New Roman"/>
          <w:vertAlign w:val="subscript"/>
        </w:rPr>
        <w:t>4</w:t>
      </w:r>
      <w:r>
        <w:rPr>
          <w:rFonts w:cs="Times New Roman"/>
        </w:rPr>
        <w:t>, -CH</w:t>
      </w:r>
      <w:r w:rsidRPr="009670E4">
        <w:rPr>
          <w:rFonts w:cs="Times New Roman"/>
          <w:vertAlign w:val="subscript"/>
        </w:rPr>
        <w:t>3</w:t>
      </w:r>
      <w:r>
        <w:rPr>
          <w:rFonts w:cs="Times New Roman"/>
        </w:rPr>
        <w:t>CH=O groups (a). Example networks highlight the range in compound types with molecular offsets found in the dataset presented here (b), where diamond shapes refer to compounds with exact library matches, yellow colors refer to compounds where the majority of the bioassays decreased in relative peak areas between initial and equilibrium growth phases and blue colors refer to either no change or an increase in peak areas. The majority of the compounds with a change in peak areas contained carboxylic acids, the majority of which were either amino acid-like or peptide like in composition (c).</w:t>
      </w:r>
    </w:p>
    <w:p w14:paraId="5515477D" w14:textId="77777777" w:rsidR="00FD2769" w:rsidRPr="00420678" w:rsidRDefault="00FD2769" w:rsidP="00FD2769">
      <w:pPr>
        <w:spacing w:after="160" w:line="259" w:lineRule="auto"/>
        <w:rPr>
          <w:rFonts w:cs="Times New Roman"/>
        </w:rPr>
      </w:pPr>
    </w:p>
    <w:p w14:paraId="31FDBC55" w14:textId="77777777" w:rsidR="00E1715D" w:rsidRDefault="00FD2769"/>
    <w:sectPr w:rsidR="00E1715D" w:rsidSect="00442189">
      <w:headerReference w:type="even" r:id="rId10"/>
      <w:headerReference w:type="default" r:id="rId11"/>
      <w:footerReference w:type="even" r:id="rId12"/>
      <w:footerReference w:type="default" r:id="rId13"/>
      <w:pgSz w:w="12240" w:h="15840"/>
      <w:pgMar w:top="1440" w:right="1440" w:bottom="1440" w:left="1440" w:header="27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67639571"/>
      <w:docPartObj>
        <w:docPartGallery w:val="Page Numbers (Bottom of Page)"/>
        <w:docPartUnique/>
      </w:docPartObj>
    </w:sdtPr>
    <w:sdtEndPr>
      <w:rPr>
        <w:rStyle w:val="PageNumber"/>
      </w:rPr>
    </w:sdtEndPr>
    <w:sdtContent>
      <w:p w14:paraId="284AC8F6" w14:textId="77777777" w:rsidR="00442189" w:rsidRDefault="00FD2769" w:rsidP="008D79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80C3B50" w14:textId="77777777" w:rsidR="00442189" w:rsidRDefault="00FD2769" w:rsidP="004421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60322674"/>
      <w:docPartObj>
        <w:docPartGallery w:val="Page Numbers (Bottom of Page)"/>
        <w:docPartUnique/>
      </w:docPartObj>
    </w:sdtPr>
    <w:sdtEndPr>
      <w:rPr>
        <w:rStyle w:val="PageNumber"/>
      </w:rPr>
    </w:sdtEndPr>
    <w:sdtContent>
      <w:p w14:paraId="55A04CDC" w14:textId="77777777" w:rsidR="00442189" w:rsidRDefault="00FD2769" w:rsidP="008D79F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1B16E84" w14:textId="77777777" w:rsidR="00442189" w:rsidRDefault="00FD2769" w:rsidP="00442189">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E6C144" w14:textId="77777777" w:rsidR="00C14023" w:rsidRPr="00BC7CF4" w:rsidRDefault="00FD2769" w:rsidP="00C14023">
    <w:pPr>
      <w:pStyle w:val="Header"/>
      <w:rPr>
        <w:rFonts w:ascii="Times New Roman" w:hAnsi="Times New Roman" w:cs="Times New Roman"/>
        <w:sz w:val="24"/>
        <w:szCs w:val="24"/>
      </w:rPr>
    </w:pPr>
    <w:r>
      <w:rPr>
        <w:rFonts w:ascii="Times New Roman" w:hAnsi="Times New Roman" w:cs="Times New Roman"/>
        <w:sz w:val="24"/>
        <w:szCs w:val="24"/>
      </w:rPr>
      <w:t>BGE and RQ influenced by DOC oxidation state and nitrogen-containing compounds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83A4C1" w14:textId="77777777" w:rsidR="00C60024" w:rsidRPr="004D03D5" w:rsidRDefault="00FD2769" w:rsidP="004D03D5">
    <w:pPr>
      <w:pStyle w:val="Header"/>
      <w:rPr>
        <w:rFonts w:ascii="Times New Roman" w:hAnsi="Times New Roman" w:cs="Times New Roman"/>
      </w:rPr>
    </w:pPr>
    <w:r>
      <w:rPr>
        <w:rFonts w:ascii="Times New Roman" w:hAnsi="Times New Roman" w:cs="Times New Roman"/>
        <w:noProof/>
      </w:rPr>
      <w:t>DOM oxidation state influe</w:t>
    </w:r>
    <w:r>
      <w:rPr>
        <w:rFonts w:ascii="Times New Roman" w:hAnsi="Times New Roman" w:cs="Times New Roman"/>
        <w:noProof/>
      </w:rPr>
      <w:t>nces RQ and BGE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769"/>
    <w:rsid w:val="001942F0"/>
    <w:rsid w:val="002C0857"/>
    <w:rsid w:val="003F01F8"/>
    <w:rsid w:val="00884728"/>
    <w:rsid w:val="008E2845"/>
    <w:rsid w:val="00D00B5E"/>
    <w:rsid w:val="00FC6104"/>
    <w:rsid w:val="00FD2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6488D"/>
  <w15:chartTrackingRefBased/>
  <w15:docId w15:val="{B9BF5378-DE1F-422E-916C-E1EDFA104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769"/>
    <w:pPr>
      <w:spacing w:after="0" w:line="276" w:lineRule="auto"/>
    </w:pPr>
    <w:rPr>
      <w:rFonts w:ascii="Times New Roman" w:hAnsi="Times New Roman"/>
    </w:rPr>
  </w:style>
  <w:style w:type="paragraph" w:styleId="Heading1">
    <w:name w:val="heading 1"/>
    <w:basedOn w:val="Normal"/>
    <w:next w:val="Normal"/>
    <w:link w:val="Heading1Char"/>
    <w:uiPriority w:val="9"/>
    <w:qFormat/>
    <w:rsid w:val="00FD2769"/>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2769"/>
    <w:rPr>
      <w:rFonts w:ascii="Times New Roman" w:hAnsi="Times New Roman"/>
      <w:sz w:val="40"/>
      <w:szCs w:val="40"/>
    </w:rPr>
  </w:style>
  <w:style w:type="paragraph" w:styleId="Header">
    <w:name w:val="header"/>
    <w:basedOn w:val="Normal"/>
    <w:link w:val="HeaderChar"/>
    <w:uiPriority w:val="99"/>
    <w:unhideWhenUsed/>
    <w:rsid w:val="00FD2769"/>
    <w:pPr>
      <w:tabs>
        <w:tab w:val="center" w:pos="4680"/>
        <w:tab w:val="right" w:pos="9360"/>
      </w:tabs>
      <w:spacing w:line="240" w:lineRule="auto"/>
    </w:pPr>
    <w:rPr>
      <w:rFonts w:asciiTheme="minorHAnsi" w:hAnsiTheme="minorHAnsi"/>
    </w:rPr>
  </w:style>
  <w:style w:type="character" w:customStyle="1" w:styleId="HeaderChar">
    <w:name w:val="Header Char"/>
    <w:basedOn w:val="DefaultParagraphFont"/>
    <w:link w:val="Header"/>
    <w:uiPriority w:val="99"/>
    <w:rsid w:val="00FD2769"/>
  </w:style>
  <w:style w:type="paragraph" w:styleId="Footer">
    <w:name w:val="footer"/>
    <w:basedOn w:val="Normal"/>
    <w:link w:val="FooterChar"/>
    <w:uiPriority w:val="99"/>
    <w:unhideWhenUsed/>
    <w:rsid w:val="00FD2769"/>
    <w:pPr>
      <w:tabs>
        <w:tab w:val="center" w:pos="4680"/>
        <w:tab w:val="right" w:pos="9360"/>
      </w:tabs>
      <w:spacing w:line="240" w:lineRule="auto"/>
    </w:pPr>
    <w:rPr>
      <w:rFonts w:asciiTheme="minorHAnsi" w:hAnsiTheme="minorHAnsi"/>
    </w:rPr>
  </w:style>
  <w:style w:type="character" w:customStyle="1" w:styleId="FooterChar">
    <w:name w:val="Footer Char"/>
    <w:basedOn w:val="DefaultParagraphFont"/>
    <w:link w:val="Footer"/>
    <w:uiPriority w:val="99"/>
    <w:rsid w:val="00FD2769"/>
  </w:style>
  <w:style w:type="character" w:styleId="PageNumber">
    <w:name w:val="page number"/>
    <w:basedOn w:val="DefaultParagraphFont"/>
    <w:uiPriority w:val="99"/>
    <w:semiHidden/>
    <w:unhideWhenUsed/>
    <w:rsid w:val="00FD2769"/>
    <w:rPr>
      <w:rFonts w:ascii="Times New Roman" w:hAnsi="Times New Roman"/>
    </w:rPr>
  </w:style>
  <w:style w:type="character" w:styleId="LineNumber">
    <w:name w:val="line number"/>
    <w:basedOn w:val="DefaultParagraphFont"/>
    <w:uiPriority w:val="99"/>
    <w:semiHidden/>
    <w:unhideWhenUsed/>
    <w:rsid w:val="00FD2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header" Target="header2.xml"/><Relationship Id="rId5" Type="http://schemas.openxmlformats.org/officeDocument/2006/relationships/image" Target="media/image2.jpeg"/><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image" Target="media/image1.tiff"/><Relationship Id="rId9" Type="http://schemas.openxmlformats.org/officeDocument/2006/relationships/image" Target="media/image5.tiff"/><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tephens\Documents\UCSB%20Documents\EXPORTS\North%20Atlantic%20Cruise%202021\Data\PPL\mzmine%20files\Organoheterocyclic%20Compound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sng" strike="noStrike" kern="1200" spc="0" baseline="0">
                <a:solidFill>
                  <a:sysClr val="windowText" lastClr="000000"/>
                </a:solidFill>
                <a:latin typeface="+mn-lt"/>
                <a:ea typeface="+mn-ea"/>
                <a:cs typeface="+mn-cs"/>
              </a:defRPr>
            </a:pPr>
            <a:r>
              <a:rPr lang="en-US" sz="1800" b="1" u="sng"/>
              <a:t>Organoheterocyclic Subclasses</a:t>
            </a:r>
          </a:p>
        </c:rich>
      </c:tx>
      <c:layout>
        <c:manualLayout>
          <c:xMode val="edge"/>
          <c:yMode val="edge"/>
          <c:x val="9.2786383141640214E-2"/>
          <c:y val="3.207547249233577E-2"/>
        </c:manualLayout>
      </c:layout>
      <c:overlay val="0"/>
      <c:spPr>
        <a:noFill/>
        <a:ln>
          <a:noFill/>
        </a:ln>
        <a:effectLst/>
      </c:spPr>
      <c:txPr>
        <a:bodyPr rot="0" spcFirstLastPara="1" vertOverflow="ellipsis" vert="horz" wrap="square" anchor="ctr" anchorCtr="1"/>
        <a:lstStyle/>
        <a:p>
          <a:pPr>
            <a:defRPr sz="1800" b="1" i="0" u="sng" strike="noStrike" kern="1200" spc="0" baseline="0">
              <a:solidFill>
                <a:sysClr val="windowText" lastClr="000000"/>
              </a:solidFill>
              <a:latin typeface="+mn-lt"/>
              <a:ea typeface="+mn-ea"/>
              <a:cs typeface="+mn-cs"/>
            </a:defRPr>
          </a:pPr>
          <a:endParaRPr lang="en-US"/>
        </a:p>
      </c:txPr>
    </c:title>
    <c:autoTitleDeleted val="0"/>
    <c:plotArea>
      <c:layout>
        <c:manualLayout>
          <c:layoutTarget val="inner"/>
          <c:xMode val="edge"/>
          <c:yMode val="edge"/>
          <c:x val="1.2599331371963658E-2"/>
          <c:y val="0.21839355762872179"/>
          <c:w val="0.37751459063054776"/>
          <c:h val="0.69731235322419549"/>
        </c:manualLayout>
      </c:layout>
      <c:pieChart>
        <c:varyColors val="1"/>
        <c:ser>
          <c:idx val="0"/>
          <c:order val="0"/>
          <c:dPt>
            <c:idx val="0"/>
            <c:bubble3D val="0"/>
            <c:spPr>
              <a:solidFill>
                <a:srgbClr val="12203A"/>
              </a:solidFill>
              <a:ln w="19050">
                <a:solidFill>
                  <a:schemeClr val="tx1"/>
                </a:solidFill>
              </a:ln>
              <a:effectLst/>
            </c:spPr>
            <c:extLst>
              <c:ext xmlns:c16="http://schemas.microsoft.com/office/drawing/2014/chart" uri="{C3380CC4-5D6E-409C-BE32-E72D297353CC}">
                <c16:uniqueId val="{00000001-9B95-4E91-9530-F9E043101AB4}"/>
              </c:ext>
            </c:extLst>
          </c:dPt>
          <c:dPt>
            <c:idx val="1"/>
            <c:bubble3D val="0"/>
            <c:spPr>
              <a:solidFill>
                <a:srgbClr val="1E3660"/>
              </a:solidFill>
              <a:ln w="19050">
                <a:solidFill>
                  <a:schemeClr val="tx1"/>
                </a:solidFill>
              </a:ln>
              <a:effectLst/>
            </c:spPr>
            <c:extLst>
              <c:ext xmlns:c16="http://schemas.microsoft.com/office/drawing/2014/chart" uri="{C3380CC4-5D6E-409C-BE32-E72D297353CC}">
                <c16:uniqueId val="{00000003-9B95-4E91-9530-F9E043101AB4}"/>
              </c:ext>
            </c:extLst>
          </c:dPt>
          <c:dPt>
            <c:idx val="2"/>
            <c:bubble3D val="0"/>
            <c:spPr>
              <a:solidFill>
                <a:srgbClr val="244072"/>
              </a:solidFill>
              <a:ln w="19050">
                <a:solidFill>
                  <a:schemeClr val="tx1"/>
                </a:solidFill>
              </a:ln>
              <a:effectLst/>
            </c:spPr>
            <c:extLst>
              <c:ext xmlns:c16="http://schemas.microsoft.com/office/drawing/2014/chart" uri="{C3380CC4-5D6E-409C-BE32-E72D297353CC}">
                <c16:uniqueId val="{00000005-9B95-4E91-9530-F9E043101AB4}"/>
              </c:ext>
            </c:extLst>
          </c:dPt>
          <c:dPt>
            <c:idx val="3"/>
            <c:bubble3D val="0"/>
            <c:spPr>
              <a:solidFill>
                <a:srgbClr val="305598"/>
              </a:solidFill>
              <a:ln w="19050">
                <a:solidFill>
                  <a:schemeClr val="tx1"/>
                </a:solidFill>
              </a:ln>
              <a:effectLst/>
            </c:spPr>
            <c:extLst>
              <c:ext xmlns:c16="http://schemas.microsoft.com/office/drawing/2014/chart" uri="{C3380CC4-5D6E-409C-BE32-E72D297353CC}">
                <c16:uniqueId val="{00000007-9B95-4E91-9530-F9E043101AB4}"/>
              </c:ext>
            </c:extLst>
          </c:dPt>
          <c:dPt>
            <c:idx val="4"/>
            <c:bubble3D val="0"/>
            <c:spPr>
              <a:solidFill>
                <a:srgbClr val="3965B5"/>
              </a:solidFill>
              <a:ln w="19050">
                <a:solidFill>
                  <a:schemeClr val="tx1"/>
                </a:solidFill>
              </a:ln>
              <a:effectLst/>
            </c:spPr>
            <c:extLst>
              <c:ext xmlns:c16="http://schemas.microsoft.com/office/drawing/2014/chart" uri="{C3380CC4-5D6E-409C-BE32-E72D297353CC}">
                <c16:uniqueId val="{00000009-9B95-4E91-9530-F9E043101AB4}"/>
              </c:ext>
            </c:extLst>
          </c:dPt>
          <c:dPt>
            <c:idx val="5"/>
            <c:bubble3D val="0"/>
            <c:spPr>
              <a:solidFill>
                <a:srgbClr val="4A76C6"/>
              </a:solidFill>
              <a:ln w="19050">
                <a:solidFill>
                  <a:schemeClr val="tx1"/>
                </a:solidFill>
              </a:ln>
              <a:effectLst/>
            </c:spPr>
            <c:extLst>
              <c:ext xmlns:c16="http://schemas.microsoft.com/office/drawing/2014/chart" uri="{C3380CC4-5D6E-409C-BE32-E72D297353CC}">
                <c16:uniqueId val="{0000000B-9B95-4E91-9530-F9E043101AB4}"/>
              </c:ext>
            </c:extLst>
          </c:dPt>
          <c:dPt>
            <c:idx val="6"/>
            <c:bubble3D val="0"/>
            <c:spPr>
              <a:solidFill>
                <a:srgbClr val="5C84CC"/>
              </a:solidFill>
              <a:ln w="19050">
                <a:solidFill>
                  <a:schemeClr val="tx1"/>
                </a:solidFill>
              </a:ln>
              <a:effectLst/>
            </c:spPr>
            <c:extLst>
              <c:ext xmlns:c16="http://schemas.microsoft.com/office/drawing/2014/chart" uri="{C3380CC4-5D6E-409C-BE32-E72D297353CC}">
                <c16:uniqueId val="{0000000D-9B95-4E91-9530-F9E043101AB4}"/>
              </c:ext>
            </c:extLst>
          </c:dPt>
          <c:dPt>
            <c:idx val="7"/>
            <c:bubble3D val="0"/>
            <c:spPr>
              <a:solidFill>
                <a:srgbClr val="7093D2"/>
              </a:solidFill>
              <a:ln w="19050">
                <a:solidFill>
                  <a:schemeClr val="tx1"/>
                </a:solidFill>
              </a:ln>
              <a:effectLst/>
            </c:spPr>
            <c:extLst>
              <c:ext xmlns:c16="http://schemas.microsoft.com/office/drawing/2014/chart" uri="{C3380CC4-5D6E-409C-BE32-E72D297353CC}">
                <c16:uniqueId val="{0000000F-9B95-4E91-9530-F9E043101AB4}"/>
              </c:ext>
            </c:extLst>
          </c:dPt>
          <c:dPt>
            <c:idx val="8"/>
            <c:bubble3D val="0"/>
            <c:spPr>
              <a:solidFill>
                <a:srgbClr val="7C9CD6"/>
              </a:solidFill>
              <a:ln w="19050">
                <a:solidFill>
                  <a:schemeClr val="tx1"/>
                </a:solidFill>
              </a:ln>
              <a:effectLst/>
            </c:spPr>
            <c:extLst>
              <c:ext xmlns:c16="http://schemas.microsoft.com/office/drawing/2014/chart" uri="{C3380CC4-5D6E-409C-BE32-E72D297353CC}">
                <c16:uniqueId val="{00000011-9B95-4E91-9530-F9E043101AB4}"/>
              </c:ext>
            </c:extLst>
          </c:dPt>
          <c:dPt>
            <c:idx val="9"/>
            <c:bubble3D val="0"/>
            <c:spPr>
              <a:solidFill>
                <a:srgbClr val="8DA9DB"/>
              </a:solidFill>
              <a:ln w="19050">
                <a:solidFill>
                  <a:schemeClr val="tx1"/>
                </a:solidFill>
              </a:ln>
              <a:effectLst/>
            </c:spPr>
            <c:extLst>
              <c:ext xmlns:c16="http://schemas.microsoft.com/office/drawing/2014/chart" uri="{C3380CC4-5D6E-409C-BE32-E72D297353CC}">
                <c16:uniqueId val="{00000013-9B95-4E91-9530-F9E043101AB4}"/>
              </c:ext>
            </c:extLst>
          </c:dPt>
          <c:dPt>
            <c:idx val="10"/>
            <c:bubble3D val="0"/>
            <c:spPr>
              <a:solidFill>
                <a:srgbClr val="A2B9E2"/>
              </a:solidFill>
              <a:ln w="19050">
                <a:solidFill>
                  <a:schemeClr val="tx1"/>
                </a:solidFill>
              </a:ln>
              <a:effectLst/>
            </c:spPr>
            <c:extLst>
              <c:ext xmlns:c16="http://schemas.microsoft.com/office/drawing/2014/chart" uri="{C3380CC4-5D6E-409C-BE32-E72D297353CC}">
                <c16:uniqueId val="{00000015-9B95-4E91-9530-F9E043101AB4}"/>
              </c:ext>
            </c:extLst>
          </c:dPt>
          <c:dPt>
            <c:idx val="11"/>
            <c:bubble3D val="0"/>
            <c:spPr>
              <a:solidFill>
                <a:srgbClr val="B6C8E8"/>
              </a:solidFill>
              <a:ln w="19050">
                <a:solidFill>
                  <a:schemeClr val="tx1"/>
                </a:solidFill>
              </a:ln>
              <a:effectLst/>
            </c:spPr>
            <c:extLst>
              <c:ext xmlns:c16="http://schemas.microsoft.com/office/drawing/2014/chart" uri="{C3380CC4-5D6E-409C-BE32-E72D297353CC}">
                <c16:uniqueId val="{00000017-9B95-4E91-9530-F9E043101AB4}"/>
              </c:ext>
            </c:extLst>
          </c:dPt>
          <c:dPt>
            <c:idx val="12"/>
            <c:bubble3D val="0"/>
            <c:spPr>
              <a:solidFill>
                <a:srgbClr val="C2D1EC"/>
              </a:solidFill>
              <a:ln w="19050">
                <a:solidFill>
                  <a:schemeClr val="tx1"/>
                </a:solidFill>
              </a:ln>
              <a:effectLst/>
            </c:spPr>
            <c:extLst>
              <c:ext xmlns:c16="http://schemas.microsoft.com/office/drawing/2014/chart" uri="{C3380CC4-5D6E-409C-BE32-E72D297353CC}">
                <c16:uniqueId val="{00000019-9B95-4E91-9530-F9E043101AB4}"/>
              </c:ext>
            </c:extLst>
          </c:dPt>
          <c:dPt>
            <c:idx val="13"/>
            <c:bubble3D val="0"/>
            <c:spPr>
              <a:solidFill>
                <a:srgbClr val="C8D6EE"/>
              </a:solidFill>
              <a:ln w="19050">
                <a:solidFill>
                  <a:schemeClr val="tx1"/>
                </a:solidFill>
              </a:ln>
              <a:effectLst/>
            </c:spPr>
            <c:extLst>
              <c:ext xmlns:c16="http://schemas.microsoft.com/office/drawing/2014/chart" uri="{C3380CC4-5D6E-409C-BE32-E72D297353CC}">
                <c16:uniqueId val="{0000001B-9B95-4E91-9530-F9E043101AB4}"/>
              </c:ext>
            </c:extLst>
          </c:dPt>
          <c:dPt>
            <c:idx val="14"/>
            <c:bubble3D val="0"/>
            <c:spPr>
              <a:solidFill>
                <a:srgbClr val="D9E2F3"/>
              </a:solidFill>
              <a:ln w="19050">
                <a:solidFill>
                  <a:schemeClr val="tx1"/>
                </a:solidFill>
              </a:ln>
              <a:effectLst/>
            </c:spPr>
            <c:extLst>
              <c:ext xmlns:c16="http://schemas.microsoft.com/office/drawing/2014/chart" uri="{C3380CC4-5D6E-409C-BE32-E72D297353CC}">
                <c16:uniqueId val="{0000001D-9B95-4E91-9530-F9E043101AB4}"/>
              </c:ext>
            </c:extLst>
          </c:dPt>
          <c:dPt>
            <c:idx val="15"/>
            <c:bubble3D val="0"/>
            <c:spPr>
              <a:solidFill>
                <a:srgbClr val="EBF0F9"/>
              </a:solidFill>
              <a:ln w="19050">
                <a:solidFill>
                  <a:schemeClr val="tx1"/>
                </a:solidFill>
              </a:ln>
              <a:effectLst/>
            </c:spPr>
            <c:extLst>
              <c:ext xmlns:c16="http://schemas.microsoft.com/office/drawing/2014/chart" uri="{C3380CC4-5D6E-409C-BE32-E72D297353CC}">
                <c16:uniqueId val="{0000001F-9B95-4E91-9530-F9E043101AB4}"/>
              </c:ext>
            </c:extLst>
          </c:dPt>
          <c:dPt>
            <c:idx val="16"/>
            <c:bubble3D val="0"/>
            <c:spPr>
              <a:solidFill>
                <a:srgbClr val="FCFDFE"/>
              </a:solidFill>
              <a:ln w="19050">
                <a:solidFill>
                  <a:schemeClr val="tx1"/>
                </a:solidFill>
              </a:ln>
              <a:effectLst/>
            </c:spPr>
            <c:extLst>
              <c:ext xmlns:c16="http://schemas.microsoft.com/office/drawing/2014/chart" uri="{C3380CC4-5D6E-409C-BE32-E72D297353CC}">
                <c16:uniqueId val="{00000021-9B95-4E91-9530-F9E043101AB4}"/>
              </c:ext>
            </c:extLst>
          </c:dPt>
          <c:dPt>
            <c:idx val="17"/>
            <c:bubble3D val="0"/>
            <c:spPr>
              <a:solidFill>
                <a:srgbClr val="800000"/>
              </a:solidFill>
              <a:ln w="19050">
                <a:solidFill>
                  <a:schemeClr val="tx1"/>
                </a:solidFill>
              </a:ln>
              <a:effectLst/>
            </c:spPr>
            <c:extLst>
              <c:ext xmlns:c16="http://schemas.microsoft.com/office/drawing/2014/chart" uri="{C3380CC4-5D6E-409C-BE32-E72D297353CC}">
                <c16:uniqueId val="{00000023-9B95-4E91-9530-F9E043101AB4}"/>
              </c:ext>
            </c:extLst>
          </c:dPt>
          <c:dPt>
            <c:idx val="18"/>
            <c:bubble3D val="0"/>
            <c:spPr>
              <a:solidFill>
                <a:srgbClr val="C00000"/>
              </a:solidFill>
              <a:ln w="19050">
                <a:solidFill>
                  <a:schemeClr val="tx1"/>
                </a:solidFill>
              </a:ln>
              <a:effectLst/>
            </c:spPr>
            <c:extLst>
              <c:ext xmlns:c16="http://schemas.microsoft.com/office/drawing/2014/chart" uri="{C3380CC4-5D6E-409C-BE32-E72D297353CC}">
                <c16:uniqueId val="{00000025-9B95-4E91-9530-F9E043101AB4}"/>
              </c:ext>
            </c:extLst>
          </c:dPt>
          <c:dPt>
            <c:idx val="19"/>
            <c:bubble3D val="0"/>
            <c:spPr>
              <a:solidFill>
                <a:srgbClr val="EE0000"/>
              </a:solidFill>
              <a:ln w="19050">
                <a:solidFill>
                  <a:schemeClr val="tx1"/>
                </a:solidFill>
              </a:ln>
              <a:effectLst/>
            </c:spPr>
            <c:extLst>
              <c:ext xmlns:c16="http://schemas.microsoft.com/office/drawing/2014/chart" uri="{C3380CC4-5D6E-409C-BE32-E72D297353CC}">
                <c16:uniqueId val="{00000027-9B95-4E91-9530-F9E043101AB4}"/>
              </c:ext>
            </c:extLst>
          </c:dPt>
          <c:dPt>
            <c:idx val="20"/>
            <c:bubble3D val="0"/>
            <c:spPr>
              <a:solidFill>
                <a:srgbClr val="FF4747"/>
              </a:solidFill>
              <a:ln w="19050">
                <a:solidFill>
                  <a:schemeClr val="tx1"/>
                </a:solidFill>
              </a:ln>
              <a:effectLst/>
            </c:spPr>
            <c:extLst>
              <c:ext xmlns:c16="http://schemas.microsoft.com/office/drawing/2014/chart" uri="{C3380CC4-5D6E-409C-BE32-E72D297353CC}">
                <c16:uniqueId val="{00000029-9B95-4E91-9530-F9E043101AB4}"/>
              </c:ext>
            </c:extLst>
          </c:dPt>
          <c:dPt>
            <c:idx val="21"/>
            <c:bubble3D val="0"/>
            <c:spPr>
              <a:solidFill>
                <a:srgbClr val="FF6969"/>
              </a:solidFill>
              <a:ln w="19050">
                <a:solidFill>
                  <a:schemeClr val="tx1"/>
                </a:solidFill>
              </a:ln>
              <a:effectLst/>
            </c:spPr>
            <c:extLst>
              <c:ext xmlns:c16="http://schemas.microsoft.com/office/drawing/2014/chart" uri="{C3380CC4-5D6E-409C-BE32-E72D297353CC}">
                <c16:uniqueId val="{0000002B-9B95-4E91-9530-F9E043101AB4}"/>
              </c:ext>
            </c:extLst>
          </c:dPt>
          <c:dPt>
            <c:idx val="22"/>
            <c:bubble3D val="0"/>
            <c:spPr>
              <a:solidFill>
                <a:srgbClr val="FF9797"/>
              </a:solidFill>
              <a:ln w="19050">
                <a:solidFill>
                  <a:schemeClr val="tx1"/>
                </a:solidFill>
              </a:ln>
              <a:effectLst/>
            </c:spPr>
            <c:extLst>
              <c:ext xmlns:c16="http://schemas.microsoft.com/office/drawing/2014/chart" uri="{C3380CC4-5D6E-409C-BE32-E72D297353CC}">
                <c16:uniqueId val="{0000002D-9B95-4E91-9530-F9E043101AB4}"/>
              </c:ext>
            </c:extLst>
          </c:dPt>
          <c:dPt>
            <c:idx val="23"/>
            <c:bubble3D val="0"/>
            <c:spPr>
              <a:solidFill>
                <a:srgbClr val="FFB7B7"/>
              </a:solidFill>
              <a:ln w="19050">
                <a:solidFill>
                  <a:schemeClr val="tx1"/>
                </a:solidFill>
              </a:ln>
              <a:effectLst/>
            </c:spPr>
            <c:extLst>
              <c:ext xmlns:c16="http://schemas.microsoft.com/office/drawing/2014/chart" uri="{C3380CC4-5D6E-409C-BE32-E72D297353CC}">
                <c16:uniqueId val="{0000002F-9B95-4E91-9530-F9E043101AB4}"/>
              </c:ext>
            </c:extLst>
          </c:dPt>
          <c:dPt>
            <c:idx val="24"/>
            <c:bubble3D val="0"/>
            <c:spPr>
              <a:solidFill>
                <a:srgbClr val="FFD1D1"/>
              </a:solidFill>
              <a:ln w="19050">
                <a:solidFill>
                  <a:schemeClr val="tx1"/>
                </a:solidFill>
              </a:ln>
              <a:effectLst/>
            </c:spPr>
            <c:extLst>
              <c:ext xmlns:c16="http://schemas.microsoft.com/office/drawing/2014/chart" uri="{C3380CC4-5D6E-409C-BE32-E72D297353CC}">
                <c16:uniqueId val="{00000031-9B95-4E91-9530-F9E043101AB4}"/>
              </c:ext>
            </c:extLst>
          </c:dPt>
          <c:cat>
            <c:strRef>
              <c:f>Sheet2!$GK$24:$GK$48</c:f>
              <c:strCache>
                <c:ptCount val="25"/>
                <c:pt idx="0">
                  <c:v>Azoles</c:v>
                </c:pt>
                <c:pt idx="1">
                  <c:v>Lactams</c:v>
                </c:pt>
                <c:pt idx="2">
                  <c:v>Diazines</c:v>
                </c:pt>
                <c:pt idx="3">
                  <c:v>Piperidines</c:v>
                </c:pt>
                <c:pt idx="4">
                  <c:v>Pyridines</c:v>
                </c:pt>
                <c:pt idx="5">
                  <c:v>Azacyclics</c:v>
                </c:pt>
                <c:pt idx="6">
                  <c:v>Imidazopyrimidines</c:v>
                </c:pt>
                <c:pt idx="7">
                  <c:v>Pyrrolidines</c:v>
                </c:pt>
                <c:pt idx="8">
                  <c:v>Triazines</c:v>
                </c:pt>
                <c:pt idx="9">
                  <c:v>Quinolines</c:v>
                </c:pt>
                <c:pt idx="10">
                  <c:v>Azepanes</c:v>
                </c:pt>
                <c:pt idx="11">
                  <c:v>Indoles</c:v>
                </c:pt>
                <c:pt idx="12">
                  <c:v>Diazinanes</c:v>
                </c:pt>
                <c:pt idx="13">
                  <c:v>Oxazinanes</c:v>
                </c:pt>
                <c:pt idx="14">
                  <c:v>Pteridines</c:v>
                </c:pt>
                <c:pt idx="15">
                  <c:v>Isoindoles</c:v>
                </c:pt>
                <c:pt idx="16">
                  <c:v>Azolidines</c:v>
                </c:pt>
                <c:pt idx="17">
                  <c:v>Heteroaromatics</c:v>
                </c:pt>
                <c:pt idx="18">
                  <c:v>Lactones</c:v>
                </c:pt>
                <c:pt idx="19">
                  <c:v>Oxepanes</c:v>
                </c:pt>
                <c:pt idx="20">
                  <c:v>Benzopyrans</c:v>
                </c:pt>
                <c:pt idx="21">
                  <c:v>Furopyrans</c:v>
                </c:pt>
                <c:pt idx="22">
                  <c:v>Dihydrofurans</c:v>
                </c:pt>
                <c:pt idx="23">
                  <c:v>Pyrans</c:v>
                </c:pt>
                <c:pt idx="24">
                  <c:v>Naphthopyrans</c:v>
                </c:pt>
              </c:strCache>
            </c:strRef>
          </c:cat>
          <c:val>
            <c:numRef>
              <c:f>Sheet2!$GL$24:$GL$48</c:f>
              <c:numCache>
                <c:formatCode>General</c:formatCode>
                <c:ptCount val="25"/>
                <c:pt idx="0">
                  <c:v>120</c:v>
                </c:pt>
                <c:pt idx="1">
                  <c:v>98</c:v>
                </c:pt>
                <c:pt idx="2">
                  <c:v>72</c:v>
                </c:pt>
                <c:pt idx="3">
                  <c:v>48</c:v>
                </c:pt>
                <c:pt idx="4">
                  <c:v>41</c:v>
                </c:pt>
                <c:pt idx="5">
                  <c:v>27</c:v>
                </c:pt>
                <c:pt idx="6">
                  <c:v>26</c:v>
                </c:pt>
                <c:pt idx="7">
                  <c:v>25</c:v>
                </c:pt>
                <c:pt idx="8">
                  <c:v>21</c:v>
                </c:pt>
                <c:pt idx="9">
                  <c:v>18</c:v>
                </c:pt>
                <c:pt idx="10">
                  <c:v>12</c:v>
                </c:pt>
                <c:pt idx="11">
                  <c:v>9</c:v>
                </c:pt>
                <c:pt idx="12">
                  <c:v>8</c:v>
                </c:pt>
                <c:pt idx="13">
                  <c:v>7</c:v>
                </c:pt>
                <c:pt idx="14">
                  <c:v>6</c:v>
                </c:pt>
                <c:pt idx="15">
                  <c:v>5</c:v>
                </c:pt>
                <c:pt idx="16">
                  <c:v>5</c:v>
                </c:pt>
                <c:pt idx="17">
                  <c:v>46</c:v>
                </c:pt>
                <c:pt idx="18">
                  <c:v>44</c:v>
                </c:pt>
                <c:pt idx="19">
                  <c:v>31</c:v>
                </c:pt>
                <c:pt idx="20">
                  <c:v>18</c:v>
                </c:pt>
                <c:pt idx="21">
                  <c:v>11</c:v>
                </c:pt>
                <c:pt idx="22">
                  <c:v>7</c:v>
                </c:pt>
                <c:pt idx="23">
                  <c:v>7</c:v>
                </c:pt>
                <c:pt idx="24">
                  <c:v>5</c:v>
                </c:pt>
              </c:numCache>
            </c:numRef>
          </c:val>
          <c:extLst>
            <c:ext xmlns:c16="http://schemas.microsoft.com/office/drawing/2014/chart" uri="{C3380CC4-5D6E-409C-BE32-E72D297353CC}">
              <c16:uniqueId val="{00000032-9B95-4E91-9530-F9E043101AB4}"/>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41837861119530362"/>
          <c:y val="0.22322466258665535"/>
          <c:w val="0.58162138880469649"/>
          <c:h val="0.75843927990985194"/>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FE6143E9E42A4442ABCCECE2E23BFD89"/>
        <w:category>
          <w:name w:val="General"/>
          <w:gallery w:val="placeholder"/>
        </w:category>
        <w:types>
          <w:type w:val="bbPlcHdr"/>
        </w:types>
        <w:behaviors>
          <w:behavior w:val="content"/>
        </w:behaviors>
        <w:guid w:val="{53801AC1-4FB4-41A7-95EE-B974EB5FE34C}"/>
      </w:docPartPr>
      <w:docPartBody>
        <w:p w:rsidR="00000000" w:rsidRDefault="005B3F50" w:rsidP="005B3F50">
          <w:pPr>
            <w:pStyle w:val="FE6143E9E42A4442ABCCECE2E23BFD89"/>
          </w:pPr>
          <w:r w:rsidRPr="00642A8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50"/>
    <w:rsid w:val="005B3F50"/>
    <w:rsid w:val="006D3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B3F50"/>
    <w:rPr>
      <w:color w:val="808080"/>
    </w:rPr>
  </w:style>
  <w:style w:type="paragraph" w:customStyle="1" w:styleId="FE6143E9E42A4442ABCCECE2E23BFD89">
    <w:name w:val="FE6143E9E42A4442ABCCECE2E23BFD89"/>
    <w:rsid w:val="005B3F5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813</Words>
  <Characters>4635</Characters>
  <Application>Microsoft Office Word</Application>
  <DocSecurity>0</DocSecurity>
  <Lines>38</Lines>
  <Paragraphs>10</Paragraphs>
  <ScaleCrop>false</ScaleCrop>
  <Company>Springer Nature</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2023-03-30T04:24:00Z</dcterms:created>
  <dcterms:modified xsi:type="dcterms:W3CDTF">2023-03-30T04:25:00Z</dcterms:modified>
</cp:coreProperties>
</file>