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A694A" w14:textId="77777777" w:rsidR="00BB58DD" w:rsidRPr="0082612D" w:rsidRDefault="00BB58DD" w:rsidP="00BB58DD">
      <w:pPr>
        <w:pStyle w:val="Heading1"/>
        <w:rPr>
          <w:lang w:val="en-US"/>
        </w:rPr>
      </w:pPr>
      <w:r w:rsidRPr="0082612D">
        <w:rPr>
          <w:lang w:val="en-US"/>
        </w:rPr>
        <w:t>Appendix 1: Notations used in XP E01-015-4 standard to represent functional assembly (CETIM courtesy)</w:t>
      </w:r>
    </w:p>
    <w:p w14:paraId="1EB5F14F" w14:textId="77777777" w:rsidR="00BB58DD" w:rsidRPr="0082612D" w:rsidRDefault="00BB58DD" w:rsidP="00BB58DD">
      <w:pPr>
        <w:rPr>
          <w:lang w:val="en-US"/>
        </w:rPr>
      </w:pPr>
      <w:r w:rsidRPr="0082612D">
        <w:rPr>
          <w:lang w:val="en-US"/>
        </w:rPr>
        <w:t>The notations used to represent the functional assembly plans (FAP) are shown in Table A.1</w:t>
      </w:r>
      <w:r>
        <w:rPr>
          <w:lang w:val="en-US"/>
        </w:rPr>
        <w:t xml:space="preserve"> </w:t>
      </w:r>
      <w:r w:rsidRPr="0082612D">
        <w:rPr>
          <w:lang w:val="en-US"/>
        </w:rPr>
        <w:t xml:space="preserve">(an example is presented in </w:t>
      </w:r>
      <w:r>
        <w:rPr>
          <w:lang w:val="en-US"/>
        </w:rPr>
        <w:t>Fig.</w:t>
      </w:r>
      <w:r w:rsidRPr="0082612D">
        <w:rPr>
          <w:lang w:val="en-US"/>
        </w:rPr>
        <w:t xml:space="preserve"> 4). </w:t>
      </w:r>
    </w:p>
    <w:p w14:paraId="44F72ABC" w14:textId="77777777" w:rsidR="00BB58DD" w:rsidRPr="0082612D" w:rsidRDefault="00BB58DD" w:rsidP="00BB58D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3337"/>
        <w:gridCol w:w="876"/>
        <w:gridCol w:w="3633"/>
      </w:tblGrid>
      <w:tr w:rsidR="00BB58DD" w:rsidRPr="0082612D" w14:paraId="64110E90" w14:textId="77777777" w:rsidTr="007B1450">
        <w:tc>
          <w:tcPr>
            <w:tcW w:w="1216" w:type="dxa"/>
          </w:tcPr>
          <w:p w14:paraId="592F34C4" w14:textId="77777777" w:rsidR="00BB58DD" w:rsidRPr="0082612D" w:rsidRDefault="00BB58DD" w:rsidP="007B1450">
            <w:pPr>
              <w:rPr>
                <w:noProof/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6F52BD1A" wp14:editId="542D7F10">
                  <wp:extent cx="378335" cy="369736"/>
                  <wp:effectExtent l="0" t="0" r="3175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126" cy="402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030829DC" w14:textId="77777777" w:rsidR="00BB58DD" w:rsidRPr="0082612D" w:rsidRDefault="00BB58DD" w:rsidP="007B1450">
            <w:pPr>
              <w:rPr>
                <w:b/>
                <w:bCs/>
                <w:lang w:val="en-US"/>
              </w:rPr>
            </w:pPr>
            <w:r w:rsidRPr="0082612D">
              <w:rPr>
                <w:b/>
                <w:bCs/>
                <w:lang w:val="en-US"/>
              </w:rPr>
              <w:t>Union</w:t>
            </w:r>
            <w:r w:rsidRPr="0082612D">
              <w:rPr>
                <w:lang w:val="en-US"/>
              </w:rPr>
              <w:t xml:space="preserve"> of a secondary (vertical connection) sub assembly or elementary components on a primary one (horizontal connection)</w:t>
            </w:r>
          </w:p>
        </w:tc>
        <w:tc>
          <w:tcPr>
            <w:tcW w:w="0" w:type="auto"/>
          </w:tcPr>
          <w:p w14:paraId="6B3A8A8D" w14:textId="77777777" w:rsidR="00BB58DD" w:rsidRPr="0082612D" w:rsidRDefault="00BB58DD" w:rsidP="007B1450">
            <w:pPr>
              <w:rPr>
                <w:noProof/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707062F3" wp14:editId="2290F1D3">
                  <wp:extent cx="373711" cy="378056"/>
                  <wp:effectExtent l="0" t="0" r="7620" b="3175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890" cy="40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FE234D1" w14:textId="77777777" w:rsidR="00BB58DD" w:rsidRPr="0082612D" w:rsidRDefault="00BB58DD" w:rsidP="007B1450">
            <w:pPr>
              <w:rPr>
                <w:b/>
                <w:bCs/>
                <w:lang w:val="en-US"/>
              </w:rPr>
            </w:pPr>
            <w:r w:rsidRPr="0082612D">
              <w:rPr>
                <w:b/>
                <w:bCs/>
                <w:lang w:val="en-US"/>
              </w:rPr>
              <w:t>Unfix</w:t>
            </w:r>
            <w:r w:rsidRPr="0082612D">
              <w:rPr>
                <w:lang w:val="en-US"/>
              </w:rPr>
              <w:t>/Break the attachment (the link)</w:t>
            </w:r>
          </w:p>
        </w:tc>
      </w:tr>
      <w:tr w:rsidR="00BB58DD" w:rsidRPr="0082612D" w14:paraId="6BD5B8D8" w14:textId="77777777" w:rsidTr="007B1450">
        <w:tc>
          <w:tcPr>
            <w:tcW w:w="1216" w:type="dxa"/>
          </w:tcPr>
          <w:p w14:paraId="7D68A5F1" w14:textId="77777777" w:rsidR="00BB58DD" w:rsidRPr="0082612D" w:rsidRDefault="00BB58DD" w:rsidP="007B1450">
            <w:pPr>
              <w:rPr>
                <w:noProof/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2D99F4B5" wp14:editId="064DA16B">
                  <wp:extent cx="441298" cy="435252"/>
                  <wp:effectExtent l="0" t="0" r="0" b="317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71" cy="45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32B30384" w14:textId="77777777" w:rsidR="00BB58DD" w:rsidRPr="0082612D" w:rsidRDefault="00BB58DD" w:rsidP="007B1450">
            <w:pPr>
              <w:rPr>
                <w:b/>
                <w:bCs/>
                <w:lang w:val="en-US"/>
              </w:rPr>
            </w:pPr>
            <w:r w:rsidRPr="0082612D">
              <w:rPr>
                <w:b/>
                <w:bCs/>
                <w:lang w:val="en-US"/>
              </w:rPr>
              <w:t>Transformation</w:t>
            </w:r>
            <w:r w:rsidRPr="0082612D">
              <w:rPr>
                <w:lang w:val="en-US"/>
              </w:rPr>
              <w:t xml:space="preserve"> (machining, marking, etc. = auxiliary operations)</w:t>
            </w:r>
          </w:p>
        </w:tc>
        <w:tc>
          <w:tcPr>
            <w:tcW w:w="0" w:type="auto"/>
          </w:tcPr>
          <w:p w14:paraId="189AA743" w14:textId="77777777" w:rsidR="00BB58DD" w:rsidRPr="0082612D" w:rsidRDefault="00BB58DD" w:rsidP="007B1450">
            <w:pPr>
              <w:rPr>
                <w:noProof/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6B363B4B" wp14:editId="1A8D99A5">
                  <wp:extent cx="413467" cy="419131"/>
                  <wp:effectExtent l="0" t="0" r="5715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415" cy="44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00F73AF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lang w:val="en-US"/>
              </w:rPr>
              <w:t>Check</w:t>
            </w:r>
          </w:p>
        </w:tc>
      </w:tr>
      <w:tr w:rsidR="00BB58DD" w:rsidRPr="0082612D" w14:paraId="4A683C72" w14:textId="77777777" w:rsidTr="007B1450">
        <w:tc>
          <w:tcPr>
            <w:tcW w:w="1216" w:type="dxa"/>
          </w:tcPr>
          <w:p w14:paraId="01212020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454C09E9" wp14:editId="1125079D">
                  <wp:extent cx="397566" cy="409089"/>
                  <wp:effectExtent l="0" t="0" r="254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38" cy="431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6EDA0ADE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Feed</w:t>
            </w:r>
            <w:r w:rsidRPr="0082612D">
              <w:rPr>
                <w:lang w:val="en-US"/>
              </w:rPr>
              <w:t>/Distribution: part feeding</w:t>
            </w:r>
          </w:p>
        </w:tc>
        <w:tc>
          <w:tcPr>
            <w:tcW w:w="0" w:type="auto"/>
          </w:tcPr>
          <w:p w14:paraId="3DDFDD09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54A1CEF3" wp14:editId="5E8D33F7">
                  <wp:extent cx="382932" cy="377687"/>
                  <wp:effectExtent l="0" t="0" r="0" b="381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09" cy="38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02F8759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Pick</w:t>
            </w:r>
            <w:r w:rsidRPr="0082612D">
              <w:rPr>
                <w:lang w:val="en-US"/>
              </w:rPr>
              <w:t>/Take or undocking of the end product, a part or a sub-assembly</w:t>
            </w:r>
          </w:p>
        </w:tc>
      </w:tr>
      <w:tr w:rsidR="00BB58DD" w:rsidRPr="0082612D" w14:paraId="7E017E25" w14:textId="77777777" w:rsidTr="007B1450">
        <w:tc>
          <w:tcPr>
            <w:tcW w:w="1216" w:type="dxa"/>
          </w:tcPr>
          <w:p w14:paraId="1BE3B676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6A0F75F3" wp14:editId="6E2CE8B4">
                  <wp:extent cx="396040" cy="401541"/>
                  <wp:effectExtent l="0" t="0" r="4445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88" cy="41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09DB8691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Stock</w:t>
            </w:r>
            <w:r w:rsidRPr="0082612D">
              <w:rPr>
                <w:lang w:val="en-US"/>
              </w:rPr>
              <w:t>/Storage of the end product, a part or a sub-assembly</w:t>
            </w:r>
          </w:p>
        </w:tc>
        <w:tc>
          <w:tcPr>
            <w:tcW w:w="0" w:type="auto"/>
          </w:tcPr>
          <w:p w14:paraId="45C616E8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4BE84424" wp14:editId="288AF192">
                  <wp:extent cx="401541" cy="401541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14" cy="414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B699EE4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Rotate</w:t>
            </w:r>
            <w:r w:rsidRPr="0082612D">
              <w:rPr>
                <w:lang w:val="en-US"/>
              </w:rPr>
              <w:t>/Reversal with horizontal connection</w:t>
            </w:r>
          </w:p>
        </w:tc>
      </w:tr>
      <w:tr w:rsidR="00BB58DD" w:rsidRPr="0082612D" w14:paraId="08AFDD66" w14:textId="77777777" w:rsidTr="007B1450">
        <w:tc>
          <w:tcPr>
            <w:tcW w:w="1216" w:type="dxa"/>
          </w:tcPr>
          <w:p w14:paraId="1A51522C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7562355E" wp14:editId="53A6545A">
                  <wp:extent cx="393590" cy="404373"/>
                  <wp:effectExtent l="0" t="0" r="698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10" cy="421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3CCA17DC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Place</w:t>
            </w:r>
            <w:r w:rsidRPr="0082612D">
              <w:rPr>
                <w:lang w:val="en-US"/>
              </w:rPr>
              <w:t>/Docking of the end product, a part or a sub-assembly</w:t>
            </w:r>
          </w:p>
        </w:tc>
        <w:tc>
          <w:tcPr>
            <w:tcW w:w="0" w:type="auto"/>
          </w:tcPr>
          <w:p w14:paraId="30021D67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2EFEEE9E" wp14:editId="0514E8C9">
                  <wp:extent cx="397565" cy="403012"/>
                  <wp:effectExtent l="0" t="0" r="2540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43" cy="42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C2EC106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Rotate</w:t>
            </w:r>
            <w:r w:rsidRPr="0082612D">
              <w:rPr>
                <w:lang w:val="en-US"/>
              </w:rPr>
              <w:t>/Reversal with vertical connection</w:t>
            </w:r>
          </w:p>
        </w:tc>
      </w:tr>
      <w:tr w:rsidR="00BB58DD" w:rsidRPr="0082612D" w14:paraId="76E08D2A" w14:textId="77777777" w:rsidTr="007B1450">
        <w:tc>
          <w:tcPr>
            <w:tcW w:w="1216" w:type="dxa"/>
          </w:tcPr>
          <w:p w14:paraId="5DCD39D7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0E332224" wp14:editId="5AB17E9E">
                  <wp:extent cx="393590" cy="393590"/>
                  <wp:effectExtent l="0" t="0" r="6985" b="698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65" cy="40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2530D841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Move</w:t>
            </w:r>
            <w:r w:rsidRPr="0082612D">
              <w:rPr>
                <w:lang w:val="en-US"/>
              </w:rPr>
              <w:t>/Transfer with vertical connection</w:t>
            </w:r>
          </w:p>
        </w:tc>
        <w:tc>
          <w:tcPr>
            <w:tcW w:w="0" w:type="auto"/>
          </w:tcPr>
          <w:p w14:paraId="5DE505B6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66534E6F" wp14:editId="24F4ECC4">
                  <wp:extent cx="385638" cy="385638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551" cy="40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18F7A0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Tool</w:t>
            </w:r>
            <w:r w:rsidRPr="0082612D">
              <w:rPr>
                <w:lang w:val="en-US"/>
              </w:rPr>
              <w:t>/Adding an additional tool</w:t>
            </w:r>
          </w:p>
        </w:tc>
      </w:tr>
      <w:tr w:rsidR="00BB58DD" w:rsidRPr="0082612D" w14:paraId="74220E52" w14:textId="77777777" w:rsidTr="007B1450">
        <w:tc>
          <w:tcPr>
            <w:tcW w:w="1216" w:type="dxa"/>
          </w:tcPr>
          <w:p w14:paraId="1F946E82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632BD904" wp14:editId="2431690A">
                  <wp:extent cx="373711" cy="373711"/>
                  <wp:effectExtent l="0" t="0" r="7620" b="762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91" cy="39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C603A95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Translate</w:t>
            </w:r>
            <w:r w:rsidRPr="0082612D">
              <w:rPr>
                <w:lang w:val="en-US"/>
              </w:rPr>
              <w:t>/Transfer with horizontal connection</w:t>
            </w:r>
          </w:p>
        </w:tc>
        <w:tc>
          <w:tcPr>
            <w:tcW w:w="0" w:type="auto"/>
          </w:tcPr>
          <w:p w14:paraId="32B4394D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noProof/>
                <w:lang w:val="en-US"/>
              </w:rPr>
              <w:drawing>
                <wp:inline distT="0" distB="0" distL="0" distR="0" wp14:anchorId="16975E68" wp14:editId="480D70FB">
                  <wp:extent cx="372583" cy="377687"/>
                  <wp:effectExtent l="0" t="0" r="8890" b="381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07" cy="39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070A47" w14:textId="77777777" w:rsidR="00BB58DD" w:rsidRPr="0082612D" w:rsidRDefault="00BB58DD" w:rsidP="007B1450">
            <w:pPr>
              <w:rPr>
                <w:lang w:val="en-US"/>
              </w:rPr>
            </w:pPr>
            <w:r w:rsidRPr="0082612D">
              <w:rPr>
                <w:b/>
                <w:bCs/>
                <w:lang w:val="en-US"/>
              </w:rPr>
              <w:t>Tool</w:t>
            </w:r>
            <w:r w:rsidRPr="0082612D">
              <w:rPr>
                <w:b/>
                <w:bCs/>
                <w:vertAlign w:val="superscript"/>
                <w:lang w:val="en-US"/>
              </w:rPr>
              <w:t>-1</w:t>
            </w:r>
            <w:r w:rsidRPr="0082612D">
              <w:rPr>
                <w:lang w:val="en-US"/>
              </w:rPr>
              <w:t>/Removal of an additional tool</w:t>
            </w:r>
          </w:p>
        </w:tc>
      </w:tr>
    </w:tbl>
    <w:p w14:paraId="598C5965" w14:textId="77777777" w:rsidR="00BB58DD" w:rsidRPr="0082612D" w:rsidRDefault="00BB58DD" w:rsidP="00BB58DD">
      <w:pPr>
        <w:pStyle w:val="Figure-titre"/>
      </w:pPr>
      <w:r w:rsidRPr="0082612D">
        <w:t xml:space="preserve">Table A.1 </w:t>
      </w:r>
      <w:r w:rsidRPr="00911D17">
        <w:t>S</w:t>
      </w:r>
      <w:r w:rsidRPr="0082612D">
        <w:t>ymbolisms used to represent functional assembly plans (FAP)</w:t>
      </w:r>
    </w:p>
    <w:p w14:paraId="784E7066" w14:textId="77777777" w:rsidR="00BB58DD" w:rsidRPr="0082612D" w:rsidRDefault="00BB58DD" w:rsidP="00BB58DD">
      <w:pPr>
        <w:rPr>
          <w:lang w:val="en-US"/>
        </w:rPr>
      </w:pPr>
    </w:p>
    <w:p w14:paraId="743AEACB" w14:textId="77777777" w:rsidR="00BB58DD" w:rsidRPr="0082612D" w:rsidRDefault="00BB58DD" w:rsidP="00BB58DD">
      <w:pPr>
        <w:rPr>
          <w:lang w:val="en-US"/>
        </w:rPr>
      </w:pPr>
      <w:r w:rsidRPr="0082612D">
        <w:rPr>
          <w:lang w:val="en-US"/>
        </w:rPr>
        <w:t xml:space="preserve"> “Red” symbols represent value-added operations while “blue” symbols represent non-value-added operations. </w:t>
      </w:r>
    </w:p>
    <w:p w14:paraId="134E63C3" w14:textId="77777777" w:rsidR="00BB58DD" w:rsidRDefault="00BB58DD" w:rsidP="00BB58DD">
      <w:pPr>
        <w:pStyle w:val="biblio-paper"/>
      </w:pPr>
    </w:p>
    <w:p w14:paraId="4155E69D" w14:textId="77777777" w:rsidR="00BB58DD" w:rsidRDefault="00BB58DD" w:rsidP="00BB58DD">
      <w:pPr>
        <w:pStyle w:val="biblio-paper"/>
      </w:pPr>
    </w:p>
    <w:p w14:paraId="177CE669" w14:textId="77777777" w:rsidR="00BB58DD" w:rsidRPr="00B11476" w:rsidRDefault="00BB58DD" w:rsidP="00BB58DD"/>
    <w:p w14:paraId="2DA007A9" w14:textId="77777777" w:rsidR="00BB58DD" w:rsidRPr="00B11476" w:rsidRDefault="00BB58DD" w:rsidP="00BB58DD"/>
    <w:p w14:paraId="50FADCE1" w14:textId="77777777" w:rsidR="00755780" w:rsidRDefault="00755780"/>
    <w:sectPr w:rsidR="00755780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Gras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425AC" w14:textId="77777777" w:rsidR="00350B00" w:rsidRPr="0082612D" w:rsidRDefault="00BB58DD" w:rsidP="00E134B8">
    <w:pPr>
      <w:pStyle w:val="Header"/>
    </w:pPr>
    <w:r>
      <w:rPr>
        <w:rStyle w:val="PageNumber"/>
        <w:color w:val="000000" w:themeColor="text1"/>
      </w:rPr>
      <w:tab/>
    </w:r>
    <w:r w:rsidRPr="0082612D">
      <w:rPr>
        <w:rStyle w:val="PageNumber"/>
        <w:color w:val="000000" w:themeColor="text1"/>
      </w:rPr>
      <w:fldChar w:fldCharType="begin"/>
    </w:r>
    <w:r w:rsidRPr="0082612D">
      <w:rPr>
        <w:rStyle w:val="PageNumber"/>
        <w:color w:val="000000" w:themeColor="text1"/>
      </w:rPr>
      <w:instrText xml:space="preserve"> PAGE </w:instrText>
    </w:r>
    <w:r w:rsidRPr="0082612D">
      <w:rPr>
        <w:rStyle w:val="PageNumber"/>
        <w:color w:val="000000" w:themeColor="text1"/>
      </w:rPr>
      <w:fldChar w:fldCharType="separate"/>
    </w:r>
    <w:r w:rsidRPr="0082612D">
      <w:rPr>
        <w:rStyle w:val="PageNumber"/>
        <w:noProof/>
        <w:color w:val="000000" w:themeColor="text1"/>
      </w:rPr>
      <w:t>16</w:t>
    </w:r>
    <w:r w:rsidRPr="0082612D">
      <w:rPr>
        <w:rStyle w:val="PageNumber"/>
        <w:color w:val="000000" w:themeColor="text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DD"/>
    <w:rsid w:val="00755780"/>
    <w:rsid w:val="00B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0E903"/>
  <w15:chartTrackingRefBased/>
  <w15:docId w15:val="{C83D6C92-8FB0-41BF-A6C6-89DF4882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DD"/>
    <w:pPr>
      <w:spacing w:before="40" w:after="0" w:line="240" w:lineRule="auto"/>
      <w:jc w:val="both"/>
    </w:pPr>
    <w:rPr>
      <w:rFonts w:ascii="Times" w:eastAsia="Calibri" w:hAnsi="Times" w:cs="Times New Roman"/>
      <w:sz w:val="20"/>
      <w:szCs w:val="20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BB58DD"/>
    <w:pPr>
      <w:keepNext/>
      <w:spacing w:before="200" w:after="40"/>
      <w:outlineLvl w:val="0"/>
    </w:pPr>
    <w:rPr>
      <w:rFonts w:ascii="Times New Roman Gras" w:eastAsia="Times New Roman" w:hAnsi="Times New Roman Gras"/>
      <w:b/>
      <w:color w:val="000000" w:themeColor="text1"/>
      <w:kern w:val="3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58DD"/>
    <w:rPr>
      <w:rFonts w:ascii="Times New Roman Gras" w:eastAsia="Times New Roman" w:hAnsi="Times New Roman Gras" w:cs="Times New Roman"/>
      <w:b/>
      <w:color w:val="000000" w:themeColor="text1"/>
      <w:kern w:val="32"/>
      <w:sz w:val="28"/>
      <w:szCs w:val="20"/>
      <w:lang w:val="fr-FR" w:eastAsia="fr-FR"/>
    </w:rPr>
  </w:style>
  <w:style w:type="paragraph" w:styleId="Header">
    <w:name w:val="header"/>
    <w:basedOn w:val="Normal"/>
    <w:link w:val="HeaderChar"/>
    <w:semiHidden/>
    <w:rsid w:val="00BB58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B58DD"/>
    <w:rPr>
      <w:rFonts w:ascii="Times" w:eastAsia="Calibri" w:hAnsi="Times" w:cs="Times New Roman"/>
      <w:sz w:val="20"/>
      <w:szCs w:val="20"/>
      <w:lang w:val="fr-FR" w:eastAsia="fr-FR"/>
    </w:rPr>
  </w:style>
  <w:style w:type="character" w:styleId="PageNumber">
    <w:name w:val="page number"/>
    <w:rsid w:val="00BB58DD"/>
    <w:rPr>
      <w:rFonts w:cs="Times New Roman"/>
    </w:rPr>
  </w:style>
  <w:style w:type="table" w:styleId="TableGrid">
    <w:name w:val="Table Grid"/>
    <w:basedOn w:val="TableNormal"/>
    <w:rsid w:val="00BB58DD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iblio-paper">
    <w:name w:val="biblio-paper"/>
    <w:basedOn w:val="Normal"/>
    <w:qFormat/>
    <w:rsid w:val="00BB58DD"/>
    <w:pPr>
      <w:tabs>
        <w:tab w:val="left" w:pos="1701"/>
      </w:tabs>
      <w:spacing w:before="100" w:after="100"/>
      <w:ind w:left="1701" w:hanging="1701"/>
    </w:pPr>
    <w:rPr>
      <w:rFonts w:eastAsia="Times New Roman"/>
      <w:sz w:val="18"/>
      <w:lang w:val="en-GB"/>
    </w:rPr>
  </w:style>
  <w:style w:type="paragraph" w:customStyle="1" w:styleId="Figure-titre">
    <w:name w:val="Figure-titre"/>
    <w:basedOn w:val="Normal"/>
    <w:qFormat/>
    <w:rsid w:val="00BB58DD"/>
    <w:pPr>
      <w:keepLines/>
      <w:spacing w:after="100"/>
      <w:jc w:val="center"/>
    </w:pPr>
    <w:rPr>
      <w:b/>
      <w:color w:val="0432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>Springer Nature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2023-03-13T10:31:00Z</dcterms:created>
  <dcterms:modified xsi:type="dcterms:W3CDTF">2023-03-13T10:32:00Z</dcterms:modified>
</cp:coreProperties>
</file>