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0AA65" w14:textId="77777777" w:rsidR="004476D3" w:rsidRDefault="004476D3" w:rsidP="004476D3">
      <w:pPr>
        <w:spacing w:line="360" w:lineRule="auto"/>
        <w:rPr>
          <w:rFonts w:ascii="Times New Roman" w:hAnsi="Times New Roman" w:cs="Times New Roman"/>
          <w:sz w:val="24"/>
          <w:szCs w:val="24"/>
        </w:rPr>
      </w:pPr>
      <w:r>
        <w:rPr>
          <w:rFonts w:ascii="Times New Roman" w:hAnsi="Times New Roman" w:cs="Times New Roman"/>
          <w:sz w:val="24"/>
          <w:szCs w:val="24"/>
        </w:rPr>
        <w:t>APPENDIX- 1</w:t>
      </w:r>
    </w:p>
    <w:p w14:paraId="7755A9B3" w14:textId="77777777" w:rsidR="004476D3" w:rsidRDefault="004476D3" w:rsidP="004476D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Birth asphyxia was defined by Apgar score &lt;7 at 1 minute. </w:t>
      </w:r>
      <w:sdt>
        <w:sdtPr>
          <w:rPr>
            <w:rFonts w:ascii="Times New Roman" w:hAnsi="Times New Roman" w:cs="Times New Roman"/>
            <w:bCs/>
            <w:sz w:val="24"/>
            <w:szCs w:val="24"/>
          </w:rPr>
          <w:tag w:val="goog_rdk_8"/>
          <w:id w:val="423925022"/>
        </w:sdtPr>
        <w:sdtContent>
          <w:r>
            <w:rPr>
              <w:rFonts w:ascii="Times New Roman" w:hAnsi="Times New Roman" w:cs="Times New Roman"/>
              <w:bCs/>
              <w:sz w:val="24"/>
              <w:szCs w:val="24"/>
            </w:rPr>
            <w:t>Hemodynamic instability</w:t>
          </w:r>
        </w:sdtContent>
      </w:sdt>
      <w:sdt>
        <w:sdtPr>
          <w:rPr>
            <w:rFonts w:ascii="Times New Roman" w:hAnsi="Times New Roman" w:cs="Times New Roman"/>
            <w:bCs/>
            <w:sz w:val="24"/>
            <w:szCs w:val="24"/>
          </w:rPr>
          <w:tag w:val="goog_rdk_9"/>
          <w:id w:val="-151829715"/>
        </w:sdtPr>
        <w:sdtContent>
          <w:r>
            <w:rPr>
              <w:rFonts w:ascii="Times New Roman" w:hAnsi="Times New Roman" w:cs="Times New Roman"/>
              <w:bCs/>
              <w:sz w:val="24"/>
              <w:szCs w:val="24"/>
            </w:rPr>
            <w:t xml:space="preserve"> </w:t>
          </w:r>
        </w:sdtContent>
      </w:sdt>
      <w:r>
        <w:rPr>
          <w:rFonts w:ascii="Times New Roman" w:hAnsi="Times New Roman" w:cs="Times New Roman"/>
          <w:bCs/>
          <w:sz w:val="24"/>
          <w:szCs w:val="24"/>
        </w:rPr>
        <w:t xml:space="preserve">was defined by presence of any two or more of the parameters- </w:t>
      </w:r>
    </w:p>
    <w:p w14:paraId="2C5C1D08" w14:textId="77777777" w:rsidR="004476D3" w:rsidRDefault="004476D3" w:rsidP="004476D3">
      <w:pPr>
        <w:numPr>
          <w:ilvl w:val="0"/>
          <w:numId w:val="1"/>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CRT (capillary refill time) &gt; 3 seconds </w:t>
      </w:r>
    </w:p>
    <w:p w14:paraId="64D2900C" w14:textId="77777777" w:rsidR="004476D3" w:rsidRDefault="004476D3" w:rsidP="004476D3">
      <w:pPr>
        <w:numPr>
          <w:ilvl w:val="0"/>
          <w:numId w:val="1"/>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Poor peripheral pulses</w:t>
      </w:r>
    </w:p>
    <w:p w14:paraId="7CED1BE2" w14:textId="77777777" w:rsidR="004476D3" w:rsidRDefault="004476D3" w:rsidP="004476D3">
      <w:pPr>
        <w:numPr>
          <w:ilvl w:val="0"/>
          <w:numId w:val="1"/>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Urine output &lt; 0.5 ml/kg/hr over the last 12 hours</w:t>
      </w:r>
    </w:p>
    <w:p w14:paraId="2F53B326" w14:textId="77777777" w:rsidR="004476D3" w:rsidRDefault="004476D3" w:rsidP="004476D3">
      <w:pPr>
        <w:numPr>
          <w:ilvl w:val="0"/>
          <w:numId w:val="1"/>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Presence of hypotension as defined by mean BP less than gestational age in weeks</w:t>
      </w:r>
    </w:p>
    <w:p w14:paraId="390C90FF" w14:textId="77777777" w:rsidR="004476D3" w:rsidRDefault="004476D3" w:rsidP="004476D3">
      <w:pPr>
        <w:numPr>
          <w:ilvl w:val="0"/>
          <w:numId w:val="1"/>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Core peripheral temperature difference &gt;3 degree Celsius as measured by skin temperature probe.</w:t>
      </w:r>
    </w:p>
    <w:p w14:paraId="32235876" w14:textId="77777777" w:rsidR="004476D3" w:rsidRDefault="004476D3" w:rsidP="004476D3">
      <w:pPr>
        <w:numPr>
          <w:ilvl w:val="0"/>
          <w:numId w:val="1"/>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Base excess &gt;-5 and lactate &gt;2 </w:t>
      </w:r>
    </w:p>
    <w:p w14:paraId="110567D5" w14:textId="77777777" w:rsidR="004476D3" w:rsidRDefault="004476D3" w:rsidP="004476D3">
      <w:pPr>
        <w:numPr>
          <w:ilvl w:val="0"/>
          <w:numId w:val="1"/>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Tachycardia &gt;180 beats per minute in the absence of external stimulus, chronic drug intake or painful stimulus or an increase in the HR (heat rate) by 20 bpm or more from the HR which was observed for more than 50% of the time in the histogram over the previous 12 hours.</w:t>
      </w:r>
    </w:p>
    <w:p w14:paraId="176D1C5D" w14:textId="77777777" w:rsidR="004476D3" w:rsidRDefault="004476D3" w:rsidP="004476D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Hemodynamically significant PDA was defined as any PDA which required medical or surgical treatment as per as unit policy.</w:t>
      </w:r>
    </w:p>
    <w:p w14:paraId="4FE5E849" w14:textId="77777777" w:rsidR="004476D3" w:rsidRDefault="004476D3" w:rsidP="004476D3">
      <w:pPr>
        <w:spacing w:line="360" w:lineRule="auto"/>
        <w:rPr>
          <w:rFonts w:ascii="Times New Roman" w:hAnsi="Times New Roman" w:cs="Times New Roman"/>
          <w:sz w:val="24"/>
          <w:szCs w:val="24"/>
        </w:rPr>
      </w:pPr>
    </w:p>
    <w:p w14:paraId="420D23D1" w14:textId="77777777" w:rsidR="004476D3" w:rsidRDefault="004476D3" w:rsidP="004476D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Baseline maternal details, antepartum events, neonatal demographic characteristics and clinical details of the first 72 hol were recorded including weight, length, ponderal index, sex, Apgar scores, mode of delivery, delivery room interventions like delivery room CPAP (continuous positive airway pressure) and resuscitation details if required, delayed cord clamping, cerebroplacental ratio, doppler abnormalities and CRIB II (clinical risk index of babies) scores were recorded. The Ponderal index was calculated as weight (kg)/(length [m])</w:t>
      </w:r>
      <w:r>
        <w:rPr>
          <w:rFonts w:ascii="Times New Roman" w:hAnsi="Times New Roman" w:cs="Times New Roman"/>
          <w:bCs/>
          <w:sz w:val="24"/>
          <w:szCs w:val="24"/>
          <w:vertAlign w:val="superscript"/>
        </w:rPr>
        <w:t>3</w:t>
      </w:r>
      <w:r>
        <w:rPr>
          <w:rFonts w:ascii="Times New Roman" w:hAnsi="Times New Roman" w:cs="Times New Roman"/>
          <w:bCs/>
          <w:sz w:val="24"/>
          <w:szCs w:val="24"/>
        </w:rPr>
        <w:t xml:space="preserve">. Neonates were classified as SGA and AGA as per Fentons chart </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ZOTERO_ITEM CSL_CITATION {"citationID":"BLFGWEIA","properties":{"formattedCitation":"(4)","plainCitation":"(4)","noteIndex":0},"citationItems":[{"id":483,"uris":["http://zotero.org/users/2546963/items/ANVIL5NC"],"itemData":{"id":483,"type":"webpage","abstract":"The Fenton Growth Charts are designed for growth moitoring of preterm infants with birth gestational age less than 37 weeks","container-title":"University of Calgary","language":"en","title":"Home | Welcome to the Fenton Preterm Growth Chart site","URL":"https://www.ucalgary.ca/resource/preterm-growth-chart/preterm-growth-chart","accessed":{"date-parts":[["2021",12,26]]}}}],"schema":"https://github.com/citation-style-language/schema/raw/master/csl-citation.json"} </w:instrText>
      </w:r>
      <w:r>
        <w:rPr>
          <w:rFonts w:ascii="Times New Roman" w:hAnsi="Times New Roman" w:cs="Times New Roman"/>
          <w:bCs/>
          <w:sz w:val="24"/>
          <w:szCs w:val="24"/>
        </w:rPr>
        <w:fldChar w:fldCharType="separate"/>
      </w:r>
      <w:r>
        <w:rPr>
          <w:rFonts w:ascii="Times New Roman" w:hAnsi="Times New Roman" w:cs="Times New Roman"/>
          <w:sz w:val="24"/>
          <w:szCs w:val="24"/>
        </w:rPr>
        <w:t>(4)</w:t>
      </w:r>
      <w:r>
        <w:rPr>
          <w:rFonts w:ascii="Times New Roman" w:hAnsi="Times New Roman" w:cs="Times New Roman"/>
          <w:bCs/>
          <w:sz w:val="24"/>
          <w:szCs w:val="24"/>
        </w:rPr>
        <w:fldChar w:fldCharType="end"/>
      </w:r>
      <w:r>
        <w:rPr>
          <w:rFonts w:ascii="Times New Roman" w:hAnsi="Times New Roman" w:cs="Times New Roman"/>
          <w:bCs/>
          <w:sz w:val="24"/>
          <w:szCs w:val="24"/>
        </w:rPr>
        <w:t>.</w:t>
      </w:r>
    </w:p>
    <w:p w14:paraId="0D23E6F7" w14:textId="77777777" w:rsidR="004476D3" w:rsidRDefault="004476D3" w:rsidP="004476D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Postnatal details like Hb, PCV, need of respiratory support, type of respiratory support with settings, use of surfactant, method of surfactant administration and caffeine, hypoglycaemia, use of phototherapy, use of inotropes, feeding rates, IV fluid rates and daily weights were also recorded.</w:t>
      </w:r>
    </w:p>
    <w:p w14:paraId="356043A2" w14:textId="77777777" w:rsidR="004476D3" w:rsidRDefault="004476D3" w:rsidP="004476D3">
      <w:pPr>
        <w:spacing w:line="360" w:lineRule="auto"/>
        <w:jc w:val="both"/>
        <w:rPr>
          <w:rFonts w:ascii="Times New Roman" w:hAnsi="Times New Roman" w:cs="Times New Roman"/>
          <w:sz w:val="24"/>
          <w:szCs w:val="24"/>
        </w:rPr>
      </w:pPr>
      <w:r>
        <w:rPr>
          <w:rFonts w:ascii="Times New Roman" w:hAnsi="Times New Roman" w:cs="Times New Roman"/>
          <w:bCs/>
          <w:sz w:val="24"/>
          <w:szCs w:val="24"/>
        </w:rPr>
        <w:lastRenderedPageBreak/>
        <w:t xml:space="preserve">           Non-invasive blood pressure (NIBP) measurements were obtained using an appropriate-sized cuff on the right arm with the infant in a quiet state and positioned supine on a cot.  The average values of 2 readings were recorded. The blood pressure was recorded 8 hourly on the same day when cardiac and cerebral hemodynamic parameters were recorded and average of three readings were recorded.</w:t>
      </w:r>
    </w:p>
    <w:p w14:paraId="490F76A4" w14:textId="77777777" w:rsidR="004476D3" w:rsidRDefault="004476D3" w:rsidP="004476D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Doppler interrogation of the right MCA and ACA was done by placing the transducer over the right temple with an angle of insonation of &lt;10 degrees. </w:t>
      </w:r>
      <w:sdt>
        <w:sdtPr>
          <w:rPr>
            <w:rFonts w:ascii="Times New Roman" w:hAnsi="Times New Roman" w:cs="Times New Roman"/>
            <w:bCs/>
            <w:sz w:val="24"/>
            <w:szCs w:val="24"/>
          </w:rPr>
          <w:tag w:val="goog_rdk_54"/>
          <w:id w:val="-2065784601"/>
        </w:sdtPr>
        <w:sdtContent>
          <w:r>
            <w:rPr>
              <w:rFonts w:ascii="Times New Roman" w:hAnsi="Times New Roman" w:cs="Times New Roman"/>
              <w:bCs/>
              <w:sz w:val="24"/>
              <w:szCs w:val="24"/>
            </w:rPr>
            <w:t>PI w</w:t>
          </w:r>
        </w:sdtContent>
      </w:sdt>
      <w:r>
        <w:rPr>
          <w:rFonts w:ascii="Times New Roman" w:hAnsi="Times New Roman" w:cs="Times New Roman"/>
          <w:bCs/>
          <w:sz w:val="24"/>
          <w:szCs w:val="24"/>
        </w:rPr>
        <w:t xml:space="preserve">as </w:t>
      </w:r>
      <w:sdt>
        <w:sdtPr>
          <w:rPr>
            <w:rFonts w:ascii="Times New Roman" w:hAnsi="Times New Roman" w:cs="Times New Roman"/>
            <w:bCs/>
            <w:sz w:val="24"/>
            <w:szCs w:val="24"/>
          </w:rPr>
          <w:tag w:val="goog_rdk_55"/>
          <w:id w:val="841748501"/>
        </w:sdtPr>
        <w:sdtContent>
          <w:r>
            <w:rPr>
              <w:rFonts w:ascii="Times New Roman" w:hAnsi="Times New Roman" w:cs="Times New Roman"/>
              <w:bCs/>
              <w:sz w:val="24"/>
              <w:szCs w:val="24"/>
            </w:rPr>
            <w:t>calculated as (</w:t>
          </w:r>
        </w:sdtContent>
      </w:sdt>
      <w:r>
        <w:rPr>
          <w:rFonts w:ascii="Times New Roman" w:hAnsi="Times New Roman" w:cs="Times New Roman"/>
          <w:bCs/>
          <w:sz w:val="24"/>
          <w:szCs w:val="24"/>
        </w:rPr>
        <w:t xml:space="preserve">peak systolic flow velocity - end-diastolic flow velocity)/time averaged flow velocity </w:t>
      </w:r>
      <w:sdt>
        <w:sdtPr>
          <w:rPr>
            <w:rFonts w:ascii="Times New Roman" w:hAnsi="Times New Roman" w:cs="Times New Roman"/>
            <w:bCs/>
            <w:sz w:val="24"/>
            <w:szCs w:val="24"/>
          </w:rPr>
          <w:tag w:val="goog_rdk_56"/>
          <w:id w:val="949051427"/>
        </w:sdtPr>
        <w:sdtContent>
          <w:r>
            <w:rPr>
              <w:rFonts w:ascii="Times New Roman" w:hAnsi="Times New Roman" w:cs="Times New Roman"/>
              <w:bCs/>
              <w:sz w:val="24"/>
              <w:szCs w:val="24"/>
            </w:rPr>
            <w:t>and</w:t>
          </w:r>
        </w:sdtContent>
      </w:sdt>
      <w:r>
        <w:rPr>
          <w:rFonts w:ascii="Times New Roman" w:hAnsi="Times New Roman" w:cs="Times New Roman"/>
          <w:bCs/>
          <w:sz w:val="24"/>
          <w:szCs w:val="24"/>
        </w:rPr>
        <w:t xml:space="preserve"> </w:t>
      </w:r>
      <w:sdt>
        <w:sdtPr>
          <w:rPr>
            <w:rFonts w:ascii="Times New Roman" w:hAnsi="Times New Roman" w:cs="Times New Roman"/>
            <w:bCs/>
            <w:sz w:val="24"/>
            <w:szCs w:val="24"/>
          </w:rPr>
          <w:tag w:val="goog_rdk_57"/>
          <w:id w:val="1779602326"/>
        </w:sdtPr>
        <w:sdtContent>
          <w:r>
            <w:rPr>
              <w:rFonts w:ascii="Times New Roman" w:hAnsi="Times New Roman" w:cs="Times New Roman"/>
              <w:bCs/>
              <w:sz w:val="24"/>
              <w:szCs w:val="24"/>
            </w:rPr>
            <w:t>RI was calculated as</w:t>
          </w:r>
        </w:sdtContent>
      </w:sdt>
      <w:r>
        <w:rPr>
          <w:rFonts w:ascii="Times New Roman" w:hAnsi="Times New Roman" w:cs="Times New Roman"/>
          <w:bCs/>
          <w:sz w:val="24"/>
          <w:szCs w:val="24"/>
        </w:rPr>
        <w:t xml:space="preserve"> </w:t>
      </w:r>
      <w:sdt>
        <w:sdtPr>
          <w:rPr>
            <w:rFonts w:ascii="Times New Roman" w:hAnsi="Times New Roman" w:cs="Times New Roman"/>
            <w:bCs/>
            <w:sz w:val="24"/>
            <w:szCs w:val="24"/>
          </w:rPr>
          <w:tag w:val="goog_rdk_58"/>
          <w:id w:val="874041833"/>
        </w:sdtPr>
        <w:sdtContent>
          <w:r>
            <w:rPr>
              <w:rFonts w:ascii="Times New Roman" w:hAnsi="Times New Roman" w:cs="Times New Roman"/>
              <w:bCs/>
              <w:sz w:val="24"/>
              <w:szCs w:val="24"/>
            </w:rPr>
            <w:t>(</w:t>
          </w:r>
        </w:sdtContent>
      </w:sdt>
      <w:r>
        <w:rPr>
          <w:rFonts w:ascii="Times New Roman" w:hAnsi="Times New Roman" w:cs="Times New Roman"/>
          <w:bCs/>
          <w:sz w:val="24"/>
          <w:szCs w:val="24"/>
        </w:rPr>
        <w:t>peak systolic flow velocity - end-diastolic flow velocity)/peak systolic flow velocity] of the cerebral arteries</w:t>
      </w:r>
      <w:sdt>
        <w:sdtPr>
          <w:rPr>
            <w:rFonts w:ascii="Times New Roman" w:hAnsi="Times New Roman" w:cs="Times New Roman"/>
            <w:bCs/>
            <w:sz w:val="24"/>
            <w:szCs w:val="24"/>
          </w:rPr>
          <w:tag w:val="goog_rdk_59"/>
          <w:id w:val="851760853"/>
        </w:sdtPr>
        <w:sdtContent>
          <w:r>
            <w:rPr>
              <w:rFonts w:ascii="Times New Roman" w:hAnsi="Times New Roman" w:cs="Times New Roman"/>
              <w:bCs/>
              <w:sz w:val="24"/>
              <w:szCs w:val="24"/>
            </w:rPr>
            <w:t>.</w:t>
          </w:r>
          <w:bookmarkStart w:id="0" w:name="_Hlk99310307"/>
        </w:sdtContent>
      </w:sdt>
      <w:r>
        <w:rPr>
          <w:rFonts w:ascii="Times New Roman" w:hAnsi="Times New Roman" w:cs="Times New Roman"/>
          <w:bCs/>
          <w:sz w:val="24"/>
          <w:szCs w:val="24"/>
        </w:rPr>
        <w:t xml:space="preserve"> </w:t>
      </w:r>
      <w:sdt>
        <w:sdtPr>
          <w:rPr>
            <w:rFonts w:ascii="Times New Roman" w:hAnsi="Times New Roman" w:cs="Times New Roman"/>
            <w:bCs/>
            <w:sz w:val="24"/>
            <w:szCs w:val="24"/>
          </w:rPr>
          <w:tag w:val="goog_rdk_60"/>
          <w:id w:val="361558902"/>
        </w:sdtPr>
        <w:sdtContent>
          <w:r>
            <w:rPr>
              <w:rFonts w:ascii="Times New Roman" w:hAnsi="Times New Roman" w:cs="Times New Roman"/>
              <w:bCs/>
              <w:sz w:val="24"/>
              <w:szCs w:val="24"/>
            </w:rPr>
            <w:t>Presence of IVH</w:t>
          </w:r>
        </w:sdtContent>
      </w:sdt>
      <w:r>
        <w:rPr>
          <w:rFonts w:ascii="Times New Roman" w:hAnsi="Times New Roman" w:cs="Times New Roman"/>
          <w:bCs/>
          <w:sz w:val="24"/>
          <w:szCs w:val="24"/>
        </w:rPr>
        <w:t xml:space="preserve"> and gra</w:t>
      </w:r>
      <w:sdt>
        <w:sdtPr>
          <w:rPr>
            <w:rFonts w:ascii="Times New Roman" w:hAnsi="Times New Roman" w:cs="Times New Roman"/>
            <w:bCs/>
            <w:sz w:val="24"/>
            <w:szCs w:val="24"/>
          </w:rPr>
          <w:tag w:val="goog_rdk_61"/>
          <w:id w:val="1521436564"/>
        </w:sdtPr>
        <w:sdtContent>
          <w:r>
            <w:rPr>
              <w:rFonts w:ascii="Times New Roman" w:hAnsi="Times New Roman" w:cs="Times New Roman"/>
              <w:bCs/>
              <w:sz w:val="24"/>
              <w:szCs w:val="24"/>
            </w:rPr>
            <w:t>de of IVH w</w:t>
          </w:r>
        </w:sdtContent>
      </w:sdt>
      <w:r>
        <w:rPr>
          <w:rFonts w:ascii="Times New Roman" w:hAnsi="Times New Roman" w:cs="Times New Roman"/>
          <w:bCs/>
          <w:sz w:val="24"/>
          <w:szCs w:val="24"/>
        </w:rPr>
        <w:t>as</w:t>
      </w:r>
      <w:sdt>
        <w:sdtPr>
          <w:rPr>
            <w:rFonts w:ascii="Times New Roman" w:hAnsi="Times New Roman" w:cs="Times New Roman"/>
            <w:bCs/>
            <w:sz w:val="24"/>
            <w:szCs w:val="24"/>
          </w:rPr>
          <w:tag w:val="goog_rdk_62"/>
          <w:id w:val="1168364963"/>
        </w:sdtPr>
        <w:sdtContent>
          <w:r>
            <w:rPr>
              <w:rFonts w:ascii="Times New Roman" w:hAnsi="Times New Roman" w:cs="Times New Roman"/>
              <w:bCs/>
              <w:sz w:val="24"/>
              <w:szCs w:val="24"/>
            </w:rPr>
            <w:t xml:space="preserve"> also noted</w:t>
          </w:r>
        </w:sdtContent>
      </w:sdt>
      <w:r>
        <w:rPr>
          <w:rFonts w:ascii="Times New Roman" w:hAnsi="Times New Roman" w:cs="Times New Roman"/>
          <w:bCs/>
          <w:sz w:val="24"/>
          <w:szCs w:val="24"/>
        </w:rPr>
        <w:t>.</w:t>
      </w:r>
      <w:bookmarkEnd w:id="0"/>
      <w:r>
        <w:rPr>
          <w:rFonts w:ascii="Times New Roman" w:hAnsi="Times New Roman" w:cs="Times New Roman"/>
          <w:bCs/>
          <w:sz w:val="24"/>
          <w:szCs w:val="24"/>
        </w:rPr>
        <w:t xml:space="preserve"> </w:t>
      </w:r>
      <w:sdt>
        <w:sdtPr>
          <w:rPr>
            <w:rFonts w:ascii="Times New Roman" w:hAnsi="Times New Roman" w:cs="Times New Roman"/>
            <w:bCs/>
            <w:sz w:val="24"/>
            <w:szCs w:val="24"/>
          </w:rPr>
          <w:tag w:val="goog_rdk_63"/>
          <w:id w:val="1281225513"/>
        </w:sdtPr>
        <w:sdtContent>
          <w:sdt>
            <w:sdtPr>
              <w:rPr>
                <w:rFonts w:ascii="Times New Roman" w:hAnsi="Times New Roman" w:cs="Times New Roman"/>
                <w:bCs/>
                <w:sz w:val="24"/>
                <w:szCs w:val="24"/>
              </w:rPr>
              <w:tag w:val="goog_rdk_64"/>
              <w:id w:val="812448702"/>
            </w:sdtPr>
            <w:sdtContent>
              <w:r>
                <w:rPr>
                  <w:rFonts w:ascii="Times New Roman" w:hAnsi="Times New Roman" w:cs="Times New Roman"/>
                  <w:bCs/>
                  <w:sz w:val="24"/>
                  <w:szCs w:val="24"/>
                </w:rPr>
                <w:t xml:space="preserve">The </w:t>
              </w:r>
            </w:sdtContent>
          </w:sdt>
          <w:r>
            <w:rPr>
              <w:rFonts w:ascii="Times New Roman" w:hAnsi="Times New Roman" w:cs="Times New Roman"/>
              <w:bCs/>
              <w:sz w:val="24"/>
              <w:szCs w:val="24"/>
            </w:rPr>
            <w:t xml:space="preserve">head </w:t>
          </w:r>
          <w:sdt>
            <w:sdtPr>
              <w:rPr>
                <w:rFonts w:ascii="Times New Roman" w:hAnsi="Times New Roman" w:cs="Times New Roman"/>
                <w:bCs/>
                <w:sz w:val="24"/>
                <w:szCs w:val="24"/>
              </w:rPr>
              <w:tag w:val="goog_rdk_65"/>
              <w:id w:val="97534998"/>
            </w:sdtPr>
            <w:sdtContent>
              <w:r>
                <w:rPr>
                  <w:rFonts w:ascii="Times New Roman" w:hAnsi="Times New Roman" w:cs="Times New Roman"/>
                  <w:bCs/>
                  <w:sz w:val="24"/>
                  <w:szCs w:val="24"/>
                </w:rPr>
                <w:t>examination w</w:t>
              </w:r>
            </w:sdtContent>
          </w:sdt>
        </w:sdtContent>
      </w:sdt>
      <w:r>
        <w:rPr>
          <w:rFonts w:ascii="Times New Roman" w:hAnsi="Times New Roman" w:cs="Times New Roman"/>
          <w:bCs/>
          <w:sz w:val="24"/>
          <w:szCs w:val="24"/>
        </w:rPr>
        <w:t>as</w:t>
      </w:r>
      <w:sdt>
        <w:sdtPr>
          <w:rPr>
            <w:rFonts w:ascii="Times New Roman" w:hAnsi="Times New Roman" w:cs="Times New Roman"/>
            <w:bCs/>
            <w:sz w:val="24"/>
            <w:szCs w:val="24"/>
          </w:rPr>
          <w:tag w:val="goog_rdk_66"/>
          <w:id w:val="1682930704"/>
        </w:sdtPr>
        <w:sdtContent>
          <w:sdt>
            <w:sdtPr>
              <w:rPr>
                <w:rFonts w:ascii="Times New Roman" w:hAnsi="Times New Roman" w:cs="Times New Roman"/>
                <w:bCs/>
                <w:sz w:val="24"/>
                <w:szCs w:val="24"/>
              </w:rPr>
              <w:tag w:val="goog_rdk_67"/>
              <w:id w:val="-586607027"/>
            </w:sdtPr>
            <w:sdtContent>
              <w:r>
                <w:rPr>
                  <w:rFonts w:ascii="Times New Roman" w:hAnsi="Times New Roman" w:cs="Times New Roman"/>
                  <w:bCs/>
                  <w:sz w:val="24"/>
                  <w:szCs w:val="24"/>
                </w:rPr>
                <w:t xml:space="preserve"> carried out in the supine position</w:t>
              </w:r>
            </w:sdtContent>
          </w:sdt>
          <w:r>
            <w:rPr>
              <w:rFonts w:ascii="Times New Roman" w:hAnsi="Times New Roman" w:cs="Times New Roman"/>
              <w:bCs/>
              <w:sz w:val="24"/>
              <w:szCs w:val="24"/>
            </w:rPr>
            <w:t xml:space="preserve"> with head in the midline position and newborn kept at rest or reduced motor activity. </w:t>
          </w:r>
          <w:sdt>
            <w:sdtPr>
              <w:rPr>
                <w:rFonts w:ascii="Times New Roman" w:hAnsi="Times New Roman" w:cs="Times New Roman"/>
                <w:bCs/>
                <w:sz w:val="24"/>
                <w:szCs w:val="24"/>
              </w:rPr>
              <w:tag w:val="goog_rdk_68"/>
              <w:id w:val="-625466982"/>
            </w:sdtPr>
            <w:sdtContent>
              <w:r>
                <w:rPr>
                  <w:rFonts w:ascii="Times New Roman" w:hAnsi="Times New Roman" w:cs="Times New Roman"/>
                  <w:bCs/>
                  <w:sz w:val="24"/>
                  <w:szCs w:val="24"/>
                </w:rPr>
                <w:t xml:space="preserve">The pericallosal artery, a branch of the anterior cerebral artery, adjacent to the knee of the corpus callosum was evaluated. This artery was chosen because it is widely used in scientific studies for similar tests, as well as its easy access through the anterior fontanelle  </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ZOTERO_ITEM CSL_CITATION {"citationID":"BoYR4eTr","properties":{"formattedCitation":"(11)","plainCitation":"(11)","noteIndex":0},"citationItems":[{"id":514,"uris":["http://zotero.org/users/2546963/items/UZ5MXEDB"],"itemData":{"id":514,"type":"article-journal","abstract":"Cranial ultrasound (CUS) is a reputable tool for brain imaging in critically ill neonates. It is safe, relatively cheap and easy to use, even when a patient is unstable. In addition it is radiation-free and allows serial imaging. CUS possibilities have steadily expanded. However, in many neonatal intensive care units, these possibilities are not optimally used. We present a comprehensive approach for neonatal CUS, focusing on optimal settings, different probes, multiple acoustic windows and Doppler techniques. This approach is suited for both routine clinical practice and research purposes. In a live demonstration, we show how this technique is performed in the neonatal intensive care unit. Using optimal settings and probes allows for better imaging quality and improves the diagnostic value of CUS in experienced hands. Traditionally, images are obtained through the anterior fontanel. Use of supplemental acoustic windows (lambdoid, mastoid, and lateral fontanels) improves detection of brain injury. Adding Doppler studies allows screening of patency of large intracranial arteries and veins. Flow velocities and indices can be obtained. Doppler CUS offers the possibility of detecting cerebral sinovenous thrombosis at an early stage, creating a window for therapeutic intervention prior to thrombosis-induced tissue damage. Equipment, data storage and safety aspects are also addressed.","container-title":"Journal of Visualized Experiments : JoVE","DOI":"10.3791/52238","ISSN":"1940-087X","issue":"96","journalAbbreviation":"J Vis Exp","note":"PMID: 25742241\nPMCID: PMC4354604","page":"52238","source":"PubMed Central","title":"State of the Art Cranial Ultrasound Imaging in Neonates","author":[{"family":"Ecury-Goossen","given":"Ginette M."},{"family":"Camfferman","given":"Fleur A."},{"family":"Leijser","given":"Lara M."},{"family":"Govaert","given":"Paul"},{"family":"Dudink","given":"Jeroen"}],"issued":{"date-parts":[["2015",2,2]]}}}],"schema":"https://github.com/citation-style-language/schema/raw/master/csl-citation.json"} </w:instrText>
              </w:r>
              <w:r>
                <w:rPr>
                  <w:rFonts w:ascii="Times New Roman" w:hAnsi="Times New Roman" w:cs="Times New Roman"/>
                  <w:bCs/>
                  <w:sz w:val="24"/>
                  <w:szCs w:val="24"/>
                </w:rPr>
                <w:fldChar w:fldCharType="separate"/>
              </w:r>
              <w:r>
                <w:rPr>
                  <w:rFonts w:ascii="Times New Roman" w:hAnsi="Times New Roman" w:cs="Times New Roman"/>
                  <w:sz w:val="24"/>
                  <w:szCs w:val="24"/>
                </w:rPr>
                <w:t>(11)</w:t>
              </w:r>
              <w:r>
                <w:rPr>
                  <w:rFonts w:ascii="Times New Roman" w:hAnsi="Times New Roman" w:cs="Times New Roman"/>
                  <w:bCs/>
                  <w:sz w:val="24"/>
                  <w:szCs w:val="24"/>
                </w:rPr>
                <w:fldChar w:fldCharType="end"/>
              </w:r>
              <w:r>
                <w:rPr>
                  <w:rFonts w:ascii="Times New Roman" w:hAnsi="Times New Roman" w:cs="Times New Roman"/>
                  <w:bCs/>
                  <w:sz w:val="24"/>
                  <w:szCs w:val="24"/>
                </w:rPr>
                <w:t>.</w:t>
              </w:r>
            </w:sdtContent>
          </w:sdt>
        </w:sdtContent>
      </w:sdt>
    </w:p>
    <w:p w14:paraId="714754C8" w14:textId="77777777" w:rsidR="004476D3" w:rsidRDefault="004476D3" w:rsidP="004476D3">
      <w:pPr>
        <w:spacing w:line="360" w:lineRule="auto"/>
        <w:jc w:val="both"/>
        <w:rPr>
          <w:rFonts w:ascii="Times New Roman" w:hAnsi="Times New Roman" w:cs="Times New Roman"/>
          <w:sz w:val="24"/>
          <w:szCs w:val="24"/>
        </w:rPr>
      </w:pPr>
      <w:r>
        <w:rPr>
          <w:rFonts w:ascii="Times New Roman" w:hAnsi="Times New Roman" w:cs="Times New Roman"/>
          <w:sz w:val="24"/>
          <w:szCs w:val="24"/>
        </w:rPr>
        <w:t>Cardiac indices of left ventricular output and aortic stroke volume were calculated as -</w:t>
      </w:r>
    </w:p>
    <w:p w14:paraId="588C6960" w14:textId="77777777" w:rsidR="004476D3" w:rsidRDefault="004476D3" w:rsidP="004476D3">
      <w:pPr>
        <w:spacing w:line="360" w:lineRule="auto"/>
        <w:jc w:val="both"/>
        <w:rPr>
          <w:rFonts w:ascii="Times New Roman" w:hAnsi="Times New Roman" w:cs="Times New Roman"/>
          <w:sz w:val="24"/>
          <w:szCs w:val="24"/>
        </w:rPr>
      </w:pPr>
      <w:r>
        <w:rPr>
          <w:rFonts w:ascii="Times New Roman" w:hAnsi="Times New Roman" w:cs="Times New Roman"/>
          <w:sz w:val="24"/>
          <w:szCs w:val="24"/>
        </w:rPr>
        <w:t>LVO (Left ventricle output) was measured from an apical 5 chamber view by putting pulse wave interrogation at the LVOT (left ventricular outflow tract). Ventricular output was calculated as follows: [(VTI) x (heart rate) x (cross-sectional area)] indexed to body weight. Left ventricular outflow diameter was measured in the long axis parasternal view at the valve hinge points in late systole using the B mode echocardiography. Aortic stroke volume was calculated as cardiac output/ heart rate. Primary investigator was trained in echocardiography for 30 days at a tertiary care children heart hospital and the images were reviewed by pediatric cardiologist and senior project guides on weekly basis for quality assurance.</w:t>
      </w:r>
    </w:p>
    <w:p w14:paraId="0C2C14AA" w14:textId="77777777" w:rsidR="00B01069" w:rsidRDefault="00B01069"/>
    <w:sectPr w:rsidR="00B010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E3F37"/>
    <w:multiLevelType w:val="multilevel"/>
    <w:tmpl w:val="B6C4024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7105689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B0F"/>
    <w:rsid w:val="00212B0F"/>
    <w:rsid w:val="004476D3"/>
    <w:rsid w:val="00B0106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AE620A-94AB-4BA2-A071-83C6BDB94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6D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9957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1041</Words>
  <Characters>5936</Characters>
  <Application>Microsoft Office Word</Application>
  <DocSecurity>0</DocSecurity>
  <Lines>49</Lines>
  <Paragraphs>13</Paragraphs>
  <ScaleCrop>false</ScaleCrop>
  <Company/>
  <LinksUpToDate>false</LinksUpToDate>
  <CharactersWithSpaces>6964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Priyanka Gupta</dc:creator>
  <cp:keywords/>
  <dc:description/>
  <cp:lastModifiedBy>Priyanka Gupta</cp:lastModifiedBy>
  <cp:revision>2</cp:revision>
  <dcterms:created xsi:type="dcterms:W3CDTF">2022-08-07T17:18:00Z</dcterms:created>
  <dcterms:modified xsi:type="dcterms:W3CDTF">2022-08-07T17:18:00Z</dcterms:modified>
</cp:coreProperties>
</file>