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7E15AD" w14:textId="77777777" w:rsidR="000F4DF7" w:rsidRPr="00A9638C" w:rsidRDefault="000F4DF7" w:rsidP="000F4DF7">
      <w:pPr>
        <w:spacing w:line="240" w:lineRule="auto"/>
        <w:jc w:val="both"/>
        <w:rPr>
          <w:rFonts w:ascii="Times New Roman" w:hAnsi="Times New Roman" w:cs="Times New Roman"/>
          <w:b/>
          <w:sz w:val="20"/>
          <w:szCs w:val="20"/>
          <w:u w:val="single"/>
          <w:shd w:val="clear" w:color="auto" w:fill="FFFFFF"/>
        </w:rPr>
      </w:pPr>
      <w:r w:rsidRPr="00A9638C">
        <w:rPr>
          <w:rFonts w:ascii="Times New Roman" w:hAnsi="Times New Roman" w:cs="Times New Roman"/>
          <w:b/>
          <w:sz w:val="20"/>
          <w:szCs w:val="20"/>
          <w:u w:val="single"/>
          <w:shd w:val="clear" w:color="auto" w:fill="FFFFFF"/>
        </w:rPr>
        <w:t>Appendix</w:t>
      </w:r>
    </w:p>
    <w:p w14:paraId="7B125181"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An individual responds with ‘YES’ answer, if the utility from the additional forest conservation measure (U</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 is larger than or equal to the utility compared to status-quo position (U</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xml:space="preserve">); and ‘NO’, otherwise. </w:t>
      </w:r>
    </w:p>
    <w:p w14:paraId="08CDC2E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So if, (U</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 xml:space="preserve"> - U</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xml:space="preserve">) ≥ 0, the individual will accept the proposed bid.                             </w:t>
      </w:r>
      <w:r w:rsidRPr="00A9638C">
        <w:rPr>
          <w:rFonts w:ascii="Times New Roman" w:hAnsi="Times New Roman" w:cs="Times New Roman"/>
          <w:sz w:val="20"/>
          <w:szCs w:val="20"/>
        </w:rPr>
        <w:tab/>
      </w:r>
      <w:r w:rsidRPr="00A9638C">
        <w:rPr>
          <w:rFonts w:ascii="Times New Roman" w:hAnsi="Times New Roman" w:cs="Times New Roman"/>
          <w:sz w:val="20"/>
          <w:szCs w:val="20"/>
        </w:rPr>
        <w:tab/>
      </w:r>
    </w:p>
    <w:p w14:paraId="58BA7693"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The utility difference is not directly observable. Even if the utility, U, of the individual is not directly observable, its determinants are observable. Under the two different scenarios, one with the acceptance and other with the rejection of the bid, the following specification of the utility function can be put forward:</w:t>
      </w:r>
    </w:p>
    <w:p w14:paraId="0463C5C4"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U</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(1, I-C; S) = V(1, I-C; S) + e</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ab/>
      </w:r>
      <w:r w:rsidRPr="00A9638C">
        <w:rPr>
          <w:rFonts w:ascii="Times New Roman" w:hAnsi="Times New Roman" w:cs="Times New Roman"/>
          <w:sz w:val="20"/>
          <w:szCs w:val="20"/>
        </w:rPr>
        <w:tab/>
      </w:r>
      <w:r w:rsidRPr="00A9638C">
        <w:rPr>
          <w:rFonts w:ascii="Times New Roman" w:hAnsi="Times New Roman" w:cs="Times New Roman"/>
          <w:sz w:val="20"/>
          <w:szCs w:val="20"/>
        </w:rPr>
        <w:tab/>
      </w:r>
    </w:p>
    <w:p w14:paraId="02A693F3"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U</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(0, I; S) = V(0, I; S) + e</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ab/>
      </w:r>
      <w:r w:rsidRPr="00A9638C">
        <w:rPr>
          <w:rFonts w:ascii="Times New Roman" w:hAnsi="Times New Roman" w:cs="Times New Roman"/>
          <w:sz w:val="20"/>
          <w:szCs w:val="20"/>
        </w:rPr>
        <w:tab/>
      </w:r>
    </w:p>
    <w:p w14:paraId="4B86770A"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The above functions are respectively the utility of the individual when accepting the bid and the reduced income after paying the bid amount C, and the utility of the individual without accepting the bid but with the bid amount C left in hand. I = total income; 1= acceptance of the bid; 0 = rejection of the bid; S = other socio-economic features; e = random error component due to the limited knowledge of the utility model of the individual by the analyst. </w:t>
      </w:r>
    </w:p>
    <w:p w14:paraId="0091A97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The utility difference becomes</w:t>
      </w:r>
    </w:p>
    <w:p w14:paraId="6F1EAA6B"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(U</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-U</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 V(1, I-C; S) – V(0, I; S) – (e</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xml:space="preserve"> – e</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 xml:space="preserve">)                                                </w:t>
      </w:r>
      <w:r w:rsidRPr="00A9638C">
        <w:rPr>
          <w:rFonts w:ascii="Times New Roman" w:hAnsi="Times New Roman" w:cs="Times New Roman"/>
          <w:sz w:val="20"/>
          <w:szCs w:val="20"/>
        </w:rPr>
        <w:tab/>
      </w:r>
      <w:r w:rsidRPr="00A9638C">
        <w:rPr>
          <w:rFonts w:ascii="Times New Roman" w:hAnsi="Times New Roman" w:cs="Times New Roman"/>
          <w:sz w:val="20"/>
          <w:szCs w:val="20"/>
        </w:rPr>
        <w:tab/>
      </w:r>
    </w:p>
    <w:p w14:paraId="067CBE91"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 Suppose, (U</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-U</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 ΔU, (e</w:t>
      </w:r>
      <w:r w:rsidRPr="00A9638C">
        <w:rPr>
          <w:rFonts w:ascii="Times New Roman" w:hAnsi="Times New Roman" w:cs="Times New Roman"/>
          <w:sz w:val="20"/>
          <w:szCs w:val="20"/>
          <w:vertAlign w:val="subscript"/>
        </w:rPr>
        <w:t>0</w:t>
      </w:r>
      <w:r w:rsidRPr="00A9638C">
        <w:rPr>
          <w:rFonts w:ascii="Times New Roman" w:hAnsi="Times New Roman" w:cs="Times New Roman"/>
          <w:sz w:val="20"/>
          <w:szCs w:val="20"/>
        </w:rPr>
        <w:t xml:space="preserve"> – e</w:t>
      </w:r>
      <w:r w:rsidRPr="00A9638C">
        <w:rPr>
          <w:rFonts w:ascii="Times New Roman" w:hAnsi="Times New Roman" w:cs="Times New Roman"/>
          <w:sz w:val="20"/>
          <w:szCs w:val="20"/>
          <w:vertAlign w:val="subscript"/>
        </w:rPr>
        <w:t>1</w:t>
      </w:r>
      <w:r w:rsidRPr="00A9638C">
        <w:rPr>
          <w:rFonts w:ascii="Times New Roman" w:hAnsi="Times New Roman" w:cs="Times New Roman"/>
          <w:sz w:val="20"/>
          <w:szCs w:val="20"/>
        </w:rPr>
        <w:t>) = e and [V(1, I-C; S) – V(0, I; S)] = ΔV</w:t>
      </w:r>
    </w:p>
    <w:p w14:paraId="7AA76AB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So, ΔU = ΔV- e                                                                                                        </w:t>
      </w:r>
      <w:r w:rsidRPr="00A9638C">
        <w:rPr>
          <w:rFonts w:ascii="Times New Roman" w:hAnsi="Times New Roman" w:cs="Times New Roman"/>
          <w:sz w:val="20"/>
          <w:szCs w:val="20"/>
        </w:rPr>
        <w:tab/>
      </w:r>
    </w:p>
    <w:p w14:paraId="03B59E24"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If, ΔV ≥ e → acceptance of the bid; otherwise rejection                                                                             </w:t>
      </w:r>
    </w:p>
    <w:p w14:paraId="69806C4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Given the random nature of the component ‘e’, it is possible to model the individual choice in a probabilistic framework. The probability that the individual agrees to accept the bid is therefore,</w:t>
      </w:r>
    </w:p>
    <w:p w14:paraId="7EC67ECF"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P(accept C) = P (Y=1) = P(e ≤ ΔV) = F(ΔV)</w:t>
      </w:r>
    </w:p>
    <w:p w14:paraId="1FFBD30C"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Where Y is the observed dichotomous variable, acceptance = 1, refusal = 0.</w:t>
      </w:r>
    </w:p>
    <w:p w14:paraId="1ADC32FA"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Given an utility function, the larger the observable component of the utility difference, ΔV, the greater is the likelihood that the random variable ‘e’ will be smaller than ΔV, implying therefore, a greater likelihood of the payment for conservation. The probability of the (continuous) random variable e being smaller or equal to a given value ΔV is expressed by its distribution function F(ΔV).</w:t>
      </w:r>
    </w:p>
    <w:p w14:paraId="0C9C5C77"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Assuming that the random variable ‘e’ follows a logistic probability distribution we can write,</w:t>
      </w:r>
    </w:p>
    <w:p w14:paraId="65940B2F"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P(accept C) =  F(ΔV) = 1 / [1 + exp(-ΔV)] </w:t>
      </w:r>
    </w:p>
    <w:p w14:paraId="7B7DEEA0"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The probability of acceptance, given a bid, is the probability of individual WTP ≥ C. Therefore we can write,</w:t>
      </w:r>
    </w:p>
    <w:p w14:paraId="29386730"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P(accept C) =  P(WTP &gt; C) = 1 / [1 + exp(-ΔV)], and</w:t>
      </w:r>
    </w:p>
    <w:p w14:paraId="73DB680A"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P(WTP ≤ C) = G(C) = 1 - 1 / [1 + exp(-ΔV)]  </w:t>
      </w:r>
    </w:p>
    <w:p w14:paraId="43332C09"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Where G(C) is the probability distribution of the WTP.</w:t>
      </w:r>
    </w:p>
    <w:p w14:paraId="1D2D3E6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The mean of the WTP distribution is commonly assumed to be indicators of the individual WTP.</w:t>
      </w:r>
    </w:p>
    <w:p w14:paraId="6BBF7C75"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The mean of the maximum WTP can be calculated using the formula that relates the mean of a random variable to its probability distribution which is as follows:</w:t>
      </w:r>
    </w:p>
    <w:p w14:paraId="2C16978E" w14:textId="77777777" w:rsidR="000F4DF7" w:rsidRPr="00A9638C" w:rsidRDefault="000F4DF7" w:rsidP="000F4DF7">
      <w:pPr>
        <w:spacing w:line="240" w:lineRule="auto"/>
        <w:jc w:val="both"/>
        <w:rPr>
          <w:rFonts w:ascii="Times New Roman" w:hAnsi="Times New Roman" w:cs="Times New Roman"/>
          <w:sz w:val="20"/>
          <w:szCs w:val="20"/>
        </w:rPr>
      </w:pPr>
      <w:r w:rsidRPr="00A9638C">
        <w:rPr>
          <w:rFonts w:ascii="Times New Roman" w:hAnsi="Times New Roman" w:cs="Times New Roman"/>
          <w:sz w:val="20"/>
          <w:szCs w:val="20"/>
        </w:rPr>
        <w:t xml:space="preserve">E(WTP) = </w:t>
      </w:r>
      <m:oMath>
        <m:nary>
          <m:naryPr>
            <m:limLoc m:val="subSup"/>
            <m:ctrlPr>
              <w:rPr>
                <w:rFonts w:ascii="Cambria Math" w:hAnsi="Times New Roman" w:cs="Times New Roman"/>
                <w:i/>
                <w:sz w:val="20"/>
                <w:szCs w:val="20"/>
              </w:rPr>
            </m:ctrlPr>
          </m:naryPr>
          <m:sub>
            <m:r>
              <w:rPr>
                <w:rFonts w:ascii="Cambria Math" w:hAnsi="Times New Roman" w:cs="Times New Roman"/>
                <w:sz w:val="20"/>
                <w:szCs w:val="20"/>
              </w:rPr>
              <m:t>0</m:t>
            </m:r>
          </m:sub>
          <m:sup>
            <m:r>
              <w:rPr>
                <w:rFonts w:ascii="Times New Roman" w:hAnsi="Times New Roman" w:cs="Times New Roman"/>
                <w:sz w:val="20"/>
                <w:szCs w:val="20"/>
              </w:rPr>
              <m:t>∞</m:t>
            </m:r>
          </m:sup>
          <m:e>
            <m:d>
              <m:dPr>
                <m:begChr m:val="["/>
                <m:endChr m:val="]"/>
                <m:ctrlPr>
                  <w:rPr>
                    <w:rFonts w:ascii="Cambria Math" w:hAnsi="Times New Roman" w:cs="Times New Roman"/>
                    <w:i/>
                    <w:sz w:val="20"/>
                    <w:szCs w:val="20"/>
                  </w:rPr>
                </m:ctrlPr>
              </m:dPr>
              <m:e>
                <m:r>
                  <w:rPr>
                    <w:rFonts w:ascii="Cambria Math" w:hAnsi="Times New Roman" w:cs="Times New Roman"/>
                    <w:sz w:val="20"/>
                    <w:szCs w:val="20"/>
                  </w:rPr>
                  <m:t>1</m:t>
                </m:r>
                <m:r>
                  <w:rPr>
                    <w:rFonts w:ascii="Times New Roman" w:hAnsi="Times New Roman" w:cs="Times New Roman"/>
                    <w:sz w:val="20"/>
                    <w:szCs w:val="20"/>
                  </w:rPr>
                  <m:t>-</m:t>
                </m:r>
                <m:r>
                  <w:rPr>
                    <w:rFonts w:ascii="Cambria Math" w:hAnsi="Cambria Math" w:cs="Times New Roman"/>
                    <w:sz w:val="20"/>
                    <w:szCs w:val="20"/>
                  </w:rPr>
                  <m:t>G</m:t>
                </m:r>
                <m:d>
                  <m:dPr>
                    <m:ctrlPr>
                      <w:rPr>
                        <w:rFonts w:ascii="Cambria Math" w:hAnsi="Times New Roman" w:cs="Times New Roman"/>
                        <w:i/>
                        <w:sz w:val="20"/>
                        <w:szCs w:val="20"/>
                      </w:rPr>
                    </m:ctrlPr>
                  </m:dPr>
                  <m:e>
                    <m:r>
                      <w:rPr>
                        <w:rFonts w:ascii="Cambria Math" w:hAnsi="Cambria Math" w:cs="Times New Roman"/>
                        <w:sz w:val="20"/>
                        <w:szCs w:val="20"/>
                      </w:rPr>
                      <m:t>C</m:t>
                    </m:r>
                  </m:e>
                </m:d>
              </m:e>
            </m:d>
          </m:e>
        </m:nary>
        <m:r>
          <w:rPr>
            <w:rFonts w:ascii="Cambria Math" w:hAnsi="Cambria Math" w:cs="Times New Roman"/>
            <w:sz w:val="20"/>
            <w:szCs w:val="20"/>
          </w:rPr>
          <m:t>dc</m:t>
        </m:r>
      </m:oMath>
    </w:p>
    <w:p w14:paraId="37099F06" w14:textId="77777777" w:rsidR="00CA67E5" w:rsidRDefault="000F4DF7"/>
    <w:sectPr w:rsidR="00CA67E5" w:rsidSect="004A2DDD">
      <w:footerReference w:type="default" r:id="rId4"/>
      <w:pgSz w:w="11906" w:h="16838"/>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5797029"/>
      <w:docPartObj>
        <w:docPartGallery w:val="Page Numbers (Bottom of Page)"/>
        <w:docPartUnique/>
      </w:docPartObj>
    </w:sdtPr>
    <w:sdtEndPr/>
    <w:sdtContent>
      <w:p w14:paraId="79C0F095" w14:textId="77777777" w:rsidR="00281C22" w:rsidRDefault="000F4DF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DA87B3" w14:textId="77777777" w:rsidR="00281C22" w:rsidRDefault="000F4DF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DF7"/>
    <w:rsid w:val="000F4DF7"/>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9F7BF"/>
  <w15:chartTrackingRefBased/>
  <w15:docId w15:val="{D057F2DD-9C06-4B10-A270-4C3C1E516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DF7"/>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F4D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4DF7"/>
    <w:rPr>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451</Words>
  <Characters>2575</Characters>
  <Application>Microsoft Office Word</Application>
  <DocSecurity>0</DocSecurity>
  <Lines>21</Lines>
  <Paragraphs>6</Paragraphs>
  <ScaleCrop>false</ScaleCrop>
  <Company>Springer Nature</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2023-03-09T06:21:00Z</dcterms:created>
  <dcterms:modified xsi:type="dcterms:W3CDTF">2023-03-09T06:21:00Z</dcterms:modified>
</cp:coreProperties>
</file>