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649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0"/>
        <w:gridCol w:w="32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495" w:type="dxa"/>
            <w:gridSpan w:val="2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eastAsia="宋体"/>
                <w:b/>
                <w:bCs/>
                <w:lang w:val="en-US" w:eastAsia="zh-CN" w:bidi="ar"/>
              </w:rPr>
              <w:t xml:space="preserve">TABLE2 </w:t>
            </w:r>
            <w:r>
              <w:rPr>
                <w:rStyle w:val="9"/>
                <w:rFonts w:hint="eastAsia" w:eastAsia="宋体"/>
                <w:b/>
                <w:bCs/>
                <w:lang w:val="en-US" w:eastAsia="zh-CN" w:bidi="ar"/>
              </w:rPr>
              <w:t xml:space="preserve"> </w:t>
            </w:r>
            <w:r>
              <w:rPr>
                <w:rStyle w:val="9"/>
                <w:rFonts w:hint="default" w:eastAsia="宋体"/>
                <w:b/>
                <w:bCs/>
                <w:lang w:val="en-US" w:eastAsia="zh-CN" w:bidi="ar"/>
              </w:rPr>
              <w:t>Vessel and Lesion Characteristic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3240" w:type="dxa"/>
            <w:tcBorders>
              <w:top w:val="single" w:color="000000" w:themeColor="text1" w:sz="12" w:space="0"/>
              <w:left w:val="nil"/>
              <w:bottom w:val="single" w:color="000000" w:themeColor="text1" w:sz="6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int="default" w:eastAsia="宋体"/>
                <w:b/>
                <w:bCs/>
                <w:lang w:val="en-US" w:eastAsia="zh-CN" w:bidi="ar"/>
              </w:rPr>
              <w:t>Vessel and Lesion</w:t>
            </w:r>
            <w:r>
              <w:rPr>
                <w:rStyle w:val="9"/>
                <w:rFonts w:hint="eastAsia" w:eastAsia="宋体"/>
                <w:b/>
                <w:bCs/>
                <w:lang w:val="en-US" w:eastAsia="zh-CN" w:bidi="ar"/>
              </w:rPr>
              <w:t xml:space="preserve"> </w:t>
            </w:r>
            <w:r>
              <w:rPr>
                <w:rStyle w:val="9"/>
                <w:rFonts w:hint="default" w:eastAsia="宋体"/>
                <w:b/>
                <w:bCs/>
                <w:lang w:val="en-US" w:eastAsia="zh-CN" w:bidi="ar"/>
              </w:rPr>
              <w:t>Characteristics</w:t>
            </w:r>
          </w:p>
        </w:tc>
        <w:tc>
          <w:tcPr>
            <w:tcW w:w="3255" w:type="dxa"/>
            <w:tcBorders>
              <w:top w:val="single" w:color="000000" w:themeColor="text1" w:sz="12" w:space="0"/>
              <w:left w:val="nil"/>
              <w:bottom w:val="single" w:color="000000" w:themeColor="text1" w:sz="6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int="default" w:eastAsia="宋体"/>
                <w:b/>
                <w:bCs/>
                <w:lang w:val="en-US" w:eastAsia="zh-CN" w:bidi="ar"/>
              </w:rPr>
              <w:t>Number of vessels</w:t>
            </w:r>
            <w:r>
              <w:rPr>
                <w:rStyle w:val="9"/>
                <w:rFonts w:eastAsia="宋体"/>
                <w:b/>
                <w:bCs/>
                <w:lang w:val="en-US" w:eastAsia="zh-CN" w:bidi="ar"/>
              </w:rPr>
              <w:t xml:space="preserve"> (36)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240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2-D QCA feature</w:t>
            </w:r>
          </w:p>
        </w:tc>
        <w:tc>
          <w:tcPr>
            <w:tcW w:w="3255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Diameter stenosis, %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68.8±10.6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Vessel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LAD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 (66.7%)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LCX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 (13.8%)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RCA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 (19.4%)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CTA feature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Diameter stenosis≥50%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 (77.8%)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cardiac calcium scoring scan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&lt;100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22(61.1%)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100-400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10(27.8%)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&gt;400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4(11.1%)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IVUS features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IVUS derived RVD (mm)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3.00±0.36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IVUS derived MLD (mm)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1.75±0.27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IVUS derived MLA (mm2)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2.83±0.53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Area Stenosis (%)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56.0±9.0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Plaque Burden (%)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73.6±10.1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Functional indexes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AccuFFRivus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0.72±0.10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AccuFFRct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0.74±0.09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FFR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0.73±0.09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240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FFR≤0.80</w:t>
            </w:r>
          </w:p>
        </w:tc>
        <w:tc>
          <w:tcPr>
            <w:tcW w:w="3255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 (80.6%)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6495" w:type="dxa"/>
            <w:gridSpan w:val="2"/>
            <w:tcBorders>
              <w:top w:val="single" w:color="000000" w:themeColor="text1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LAD: lanterior descending coronary artery, LCX: left circumflex artery, RCA: right coronary artery, MLD:minimum lumen diameter, MLA: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minimum lumen area, RVD:reference vessel diameter, RVA：reference vessel area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..FFR:fractional flow reserve. AccuFFRct: computed tomography derived fractional flow reserve,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AccuFFRivus: intravascular ultrasound derived fractional flow reserve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4NzIyN2MxYTlmMzQ1NGE2MjU5NWRkMjhlOGMxYTAifQ=="/>
  </w:docVars>
  <w:rsids>
    <w:rsidRoot w:val="7B576984"/>
    <w:rsid w:val="1E6A0293"/>
    <w:rsid w:val="5D8532D0"/>
    <w:rsid w:val="7B57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default" w:ascii="Calibri" w:hAnsi="Calibri" w:cs="Calibri"/>
      <w:b/>
      <w:bCs/>
      <w:color w:val="000000"/>
      <w:sz w:val="24"/>
      <w:szCs w:val="24"/>
      <w:u w:val="none"/>
    </w:rPr>
  </w:style>
  <w:style w:type="character" w:customStyle="1" w:styleId="5">
    <w:name w:val="font31"/>
    <w:basedOn w:val="3"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character" w:customStyle="1" w:styleId="6">
    <w:name w:val="font5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11"/>
    <w:basedOn w:val="3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8">
    <w:name w:val="font41"/>
    <w:basedOn w:val="3"/>
    <w:qFormat/>
    <w:uiPriority w:val="0"/>
    <w:rPr>
      <w:rFonts w:hint="default" w:ascii="Calibri" w:hAnsi="Calibri" w:cs="Calibri"/>
      <w:color w:val="000000"/>
      <w:sz w:val="24"/>
      <w:szCs w:val="24"/>
      <w:u w:val="none"/>
      <w:vertAlign w:val="superscript"/>
    </w:rPr>
  </w:style>
  <w:style w:type="character" w:customStyle="1" w:styleId="9">
    <w:name w:val="font0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678</Characters>
  <Lines>0</Lines>
  <Paragraphs>0</Paragraphs>
  <TotalTime>1</TotalTime>
  <ScaleCrop>false</ScaleCrop>
  <LinksUpToDate>false</LinksUpToDate>
  <CharactersWithSpaces>745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2023-02-13T14:29:00Z</dcterms:created>
  <dc:creator>Juvenile  Delinquent</dc:creator>
  <cp:lastModifiedBy>Juvenile  Delinquent</cp:lastModifiedBy>
  <dcterms:modified xsi:type="dcterms:W3CDTF">2023-03-06T12:58:05Z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D6501C7585574916B1F1E6780F5D2BC9</vt:lpwstr>
  </property>
</Properties>
</file>