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C1B" w:rsidRPr="007336DC" w:rsidRDefault="00234C1B" w:rsidP="00234C1B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7336DC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5F00CE">
        <w:rPr>
          <w:rFonts w:asciiTheme="majorBidi" w:hAnsiTheme="majorBidi" w:cstheme="majorBidi"/>
          <w:b/>
          <w:bCs/>
          <w:sz w:val="24"/>
          <w:szCs w:val="24"/>
        </w:rPr>
        <w:t>S</w:t>
      </w:r>
      <w:bookmarkStart w:id="0" w:name="_GoBack"/>
      <w:bookmarkEnd w:id="0"/>
      <w:r w:rsidR="009E7630">
        <w:rPr>
          <w:rFonts w:asciiTheme="majorBidi" w:hAnsiTheme="majorBidi" w:cstheme="majorBidi"/>
          <w:b/>
          <w:bCs/>
          <w:sz w:val="24"/>
          <w:szCs w:val="24"/>
        </w:rPr>
        <w:t>1.</w:t>
      </w:r>
      <w:r w:rsidRPr="007336DC">
        <w:rPr>
          <w:rFonts w:asciiTheme="majorBidi" w:hAnsiTheme="majorBidi" w:cstheme="majorBidi"/>
          <w:sz w:val="24"/>
          <w:szCs w:val="24"/>
        </w:rPr>
        <w:t xml:space="preserve"> Crude and multivariable-adjusted odds ratios for severity, disability, duration and frequency of migraine headaches across MIND diet scores</w:t>
      </w:r>
    </w:p>
    <w:tbl>
      <w:tblPr>
        <w:tblStyle w:val="PlainTable2"/>
        <w:tblW w:w="10632" w:type="dxa"/>
        <w:tblInd w:w="-851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4"/>
        <w:gridCol w:w="919"/>
        <w:gridCol w:w="13"/>
        <w:gridCol w:w="1626"/>
        <w:gridCol w:w="1135"/>
        <w:gridCol w:w="850"/>
        <w:gridCol w:w="1598"/>
        <w:gridCol w:w="98"/>
        <w:gridCol w:w="1139"/>
      </w:tblGrid>
      <w:tr w:rsidR="00234C1B" w:rsidRPr="007336DC" w:rsidTr="003712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9"/>
            <w:tcBorders>
              <w:top w:val="single" w:sz="4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tabs>
                <w:tab w:val="left" w:pos="792"/>
                <w:tab w:val="left" w:pos="3372"/>
              </w:tabs>
              <w:spacing w:after="160" w:line="259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ab/>
            </w:r>
            <w:r w:rsidRPr="007336D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ab/>
            </w:r>
          </w:p>
        </w:tc>
      </w:tr>
      <w:tr w:rsidR="00234C1B" w:rsidRPr="007336DC" w:rsidTr="003712FE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3254" w:type="dxa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dxa"/>
            <w:gridSpan w:val="3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Crude models</w:t>
            </w:r>
          </w:p>
        </w:tc>
        <w:tc>
          <w:tcPr>
            <w:tcW w:w="1135" w:type="dxa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7336D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-value</w:t>
            </w:r>
          </w:p>
        </w:tc>
        <w:tc>
          <w:tcPr>
            <w:tcW w:w="2546" w:type="dxa"/>
            <w:gridSpan w:val="3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Adjusted  models</w:t>
            </w:r>
          </w:p>
        </w:tc>
        <w:tc>
          <w:tcPr>
            <w:tcW w:w="1139" w:type="dxa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a</w:t>
            </w:r>
            <w:r w:rsidRPr="007336D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7336D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7336D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-value</w:t>
            </w:r>
          </w:p>
        </w:tc>
      </w:tr>
      <w:tr w:rsidR="00234C1B" w:rsidRPr="007336DC" w:rsidTr="003712FE">
        <w:trPr>
          <w:gridBefore w:val="1"/>
          <w:wBefore w:w="3254" w:type="dxa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dxa"/>
            <w:gridSpan w:val="3"/>
            <w:tcBorders>
              <w:bottom w:val="single" w:sz="4" w:space="0" w:color="auto"/>
            </w:tcBorders>
          </w:tcPr>
          <w:p w:rsidR="00234C1B" w:rsidRPr="007336DC" w:rsidRDefault="007336DC" w:rsidP="003712FE">
            <w:pPr>
              <w:spacing w:after="160" w:line="259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OR        </w:t>
            </w:r>
            <w:r w:rsidR="00234C1B" w:rsidRPr="007336DC">
              <w:rPr>
                <w:rFonts w:asciiTheme="majorBidi" w:hAnsiTheme="majorBidi" w:cstheme="majorBidi"/>
                <w:sz w:val="24"/>
                <w:szCs w:val="24"/>
              </w:rPr>
              <w:t>(0.95%CI)</w:t>
            </w:r>
          </w:p>
        </w:tc>
        <w:tc>
          <w:tcPr>
            <w:tcW w:w="1135" w:type="dxa"/>
            <w:vMerge/>
            <w:tcBorders>
              <w:bottom w:val="single" w:sz="4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ind w:left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46" w:type="dxa"/>
            <w:gridSpan w:val="3"/>
            <w:tcBorders>
              <w:bottom w:val="single" w:sz="4" w:space="0" w:color="auto"/>
            </w:tcBorders>
          </w:tcPr>
          <w:p w:rsidR="00234C1B" w:rsidRPr="007336DC" w:rsidRDefault="007336DC" w:rsidP="003712FE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OR     (0.95%</w:t>
            </w:r>
            <w:r w:rsidR="00234C1B" w:rsidRPr="007336D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CI)</w:t>
            </w:r>
          </w:p>
        </w:tc>
        <w:tc>
          <w:tcPr>
            <w:tcW w:w="1139" w:type="dxa"/>
            <w:vMerge/>
            <w:tcBorders>
              <w:bottom w:val="single" w:sz="4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34C1B" w:rsidRPr="007336DC" w:rsidTr="0037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9"/>
            <w:tcBorders>
              <w:top w:val="single" w:sz="4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VAS</w:t>
            </w:r>
          </w:p>
        </w:tc>
      </w:tr>
      <w:tr w:rsidR="00234C1B" w:rsidRPr="007336DC" w:rsidTr="003712FE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</w:tcPr>
          <w:p w:rsidR="00234C1B" w:rsidRPr="007336DC" w:rsidRDefault="00234C1B" w:rsidP="003712FE">
            <w:pPr>
              <w:spacing w:after="160" w:line="259" w:lineRule="auto"/>
              <w:ind w:right="-219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Mild pain</w:t>
            </w: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</w:rPr>
              <w:t>∞</w:t>
            </w:r>
          </w:p>
        </w:tc>
        <w:tc>
          <w:tcPr>
            <w:tcW w:w="932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626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5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  <w:rtl/>
              </w:rPr>
              <w:t>-</w:t>
            </w:r>
          </w:p>
        </w:tc>
        <w:tc>
          <w:tcPr>
            <w:tcW w:w="1598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  <w:rtl/>
              </w:rPr>
              <w:t>-</w:t>
            </w:r>
          </w:p>
        </w:tc>
        <w:tc>
          <w:tcPr>
            <w:tcW w:w="1237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  <w:rtl/>
              </w:rPr>
              <w:t>-</w:t>
            </w:r>
          </w:p>
        </w:tc>
      </w:tr>
      <w:tr w:rsidR="00234C1B" w:rsidRPr="007336DC" w:rsidTr="0037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Moderate pain</w:t>
            </w:r>
          </w:p>
        </w:tc>
        <w:tc>
          <w:tcPr>
            <w:tcW w:w="932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0.77</w:t>
            </w:r>
          </w:p>
        </w:tc>
        <w:tc>
          <w:tcPr>
            <w:tcW w:w="1626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(0.55, 1.07)</w:t>
            </w:r>
          </w:p>
        </w:tc>
        <w:tc>
          <w:tcPr>
            <w:tcW w:w="1135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0.13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0.83</w:t>
            </w:r>
          </w:p>
        </w:tc>
        <w:tc>
          <w:tcPr>
            <w:tcW w:w="1598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(0.55, 1.04)</w:t>
            </w:r>
          </w:p>
        </w:tc>
        <w:tc>
          <w:tcPr>
            <w:tcW w:w="1237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0.36</w:t>
            </w:r>
          </w:p>
        </w:tc>
      </w:tr>
      <w:tr w:rsidR="00234C1B" w:rsidRPr="007336DC" w:rsidTr="003712FE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</w:tcPr>
          <w:p w:rsidR="00234C1B" w:rsidRPr="007336DC" w:rsidRDefault="00234C1B" w:rsidP="003712FE">
            <w:pPr>
              <w:spacing w:after="160" w:line="259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Sever pain</w:t>
            </w:r>
          </w:p>
        </w:tc>
        <w:tc>
          <w:tcPr>
            <w:tcW w:w="932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0.70</w:t>
            </w:r>
          </w:p>
        </w:tc>
        <w:tc>
          <w:tcPr>
            <w:tcW w:w="1626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(0.50, 0.97)</w:t>
            </w:r>
          </w:p>
        </w:tc>
        <w:tc>
          <w:tcPr>
            <w:tcW w:w="1135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0.03</w:t>
            </w:r>
          </w:p>
        </w:tc>
        <w:tc>
          <w:tcPr>
            <w:tcW w:w="850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0.67</w:t>
            </w:r>
          </w:p>
        </w:tc>
        <w:tc>
          <w:tcPr>
            <w:tcW w:w="1598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(0.43, 0.94)</w:t>
            </w:r>
          </w:p>
        </w:tc>
        <w:tc>
          <w:tcPr>
            <w:tcW w:w="1237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0.01</w:t>
            </w:r>
          </w:p>
        </w:tc>
      </w:tr>
      <w:tr w:rsidR="00234C1B" w:rsidRPr="007336DC" w:rsidTr="0037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MIDAS</w:t>
            </w:r>
          </w:p>
        </w:tc>
        <w:tc>
          <w:tcPr>
            <w:tcW w:w="2558" w:type="dxa"/>
            <w:gridSpan w:val="3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4C1B" w:rsidRPr="007336DC" w:rsidTr="003712FE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</w:tcPr>
          <w:p w:rsidR="00234C1B" w:rsidRPr="007336DC" w:rsidRDefault="00234C1B" w:rsidP="003712FE">
            <w:pPr>
              <w:spacing w:after="160" w:line="259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Without disability</w:t>
            </w: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</w:rPr>
              <w:t>∞</w:t>
            </w:r>
          </w:p>
        </w:tc>
        <w:tc>
          <w:tcPr>
            <w:tcW w:w="919" w:type="dxa"/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639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5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598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237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234C1B" w:rsidRPr="007336DC" w:rsidTr="0037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Mild disability</w:t>
            </w:r>
          </w:p>
        </w:tc>
        <w:tc>
          <w:tcPr>
            <w:tcW w:w="919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0.93</w:t>
            </w:r>
          </w:p>
        </w:tc>
        <w:tc>
          <w:tcPr>
            <w:tcW w:w="1639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(0.64, 1.35)</w:t>
            </w:r>
          </w:p>
        </w:tc>
        <w:tc>
          <w:tcPr>
            <w:tcW w:w="1135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0.70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  <w:tc>
          <w:tcPr>
            <w:tcW w:w="1598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(0.63, 1.52)</w:t>
            </w:r>
          </w:p>
        </w:tc>
        <w:tc>
          <w:tcPr>
            <w:tcW w:w="1237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0.93</w:t>
            </w:r>
          </w:p>
        </w:tc>
      </w:tr>
      <w:tr w:rsidR="00234C1B" w:rsidRPr="007336DC" w:rsidTr="003712FE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</w:tcPr>
          <w:p w:rsidR="00234C1B" w:rsidRPr="007336DC" w:rsidRDefault="00234C1B" w:rsidP="003712FE">
            <w:pPr>
              <w:spacing w:after="160" w:line="259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Moderate disability</w:t>
            </w:r>
          </w:p>
        </w:tc>
        <w:tc>
          <w:tcPr>
            <w:tcW w:w="919" w:type="dxa"/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0.89</w:t>
            </w:r>
          </w:p>
        </w:tc>
        <w:tc>
          <w:tcPr>
            <w:tcW w:w="1639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(0.59, 1.34)</w:t>
            </w:r>
          </w:p>
        </w:tc>
        <w:tc>
          <w:tcPr>
            <w:tcW w:w="1135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0.58</w:t>
            </w:r>
          </w:p>
        </w:tc>
        <w:tc>
          <w:tcPr>
            <w:tcW w:w="850" w:type="dxa"/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0.75</w:t>
            </w:r>
          </w:p>
        </w:tc>
        <w:tc>
          <w:tcPr>
            <w:tcW w:w="1598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(0.44, 1.29)</w:t>
            </w:r>
          </w:p>
        </w:tc>
        <w:tc>
          <w:tcPr>
            <w:tcW w:w="1237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0.30</w:t>
            </w:r>
          </w:p>
        </w:tc>
      </w:tr>
      <w:tr w:rsidR="00234C1B" w:rsidRPr="007336DC" w:rsidTr="0037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Severe disability</w:t>
            </w:r>
          </w:p>
        </w:tc>
        <w:tc>
          <w:tcPr>
            <w:tcW w:w="919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0.97</w:t>
            </w:r>
          </w:p>
        </w:tc>
        <w:tc>
          <w:tcPr>
            <w:tcW w:w="1639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(0.68, 1.37)</w:t>
            </w:r>
          </w:p>
        </w:tc>
        <w:tc>
          <w:tcPr>
            <w:tcW w:w="1135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0.87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0.89</w:t>
            </w:r>
          </w:p>
        </w:tc>
        <w:tc>
          <w:tcPr>
            <w:tcW w:w="1598" w:type="dxa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(0.54, 1.47)</w:t>
            </w:r>
          </w:p>
        </w:tc>
        <w:tc>
          <w:tcPr>
            <w:tcW w:w="1237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0.67</w:t>
            </w:r>
          </w:p>
        </w:tc>
      </w:tr>
      <w:tr w:rsidR="00234C1B" w:rsidRPr="007336DC" w:rsidTr="003712FE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</w:tcPr>
          <w:p w:rsidR="00234C1B" w:rsidRPr="007336DC" w:rsidRDefault="00234C1B" w:rsidP="003712F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Headache duration of each attack</w:t>
            </w:r>
          </w:p>
        </w:tc>
        <w:tc>
          <w:tcPr>
            <w:tcW w:w="919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*-0.17</w:t>
            </w:r>
          </w:p>
        </w:tc>
        <w:tc>
          <w:tcPr>
            <w:tcW w:w="1639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(-1.54, -0.29)</w:t>
            </w:r>
          </w:p>
        </w:tc>
        <w:tc>
          <w:tcPr>
            <w:tcW w:w="1135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0.004</w:t>
            </w:r>
          </w:p>
        </w:tc>
        <w:tc>
          <w:tcPr>
            <w:tcW w:w="850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*-0.15</w:t>
            </w:r>
          </w:p>
        </w:tc>
        <w:tc>
          <w:tcPr>
            <w:tcW w:w="1598" w:type="dxa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(-1.44, -0.11)</w:t>
            </w:r>
          </w:p>
        </w:tc>
        <w:tc>
          <w:tcPr>
            <w:tcW w:w="1237" w:type="dxa"/>
            <w:gridSpan w:val="2"/>
          </w:tcPr>
          <w:p w:rsidR="00234C1B" w:rsidRPr="007336DC" w:rsidRDefault="00234C1B" w:rsidP="003712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0.02</w:t>
            </w:r>
          </w:p>
        </w:tc>
      </w:tr>
      <w:tr w:rsidR="00234C1B" w:rsidRPr="007336DC" w:rsidTr="00371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4" w:type="dxa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Frequency of headache in month</w:t>
            </w:r>
          </w:p>
        </w:tc>
        <w:tc>
          <w:tcPr>
            <w:tcW w:w="919" w:type="dxa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*-0.14</w:t>
            </w:r>
          </w:p>
        </w:tc>
        <w:tc>
          <w:tcPr>
            <w:tcW w:w="1639" w:type="dxa"/>
            <w:gridSpan w:val="2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(-1.03, -0.08)</w:t>
            </w:r>
          </w:p>
        </w:tc>
        <w:tc>
          <w:tcPr>
            <w:tcW w:w="1135" w:type="dxa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0.02</w:t>
            </w:r>
          </w:p>
        </w:tc>
        <w:tc>
          <w:tcPr>
            <w:tcW w:w="850" w:type="dxa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*-0.12</w:t>
            </w:r>
          </w:p>
        </w:tc>
        <w:tc>
          <w:tcPr>
            <w:tcW w:w="1598" w:type="dxa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(-0.96, -0.02)</w:t>
            </w:r>
          </w:p>
        </w:tc>
        <w:tc>
          <w:tcPr>
            <w:tcW w:w="1237" w:type="dxa"/>
            <w:gridSpan w:val="2"/>
            <w:tcBorders>
              <w:top w:val="none" w:sz="0" w:space="0" w:color="auto"/>
              <w:bottom w:val="single" w:sz="4" w:space="0" w:color="auto"/>
            </w:tcBorders>
          </w:tcPr>
          <w:p w:rsidR="00234C1B" w:rsidRPr="007336DC" w:rsidRDefault="00234C1B" w:rsidP="003712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336DC">
              <w:rPr>
                <w:rFonts w:asciiTheme="majorBidi" w:hAnsiTheme="majorBidi" w:cstheme="majorBidi"/>
                <w:sz w:val="24"/>
                <w:szCs w:val="24"/>
              </w:rPr>
              <w:t>0.04</w:t>
            </w:r>
          </w:p>
        </w:tc>
      </w:tr>
    </w:tbl>
    <w:p w:rsidR="00234C1B" w:rsidRPr="007336DC" w:rsidRDefault="00234C1B" w:rsidP="00234C1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7336DC">
        <w:rPr>
          <w:rFonts w:asciiTheme="majorBidi" w:hAnsiTheme="majorBidi" w:cstheme="majorBidi"/>
          <w:sz w:val="24"/>
          <w:szCs w:val="24"/>
        </w:rPr>
        <w:t>MIDAS, Migraine Disability Assessment Questionnaire; VAS, Visual analog scale.</w:t>
      </w:r>
    </w:p>
    <w:p w:rsidR="00234C1B" w:rsidRPr="007336DC" w:rsidRDefault="00234C1B" w:rsidP="00234C1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7336DC">
        <w:rPr>
          <w:rFonts w:asciiTheme="majorBidi" w:hAnsiTheme="majorBidi" w:cstheme="majorBidi"/>
          <w:sz w:val="24"/>
          <w:szCs w:val="24"/>
        </w:rPr>
        <w:t>* The β coefficient has been shown.</w:t>
      </w:r>
    </w:p>
    <w:p w:rsidR="00234C1B" w:rsidRPr="007336DC" w:rsidRDefault="00234C1B" w:rsidP="00234C1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7336DC"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7336DC">
        <w:rPr>
          <w:rFonts w:asciiTheme="majorBidi" w:hAnsiTheme="majorBidi" w:cstheme="majorBidi"/>
          <w:sz w:val="24"/>
          <w:szCs w:val="24"/>
        </w:rPr>
        <w:t xml:space="preserve"> Adjusted for confounders.</w:t>
      </w:r>
    </w:p>
    <w:p w:rsidR="004D44CA" w:rsidRPr="007336DC" w:rsidRDefault="00234C1B" w:rsidP="00234C1B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7336DC">
        <w:rPr>
          <w:rFonts w:asciiTheme="majorBidi" w:hAnsiTheme="majorBidi" w:cstheme="majorBidi"/>
          <w:sz w:val="24"/>
          <w:szCs w:val="24"/>
          <w:vertAlign w:val="superscript"/>
        </w:rPr>
        <w:t xml:space="preserve">∞ </w:t>
      </w:r>
      <w:r w:rsidRPr="007336DC">
        <w:rPr>
          <w:rFonts w:asciiTheme="majorBidi" w:hAnsiTheme="majorBidi" w:cstheme="majorBidi"/>
          <w:sz w:val="24"/>
          <w:szCs w:val="24"/>
        </w:rPr>
        <w:t>Considered as reference group.</w:t>
      </w:r>
    </w:p>
    <w:sectPr w:rsidR="004D44CA" w:rsidRPr="007336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1MzEyMze0tDQzMTNX0lEKTi0uzszPAykwrgUA2hgUQSwAAAA="/>
  </w:docVars>
  <w:rsids>
    <w:rsidRoot w:val="00BE4DEC"/>
    <w:rsid w:val="00234C1B"/>
    <w:rsid w:val="004D44CA"/>
    <w:rsid w:val="005F00CE"/>
    <w:rsid w:val="007336DC"/>
    <w:rsid w:val="009E7630"/>
    <w:rsid w:val="00BE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7F5C6D-CEC1-46B8-B912-0C01F5E10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C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34C1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2020-04-28T16:17:00Z</dcterms:created>
  <dcterms:modified xsi:type="dcterms:W3CDTF">2020-04-28T16:57:00Z</dcterms:modified>
</cp:coreProperties>
</file>