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1E29F" w14:textId="77777777" w:rsidR="00311D82" w:rsidRDefault="00762BB0">
      <w:pPr>
        <w:wordWrap/>
        <w:spacing w:after="0" w:line="240" w:lineRule="auto"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Supplementary table 1. AUC values calculated by time-dependent ROC analysis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506"/>
        <w:gridCol w:w="2581"/>
        <w:gridCol w:w="2584"/>
        <w:gridCol w:w="2584"/>
      </w:tblGrid>
      <w:tr w:rsidR="00311D82" w14:paraId="30588C13" w14:textId="77777777" w:rsidTr="00311D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Align w:val="center"/>
          </w:tcPr>
          <w:p w14:paraId="3D602FF6" w14:textId="77777777" w:rsidR="00311D82" w:rsidRDefault="00762BB0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Variable</w:t>
            </w:r>
          </w:p>
        </w:tc>
        <w:tc>
          <w:tcPr>
            <w:tcW w:w="2581" w:type="dxa"/>
            <w:vAlign w:val="center"/>
          </w:tcPr>
          <w:p w14:paraId="2E1CC064" w14:textId="77777777" w:rsidR="00311D82" w:rsidRDefault="00762BB0">
            <w:pPr>
              <w:wordWrap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Measured time</w:t>
            </w:r>
          </w:p>
        </w:tc>
        <w:tc>
          <w:tcPr>
            <w:tcW w:w="2584" w:type="dxa"/>
            <w:vAlign w:val="center"/>
          </w:tcPr>
          <w:p w14:paraId="200D95DF" w14:textId="77777777" w:rsidR="00311D82" w:rsidRDefault="00762BB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AUC at D300</w:t>
            </w:r>
          </w:p>
        </w:tc>
        <w:tc>
          <w:tcPr>
            <w:tcW w:w="2584" w:type="dxa"/>
            <w:vAlign w:val="center"/>
          </w:tcPr>
          <w:p w14:paraId="443B41CF" w14:textId="77777777" w:rsidR="00311D82" w:rsidRDefault="00762BB0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Cs w:val="20"/>
              </w:rPr>
              <w:t>AUC at D500</w:t>
            </w:r>
          </w:p>
        </w:tc>
      </w:tr>
      <w:tr w:rsidR="00311D82" w14:paraId="78A6103D" w14:textId="77777777" w:rsidTr="00311D8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 w:val="restart"/>
          </w:tcPr>
          <w:p w14:paraId="500281A1" w14:textId="77777777" w:rsidR="00311D82" w:rsidRDefault="00762BB0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bookmarkStart w:id="0" w:name="_Hlk126614222"/>
            <w:r>
              <w:rPr>
                <w:rFonts w:ascii="Arial" w:hAnsi="Arial" w:cs="Arial"/>
                <w:b w:val="0"/>
                <w:i/>
                <w:szCs w:val="20"/>
              </w:rPr>
              <w:t>JAK2</w:t>
            </w:r>
            <w:r>
              <w:rPr>
                <w:rFonts w:ascii="Arial" w:hAnsi="Arial" w:cs="Arial"/>
                <w:b w:val="0"/>
                <w:szCs w:val="20"/>
              </w:rPr>
              <w:t>-MRD VAF</w:t>
            </w:r>
          </w:p>
        </w:tc>
        <w:tc>
          <w:tcPr>
            <w:tcW w:w="2581" w:type="dxa"/>
          </w:tcPr>
          <w:p w14:paraId="0B33D755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D30</w:t>
            </w:r>
          </w:p>
        </w:tc>
        <w:tc>
          <w:tcPr>
            <w:tcW w:w="2584" w:type="dxa"/>
          </w:tcPr>
          <w:p w14:paraId="5ED88330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0.404</w:t>
            </w:r>
          </w:p>
        </w:tc>
        <w:tc>
          <w:tcPr>
            <w:tcW w:w="2584" w:type="dxa"/>
          </w:tcPr>
          <w:p w14:paraId="332DA1D4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0.309</w:t>
            </w:r>
          </w:p>
        </w:tc>
      </w:tr>
      <w:tr w:rsidR="00311D82" w14:paraId="42DA2032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15C9E647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7D93FDD7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D100</w:t>
            </w:r>
          </w:p>
        </w:tc>
        <w:tc>
          <w:tcPr>
            <w:tcW w:w="2584" w:type="dxa"/>
          </w:tcPr>
          <w:p w14:paraId="317E2F52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0.918</w:t>
            </w:r>
          </w:p>
        </w:tc>
        <w:tc>
          <w:tcPr>
            <w:tcW w:w="2584" w:type="dxa"/>
          </w:tcPr>
          <w:p w14:paraId="50EA2D56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0.787</w:t>
            </w:r>
          </w:p>
        </w:tc>
      </w:tr>
      <w:tr w:rsidR="00311D82" w14:paraId="6EAD1AF6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451203D7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5F2A3B9A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D180</w:t>
            </w:r>
          </w:p>
        </w:tc>
        <w:tc>
          <w:tcPr>
            <w:tcW w:w="2584" w:type="dxa"/>
          </w:tcPr>
          <w:p w14:paraId="723D5D62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0.955</w:t>
            </w:r>
          </w:p>
        </w:tc>
        <w:tc>
          <w:tcPr>
            <w:tcW w:w="2584" w:type="dxa"/>
          </w:tcPr>
          <w:p w14:paraId="37345BA8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0.750</w:t>
            </w:r>
          </w:p>
        </w:tc>
      </w:tr>
      <w:tr w:rsidR="00311D82" w14:paraId="3172B6AB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01F054E5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7BF57CAD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D360</w:t>
            </w:r>
          </w:p>
        </w:tc>
        <w:tc>
          <w:tcPr>
            <w:tcW w:w="2584" w:type="dxa"/>
          </w:tcPr>
          <w:p w14:paraId="13BCEE7E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</w:t>
            </w:r>
          </w:p>
        </w:tc>
        <w:tc>
          <w:tcPr>
            <w:tcW w:w="2584" w:type="dxa"/>
          </w:tcPr>
          <w:p w14:paraId="521602B5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0.753</w:t>
            </w:r>
          </w:p>
        </w:tc>
      </w:tr>
      <w:tr w:rsidR="00311D82" w14:paraId="22236FC3" w14:textId="77777777" w:rsidTr="00311D8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 w:val="restart"/>
          </w:tcPr>
          <w:p w14:paraId="18D67A97" w14:textId="77777777" w:rsidR="00311D82" w:rsidRDefault="00762BB0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i/>
                <w:szCs w:val="20"/>
              </w:rPr>
              <w:t>JAK2</w:t>
            </w:r>
            <w:r>
              <w:rPr>
                <w:rFonts w:ascii="Arial" w:hAnsi="Arial" w:cs="Arial"/>
                <w:b w:val="0"/>
                <w:szCs w:val="20"/>
              </w:rPr>
              <w:t>-MRD ratio</w:t>
            </w:r>
          </w:p>
        </w:tc>
        <w:tc>
          <w:tcPr>
            <w:tcW w:w="2581" w:type="dxa"/>
          </w:tcPr>
          <w:p w14:paraId="7729BCBB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D100</w:t>
            </w:r>
          </w:p>
        </w:tc>
        <w:tc>
          <w:tcPr>
            <w:tcW w:w="2584" w:type="dxa"/>
          </w:tcPr>
          <w:p w14:paraId="173A55E3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1.000</w:t>
            </w:r>
          </w:p>
        </w:tc>
        <w:tc>
          <w:tcPr>
            <w:tcW w:w="2584" w:type="dxa"/>
          </w:tcPr>
          <w:p w14:paraId="33FD93FF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0.986</w:t>
            </w:r>
          </w:p>
        </w:tc>
      </w:tr>
      <w:tr w:rsidR="00311D82" w14:paraId="11B91D76" w14:textId="77777777" w:rsidTr="00311D8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44834250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7A93D2EC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D180</w:t>
            </w:r>
          </w:p>
        </w:tc>
        <w:tc>
          <w:tcPr>
            <w:tcW w:w="2584" w:type="dxa"/>
          </w:tcPr>
          <w:p w14:paraId="140F9C1A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0.743</w:t>
            </w:r>
          </w:p>
        </w:tc>
        <w:tc>
          <w:tcPr>
            <w:tcW w:w="2584" w:type="dxa"/>
          </w:tcPr>
          <w:p w14:paraId="35E4485E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0.565</w:t>
            </w:r>
          </w:p>
        </w:tc>
      </w:tr>
      <w:tr w:rsidR="00311D82" w14:paraId="63740A65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05ABED25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2FB55D8A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D360</w:t>
            </w:r>
          </w:p>
        </w:tc>
        <w:tc>
          <w:tcPr>
            <w:tcW w:w="2584" w:type="dxa"/>
          </w:tcPr>
          <w:p w14:paraId="5BD23A58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</w:t>
            </w:r>
          </w:p>
        </w:tc>
        <w:tc>
          <w:tcPr>
            <w:tcW w:w="2584" w:type="dxa"/>
          </w:tcPr>
          <w:p w14:paraId="2B151930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0.680</w:t>
            </w:r>
          </w:p>
        </w:tc>
      </w:tr>
      <w:tr w:rsidR="00311D82" w14:paraId="087613F3" w14:textId="77777777" w:rsidTr="00311D82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 w:val="restart"/>
          </w:tcPr>
          <w:p w14:paraId="75BFBB3A" w14:textId="77777777" w:rsidR="00311D82" w:rsidRDefault="00762BB0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NGS chimerism</w:t>
            </w:r>
          </w:p>
        </w:tc>
        <w:tc>
          <w:tcPr>
            <w:tcW w:w="2581" w:type="dxa"/>
          </w:tcPr>
          <w:p w14:paraId="577E878C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D30</w:t>
            </w:r>
          </w:p>
        </w:tc>
        <w:tc>
          <w:tcPr>
            <w:tcW w:w="2584" w:type="dxa"/>
          </w:tcPr>
          <w:p w14:paraId="2C22D9DB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0.447</w:t>
            </w:r>
          </w:p>
        </w:tc>
        <w:tc>
          <w:tcPr>
            <w:tcW w:w="2584" w:type="dxa"/>
          </w:tcPr>
          <w:p w14:paraId="500C71C9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0.442</w:t>
            </w:r>
          </w:p>
        </w:tc>
      </w:tr>
      <w:tr w:rsidR="00311D82" w14:paraId="618E1416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34E80248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43AC560E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D100</w:t>
            </w:r>
          </w:p>
        </w:tc>
        <w:tc>
          <w:tcPr>
            <w:tcW w:w="2584" w:type="dxa"/>
          </w:tcPr>
          <w:p w14:paraId="456E1F04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0.692</w:t>
            </w:r>
          </w:p>
        </w:tc>
        <w:tc>
          <w:tcPr>
            <w:tcW w:w="2584" w:type="dxa"/>
          </w:tcPr>
          <w:p w14:paraId="2CA8C4AE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0.583</w:t>
            </w:r>
          </w:p>
        </w:tc>
      </w:tr>
      <w:tr w:rsidR="00311D82" w14:paraId="64F0E339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22A577C5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40F089FF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D180</w:t>
            </w:r>
          </w:p>
        </w:tc>
        <w:tc>
          <w:tcPr>
            <w:tcW w:w="2584" w:type="dxa"/>
          </w:tcPr>
          <w:p w14:paraId="66EAD5C6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0.932</w:t>
            </w:r>
          </w:p>
        </w:tc>
        <w:tc>
          <w:tcPr>
            <w:tcW w:w="2584" w:type="dxa"/>
          </w:tcPr>
          <w:p w14:paraId="5A17FA79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FF0000"/>
                <w:szCs w:val="20"/>
              </w:rPr>
            </w:pPr>
            <w:r>
              <w:rPr>
                <w:rFonts w:ascii="Arial" w:hAnsi="Arial" w:cs="Arial"/>
                <w:color w:val="FF0000"/>
                <w:szCs w:val="20"/>
              </w:rPr>
              <w:t>0.834</w:t>
            </w:r>
          </w:p>
        </w:tc>
      </w:tr>
      <w:tr w:rsidR="00311D82" w14:paraId="36530A1B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0849F7CC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18B40AC7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D360</w:t>
            </w:r>
          </w:p>
        </w:tc>
        <w:tc>
          <w:tcPr>
            <w:tcW w:w="2584" w:type="dxa"/>
          </w:tcPr>
          <w:p w14:paraId="4E0E3A93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</w:t>
            </w:r>
          </w:p>
        </w:tc>
        <w:tc>
          <w:tcPr>
            <w:tcW w:w="2584" w:type="dxa"/>
          </w:tcPr>
          <w:p w14:paraId="12EA01C8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0.655</w:t>
            </w:r>
          </w:p>
        </w:tc>
      </w:tr>
      <w:tr w:rsidR="00311D82" w14:paraId="273DC744" w14:textId="77777777" w:rsidTr="00311D8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 w:val="restart"/>
          </w:tcPr>
          <w:p w14:paraId="2AB78D58" w14:textId="77777777" w:rsidR="00311D82" w:rsidRDefault="00762BB0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STR chimerism</w:t>
            </w:r>
          </w:p>
        </w:tc>
        <w:tc>
          <w:tcPr>
            <w:tcW w:w="2581" w:type="dxa"/>
          </w:tcPr>
          <w:p w14:paraId="5EB63325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D30</w:t>
            </w:r>
          </w:p>
        </w:tc>
        <w:tc>
          <w:tcPr>
            <w:tcW w:w="2584" w:type="dxa"/>
          </w:tcPr>
          <w:p w14:paraId="0ED50BE7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0.301</w:t>
            </w:r>
          </w:p>
        </w:tc>
        <w:tc>
          <w:tcPr>
            <w:tcW w:w="2584" w:type="dxa"/>
          </w:tcPr>
          <w:p w14:paraId="1E366141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0.429</w:t>
            </w:r>
          </w:p>
        </w:tc>
      </w:tr>
      <w:tr w:rsidR="00311D82" w14:paraId="2E28D4DD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08124E94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415D3332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D100</w:t>
            </w:r>
          </w:p>
        </w:tc>
        <w:tc>
          <w:tcPr>
            <w:tcW w:w="2584" w:type="dxa"/>
          </w:tcPr>
          <w:p w14:paraId="2F81DE2E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0.508</w:t>
            </w:r>
          </w:p>
        </w:tc>
        <w:tc>
          <w:tcPr>
            <w:tcW w:w="2584" w:type="dxa"/>
          </w:tcPr>
          <w:p w14:paraId="24355C76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0.439</w:t>
            </w:r>
          </w:p>
        </w:tc>
      </w:tr>
      <w:tr w:rsidR="00311D82" w14:paraId="433C597C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6F7AEC63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59CB8474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D180</w:t>
            </w:r>
          </w:p>
        </w:tc>
        <w:tc>
          <w:tcPr>
            <w:tcW w:w="2584" w:type="dxa"/>
          </w:tcPr>
          <w:p w14:paraId="6FA544F5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0.926</w:t>
            </w:r>
          </w:p>
        </w:tc>
        <w:tc>
          <w:tcPr>
            <w:tcW w:w="2584" w:type="dxa"/>
          </w:tcPr>
          <w:p w14:paraId="32535DA5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0.728</w:t>
            </w:r>
          </w:p>
        </w:tc>
      </w:tr>
      <w:tr w:rsidR="00311D82" w14:paraId="4503A42B" w14:textId="77777777" w:rsidTr="00311D82">
        <w:trPr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6" w:type="dxa"/>
            <w:vMerge/>
          </w:tcPr>
          <w:p w14:paraId="7D41BC04" w14:textId="77777777" w:rsidR="00311D82" w:rsidRDefault="00311D82">
            <w:pPr>
              <w:wordWrap/>
              <w:spacing w:after="0" w:line="240" w:lineRule="auto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581" w:type="dxa"/>
          </w:tcPr>
          <w:p w14:paraId="5DD6DAB7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Cs/>
                <w:szCs w:val="20"/>
              </w:rPr>
              <w:t>D360</w:t>
            </w:r>
          </w:p>
        </w:tc>
        <w:tc>
          <w:tcPr>
            <w:tcW w:w="2584" w:type="dxa"/>
          </w:tcPr>
          <w:p w14:paraId="169182AA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-</w:t>
            </w:r>
          </w:p>
        </w:tc>
        <w:tc>
          <w:tcPr>
            <w:tcW w:w="2584" w:type="dxa"/>
          </w:tcPr>
          <w:p w14:paraId="674E619D" w14:textId="77777777" w:rsidR="00311D82" w:rsidRDefault="00762BB0">
            <w:pPr>
              <w:wordWrap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0.691</w:t>
            </w:r>
          </w:p>
        </w:tc>
      </w:tr>
    </w:tbl>
    <w:bookmarkEnd w:id="0"/>
    <w:p w14:paraId="37BDE12F" w14:textId="699A5CD9" w:rsidR="00311D82" w:rsidRDefault="00762BB0">
      <w:pPr>
        <w:wordWrap/>
        <w:spacing w:after="0" w:line="240" w:lineRule="auto"/>
        <w:jc w:val="left"/>
        <w:rPr>
          <w:rFonts w:ascii="Arial" w:hAnsi="Arial" w:cs="Arial"/>
          <w:bCs/>
          <w:szCs w:val="20"/>
          <w:lang w:val="en-PH"/>
        </w:rPr>
      </w:pPr>
      <w:r>
        <w:rPr>
          <w:rFonts w:ascii="Arial" w:hAnsi="Arial" w:cs="Arial"/>
          <w:bCs/>
          <w:szCs w:val="20"/>
        </w:rPr>
        <w:t xml:space="preserve">Abbreviations: AUC, Area Under the ROC Curve; ROC, Receiver </w:t>
      </w:r>
      <w:r>
        <w:rPr>
          <w:rFonts w:ascii="Arial" w:hAnsi="Arial" w:cs="Arial"/>
          <w:bCs/>
          <w:szCs w:val="20"/>
        </w:rPr>
        <w:t>Operating Characteristic; MRD, measurable residual disease; VAF, Variant</w:t>
      </w:r>
      <w:r>
        <w:rPr>
          <w:rFonts w:ascii="Arial" w:hAnsi="Arial" w:cs="Arial"/>
          <w:bCs/>
          <w:szCs w:val="20"/>
        </w:rPr>
        <w:t xml:space="preserve"> allele frequency; NGS, Next-generation sequencing; STR, Short Tandem Repeat</w:t>
      </w:r>
      <w:r>
        <w:rPr>
          <w:rFonts w:ascii="Arial" w:hAnsi="Arial" w:cs="Arial"/>
          <w:bCs/>
          <w:szCs w:val="20"/>
          <w:lang w:val="en-PH"/>
        </w:rPr>
        <w:t>; D</w:t>
      </w:r>
      <w:r>
        <w:rPr>
          <w:rFonts w:ascii="Arial" w:hAnsi="Arial" w:cs="Arial"/>
          <w:bCs/>
          <w:szCs w:val="20"/>
          <w:lang w:val="en-PH"/>
        </w:rPr>
        <w:t>, day.</w:t>
      </w:r>
    </w:p>
    <w:p w14:paraId="0A74A091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3740A202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4593FD92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59739185" w14:textId="1069891F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3BBE1E43" w14:textId="610784A8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7878FD44" w14:textId="54990A8B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0E36659E" w14:textId="57E5202F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0C109759" w14:textId="738AF6DD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352D6BB4" w14:textId="2A89B621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001CCC62" w14:textId="6BD98E83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143D194D" w14:textId="07005B72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33C0C7EE" w14:textId="05C2D30D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1E27482E" w14:textId="6408D7DD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424E1A3E" w14:textId="49519803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5A417C9C" w14:textId="1D565E7E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1573B7E1" w14:textId="1361FDBF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3150350C" w14:textId="6D0FCAB9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11E11259" w14:textId="02898C9E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71E44A49" w14:textId="5E02B7E6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2955DA2F" w14:textId="77777777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22"/>
          <w:szCs w:val="18"/>
        </w:rPr>
      </w:pPr>
    </w:p>
    <w:p w14:paraId="41A28018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1218FE53" w14:textId="7CE9531F" w:rsidR="00311D82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noProof/>
          <w:sz w:val="16"/>
          <w:szCs w:val="18"/>
        </w:rPr>
        <w:lastRenderedPageBreak/>
        <w:drawing>
          <wp:inline distT="0" distB="0" distL="0" distR="0" wp14:anchorId="55A1CAF7" wp14:editId="566C363C">
            <wp:extent cx="4391025" cy="406529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96" cy="406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17551" w14:textId="6D25E2D8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B5E82FC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3D3E03A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037E8FB5" w14:textId="3FAF005C" w:rsidR="00311D82" w:rsidRDefault="00762BB0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bCs/>
          <w:szCs w:val="18"/>
        </w:rPr>
        <w:t>Supplementary Figure 1. Time-dependent ROC curves of the overt relapse prediction marke</w:t>
      </w:r>
      <w:r>
        <w:rPr>
          <w:rFonts w:ascii="Arial" w:hAnsi="Arial" w:cs="Arial"/>
          <w:bCs/>
          <w:szCs w:val="18"/>
        </w:rPr>
        <w:t>rs</w:t>
      </w:r>
      <w:r>
        <w:rPr>
          <w:rFonts w:ascii="Arial" w:hAnsi="Arial" w:cs="Arial"/>
          <w:bCs/>
          <w:szCs w:val="18"/>
          <w:lang w:val="en-PH"/>
        </w:rPr>
        <w:t>.</w:t>
      </w:r>
      <w:r>
        <w:rPr>
          <w:rFonts w:ascii="Arial" w:hAnsi="Arial" w:cs="Arial"/>
          <w:bCs/>
          <w:szCs w:val="18"/>
        </w:rPr>
        <w:t xml:space="preserve"> (A) </w:t>
      </w:r>
      <w:r>
        <w:rPr>
          <w:rFonts w:ascii="Arial" w:hAnsi="Arial" w:cs="Arial"/>
          <w:bCs/>
          <w:i/>
          <w:szCs w:val="18"/>
        </w:rPr>
        <w:t>JAK2</w:t>
      </w:r>
      <w:r>
        <w:rPr>
          <w:rFonts w:ascii="Arial" w:hAnsi="Arial" w:cs="Arial"/>
          <w:bCs/>
          <w:szCs w:val="18"/>
        </w:rPr>
        <w:t>-MRD ratio at D100 for overt relpase prediction at D300 and (B) D500.</w:t>
      </w:r>
      <w:r>
        <w:rPr>
          <w:rFonts w:ascii="Arial" w:hAnsi="Arial" w:cs="Arial"/>
          <w:bCs/>
          <w:szCs w:val="18"/>
          <w:lang w:val="en-PH"/>
        </w:rPr>
        <w:t xml:space="preserve"> </w:t>
      </w:r>
      <w:r>
        <w:rPr>
          <w:rFonts w:ascii="Arial" w:hAnsi="Arial" w:cs="Arial"/>
          <w:bCs/>
          <w:szCs w:val="18"/>
        </w:rPr>
        <w:t>(C) NGS</w:t>
      </w:r>
      <w:r>
        <w:rPr>
          <w:rFonts w:ascii="Arial" w:hAnsi="Arial" w:cs="Arial"/>
          <w:bCs/>
          <w:szCs w:val="18"/>
          <w:lang w:val="en-PH"/>
        </w:rPr>
        <w:t xml:space="preserve"> c</w:t>
      </w:r>
      <w:r>
        <w:rPr>
          <w:rFonts w:ascii="Arial" w:hAnsi="Arial" w:cs="Arial"/>
          <w:bCs/>
          <w:szCs w:val="18"/>
        </w:rPr>
        <w:t>himerism at D180 for overt relapse prediction at D300 and (D) D500.</w:t>
      </w:r>
    </w:p>
    <w:p w14:paraId="295BC077" w14:textId="77777777" w:rsidR="00311D82" w:rsidRDefault="00762BB0">
      <w:pPr>
        <w:wordWrap/>
        <w:spacing w:after="0" w:line="240" w:lineRule="auto"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Abbreviations: AUC, Area Under the ROC Curve; ROC, Receiver Operating Characteristic; MRD, </w:t>
      </w:r>
      <w:r>
        <w:rPr>
          <w:rFonts w:ascii="Arial" w:hAnsi="Arial" w:cs="Arial"/>
          <w:bCs/>
          <w:szCs w:val="20"/>
        </w:rPr>
        <w:t>measurable residual disease; D, day; NGS, Next-generation sequencing.</w:t>
      </w:r>
    </w:p>
    <w:p w14:paraId="3FF3580F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758602F0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312B9E49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71641BFA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28922E46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0B05EF00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7DAE95FC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2DBCCD39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3F19D41B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CEAE5D3" w14:textId="5D9FF891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D0FB50E" w14:textId="3EA1C6E2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F579C0C" w14:textId="3F0A714B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0EA92A88" w14:textId="0AD1668C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1E57B2BF" w14:textId="25711178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7DB7F864" w14:textId="15C0FF54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280FFBAE" w14:textId="0837049A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41B838E0" w14:textId="536AB44D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3F93E063" w14:textId="27141DD1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49C8AB53" w14:textId="3261652C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D73108A" w14:textId="77777777" w:rsidR="00957BF4" w:rsidRDefault="00957BF4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3A7FBD93" w14:textId="77777777" w:rsidR="00311D82" w:rsidRDefault="00311D82">
      <w:pPr>
        <w:wordWrap/>
        <w:spacing w:after="0" w:line="240" w:lineRule="auto"/>
        <w:jc w:val="left"/>
        <w:rPr>
          <w:rFonts w:ascii="Arial" w:hAnsi="Arial" w:cs="Arial"/>
          <w:bCs/>
          <w:sz w:val="16"/>
          <w:szCs w:val="18"/>
        </w:rPr>
      </w:pPr>
    </w:p>
    <w:p w14:paraId="519875C9" w14:textId="038D3972" w:rsidR="00311D82" w:rsidRDefault="00762B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BE1890E" w14:textId="4735EB8F" w:rsidR="00613142" w:rsidRDefault="00613142">
      <w:pPr>
        <w:rPr>
          <w:rFonts w:ascii="Arial" w:hAnsi="Arial" w:cs="Arial"/>
          <w:sz w:val="24"/>
          <w:szCs w:val="24"/>
        </w:rPr>
      </w:pPr>
    </w:p>
    <w:p w14:paraId="7A9AB5EC" w14:textId="1C420AEF" w:rsidR="00613142" w:rsidRDefault="00613142">
      <w:pPr>
        <w:rPr>
          <w:rFonts w:ascii="Arial" w:hAnsi="Arial" w:cs="Arial"/>
          <w:sz w:val="24"/>
          <w:szCs w:val="24"/>
        </w:rPr>
      </w:pPr>
    </w:p>
    <w:p w14:paraId="2CAA3164" w14:textId="18359682" w:rsidR="00613142" w:rsidRDefault="00613142">
      <w:pPr>
        <w:rPr>
          <w:rFonts w:ascii="Arial" w:hAnsi="Arial" w:cs="Arial"/>
          <w:sz w:val="24"/>
          <w:szCs w:val="24"/>
        </w:rPr>
      </w:pPr>
    </w:p>
    <w:p w14:paraId="5ADBB026" w14:textId="3901811D" w:rsidR="00613142" w:rsidRDefault="00613142">
      <w:pPr>
        <w:rPr>
          <w:rFonts w:ascii="Arial" w:hAnsi="Arial" w:cs="Arial"/>
          <w:sz w:val="24"/>
          <w:szCs w:val="24"/>
        </w:rPr>
      </w:pPr>
    </w:p>
    <w:p w14:paraId="09C3112D" w14:textId="1B76A472" w:rsidR="00613142" w:rsidRDefault="00613142">
      <w:pPr>
        <w:rPr>
          <w:rFonts w:ascii="Arial" w:hAnsi="Arial" w:cs="Arial"/>
          <w:sz w:val="24"/>
          <w:szCs w:val="24"/>
        </w:rPr>
      </w:pPr>
    </w:p>
    <w:p w14:paraId="318F6CA0" w14:textId="66470D57" w:rsidR="00613142" w:rsidRDefault="00613142">
      <w:pPr>
        <w:rPr>
          <w:rFonts w:ascii="Arial" w:hAnsi="Arial" w:cs="Arial"/>
          <w:sz w:val="24"/>
          <w:szCs w:val="24"/>
        </w:rPr>
      </w:pPr>
    </w:p>
    <w:p w14:paraId="4ED7ACEE" w14:textId="77777777" w:rsidR="00613142" w:rsidRDefault="00613142">
      <w:pPr>
        <w:rPr>
          <w:rFonts w:ascii="Arial" w:hAnsi="Arial" w:cs="Arial"/>
          <w:sz w:val="24"/>
          <w:szCs w:val="24"/>
        </w:rPr>
      </w:pPr>
    </w:p>
    <w:tbl>
      <w:tblPr>
        <w:tblStyle w:val="a6"/>
        <w:tblpPr w:leftFromText="180" w:rightFromText="180" w:vertAnchor="text" w:horzAnchor="margin" w:tblpY="351"/>
        <w:tblW w:w="108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0"/>
        <w:gridCol w:w="3620"/>
        <w:gridCol w:w="3621"/>
      </w:tblGrid>
      <w:tr w:rsidR="00311D82" w14:paraId="42B67194" w14:textId="77777777" w:rsidTr="00613142">
        <w:trPr>
          <w:trHeight w:val="284"/>
        </w:trPr>
        <w:tc>
          <w:tcPr>
            <w:tcW w:w="3620" w:type="dxa"/>
          </w:tcPr>
          <w:p w14:paraId="60EB8180" w14:textId="329A461E" w:rsidR="00311D82" w:rsidRDefault="00613142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1" locked="0" layoutInCell="1" allowOverlap="1" wp14:anchorId="60D83B5F" wp14:editId="0F2724C8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37465</wp:posOffset>
                  </wp:positionV>
                  <wp:extent cx="2160000" cy="1858281"/>
                  <wp:effectExtent l="0" t="0" r="0" b="889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968"/>
                          <a:stretch/>
                        </pic:blipFill>
                        <pic:spPr bwMode="auto">
                          <a:xfrm>
                            <a:off x="0" y="0"/>
                            <a:ext cx="2160000" cy="1858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BB0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3620" w:type="dxa"/>
          </w:tcPr>
          <w:p w14:paraId="45D3F167" w14:textId="777494EA" w:rsidR="00311D8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2C9B6D96" wp14:editId="373819FB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3810</wp:posOffset>
                  </wp:positionV>
                  <wp:extent cx="2160000" cy="1824972"/>
                  <wp:effectExtent l="0" t="0" r="0" b="4445"/>
                  <wp:wrapNone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457"/>
                          <a:stretch/>
                        </pic:blipFill>
                        <pic:spPr bwMode="auto">
                          <a:xfrm>
                            <a:off x="0" y="0"/>
                            <a:ext cx="2160000" cy="1824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BB0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3621" w:type="dxa"/>
          </w:tcPr>
          <w:p w14:paraId="6EE0D774" w14:textId="11E81F42" w:rsidR="00311D82" w:rsidRDefault="00613142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69504" behindDoc="1" locked="0" layoutInCell="1" allowOverlap="1" wp14:anchorId="6400935A" wp14:editId="4B5F56BF">
                  <wp:simplePos x="0" y="0"/>
                  <wp:positionH relativeFrom="column">
                    <wp:posOffset>106680</wp:posOffset>
                  </wp:positionH>
                  <wp:positionV relativeFrom="paragraph">
                    <wp:posOffset>-1905</wp:posOffset>
                  </wp:positionV>
                  <wp:extent cx="2160000" cy="1786802"/>
                  <wp:effectExtent l="0" t="0" r="0" b="4445"/>
                  <wp:wrapNone/>
                  <wp:docPr id="7" name="그림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347"/>
                          <a:stretch/>
                        </pic:blipFill>
                        <pic:spPr bwMode="auto">
                          <a:xfrm>
                            <a:off x="0" y="0"/>
                            <a:ext cx="2160000" cy="178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62BB0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311D82" w14:paraId="10B956C2" w14:textId="77777777" w:rsidTr="00613142">
        <w:trPr>
          <w:trHeight w:val="2903"/>
        </w:trPr>
        <w:tc>
          <w:tcPr>
            <w:tcW w:w="3620" w:type="dxa"/>
          </w:tcPr>
          <w:p w14:paraId="0C5590D6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0677A9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95D4AD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A0F6B7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06A62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3AA162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0ED362B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F315F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A4B312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301F18" w14:textId="559E7068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6131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2F289C22" wp14:editId="75404B0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0</wp:posOffset>
                  </wp:positionV>
                  <wp:extent cx="2160000" cy="2160000"/>
                  <wp:effectExtent l="0" t="0" r="0" b="0"/>
                  <wp:wrapNone/>
                  <wp:docPr id="24" name="그림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0" w:type="dxa"/>
          </w:tcPr>
          <w:p w14:paraId="10268E22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C9D4B9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CB9431F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8F1F05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DE386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AC9564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CCE874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258556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542851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25BDE1" w14:textId="1B792383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6131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26148456" wp14:editId="7977CD30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0</wp:posOffset>
                  </wp:positionV>
                  <wp:extent cx="2238504" cy="2160000"/>
                  <wp:effectExtent l="0" t="0" r="0" b="0"/>
                  <wp:wrapNone/>
                  <wp:docPr id="25" name="그림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04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1" w:type="dxa"/>
          </w:tcPr>
          <w:p w14:paraId="391B8401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4A29AF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3A0036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E1286C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E756F5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B897C50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574D53B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D40EFDD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6495E5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F2126A" w14:textId="3A5F4847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6131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31F8940E" wp14:editId="5F0FA618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0</wp:posOffset>
                  </wp:positionV>
                  <wp:extent cx="2238504" cy="2160000"/>
                  <wp:effectExtent l="0" t="0" r="0" b="0"/>
                  <wp:wrapNone/>
                  <wp:docPr id="26" name="그림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04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11D82" w14:paraId="54B56A93" w14:textId="77777777" w:rsidTr="00613142">
        <w:trPr>
          <w:trHeight w:val="3203"/>
        </w:trPr>
        <w:tc>
          <w:tcPr>
            <w:tcW w:w="3620" w:type="dxa"/>
          </w:tcPr>
          <w:p w14:paraId="4F3E560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730A7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5F34A0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351DE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C1D0C5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0E58A0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E89FD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96FFAB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69BACC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E08871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4219D5" w14:textId="498215B7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6131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3600" behindDoc="1" locked="0" layoutInCell="1" allowOverlap="1" wp14:anchorId="74241A58" wp14:editId="702E9404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-1270</wp:posOffset>
                  </wp:positionV>
                  <wp:extent cx="2160000" cy="2160000"/>
                  <wp:effectExtent l="0" t="0" r="0" b="0"/>
                  <wp:wrapNone/>
                  <wp:docPr id="27" name="그림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0" w:type="dxa"/>
          </w:tcPr>
          <w:p w14:paraId="1EBF93E0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A97480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16C26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DDAEB5D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485D1D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E87822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2FAB82B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6C6E51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E85D38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0978B0A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E5D38C" w14:textId="5691FE57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61314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1" locked="0" layoutInCell="1" allowOverlap="1" wp14:anchorId="30BC939F" wp14:editId="4D022D08">
                  <wp:simplePos x="0" y="0"/>
                  <wp:positionH relativeFrom="column">
                    <wp:posOffset>111125</wp:posOffset>
                  </wp:positionH>
                  <wp:positionV relativeFrom="paragraph">
                    <wp:posOffset>-1270</wp:posOffset>
                  </wp:positionV>
                  <wp:extent cx="2238504" cy="2160000"/>
                  <wp:effectExtent l="0" t="0" r="0" b="0"/>
                  <wp:wrapNone/>
                  <wp:docPr id="28" name="그림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04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21" w:type="dxa"/>
          </w:tcPr>
          <w:p w14:paraId="2935A489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9224BF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913A32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E4CFE9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22CEB9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929EA76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AD2F5C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BCAD56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FAD6C7" w14:textId="77777777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B381DE" w14:textId="51A6C3B4" w:rsidR="00613142" w:rsidRDefault="0061314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1" locked="0" layoutInCell="1" allowOverlap="1" wp14:anchorId="04583074" wp14:editId="77B4C71E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170815</wp:posOffset>
                  </wp:positionV>
                  <wp:extent cx="2238504" cy="2160000"/>
                  <wp:effectExtent l="0" t="0" r="0" b="0"/>
                  <wp:wrapNone/>
                  <wp:docPr id="30" name="그림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04" cy="21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EF19387" w14:textId="5DBA5DA1" w:rsidR="00311D82" w:rsidRDefault="00762BB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</w:tbl>
    <w:p w14:paraId="4EC65CA6" w14:textId="77777777" w:rsidR="00311D82" w:rsidRDefault="00311D82">
      <w:pPr>
        <w:jc w:val="left"/>
      </w:pPr>
    </w:p>
    <w:tbl>
      <w:tblPr>
        <w:tblStyle w:val="a6"/>
        <w:tblW w:w="146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3"/>
        <w:gridCol w:w="3623"/>
        <w:gridCol w:w="3623"/>
        <w:gridCol w:w="3732"/>
      </w:tblGrid>
      <w:tr w:rsidR="00311D82" w14:paraId="4AE45DB6" w14:textId="77777777">
        <w:trPr>
          <w:jc w:val="center"/>
        </w:trPr>
        <w:tc>
          <w:tcPr>
            <w:tcW w:w="3623" w:type="dxa"/>
          </w:tcPr>
          <w:p w14:paraId="2ADD1E94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23" w:type="dxa"/>
          </w:tcPr>
          <w:p w14:paraId="7FEAD82C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623" w:type="dxa"/>
          </w:tcPr>
          <w:p w14:paraId="6F7409F7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732" w:type="dxa"/>
          </w:tcPr>
          <w:p w14:paraId="51AF3DD8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</w:p>
        </w:tc>
      </w:tr>
      <w:tr w:rsidR="00311D82" w14:paraId="09C583A3" w14:textId="77777777">
        <w:trPr>
          <w:jc w:val="center"/>
        </w:trPr>
        <w:tc>
          <w:tcPr>
            <w:tcW w:w="3623" w:type="dxa"/>
          </w:tcPr>
          <w:p w14:paraId="35EBEB94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23" w:type="dxa"/>
          </w:tcPr>
          <w:p w14:paraId="36B96C26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623" w:type="dxa"/>
          </w:tcPr>
          <w:p w14:paraId="0276D06A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732" w:type="dxa"/>
          </w:tcPr>
          <w:p w14:paraId="2326277C" w14:textId="77777777" w:rsidR="00311D82" w:rsidRDefault="00311D82">
            <w:pPr>
              <w:spacing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111BF42" w14:textId="77777777" w:rsidR="00613142" w:rsidRDefault="00613142">
      <w:pPr>
        <w:rPr>
          <w:rFonts w:ascii="Arial" w:hAnsi="Arial" w:cs="Arial"/>
          <w:szCs w:val="20"/>
        </w:rPr>
      </w:pPr>
    </w:p>
    <w:p w14:paraId="5E58C9B1" w14:textId="77777777" w:rsidR="00613142" w:rsidRDefault="00613142">
      <w:pPr>
        <w:rPr>
          <w:rFonts w:ascii="Arial" w:hAnsi="Arial" w:cs="Arial"/>
          <w:szCs w:val="20"/>
        </w:rPr>
      </w:pPr>
    </w:p>
    <w:p w14:paraId="68F159C8" w14:textId="77777777" w:rsidR="00613142" w:rsidRDefault="00613142">
      <w:pPr>
        <w:rPr>
          <w:rFonts w:ascii="Arial" w:hAnsi="Arial" w:cs="Arial"/>
          <w:szCs w:val="20"/>
        </w:rPr>
      </w:pPr>
    </w:p>
    <w:p w14:paraId="52472B34" w14:textId="77777777" w:rsidR="00613142" w:rsidRDefault="00613142">
      <w:pPr>
        <w:rPr>
          <w:rFonts w:ascii="Arial" w:hAnsi="Arial" w:cs="Arial"/>
          <w:szCs w:val="20"/>
        </w:rPr>
      </w:pPr>
    </w:p>
    <w:p w14:paraId="3A02413B" w14:textId="77777777" w:rsidR="00613142" w:rsidRDefault="00613142">
      <w:pPr>
        <w:rPr>
          <w:rFonts w:ascii="Arial" w:hAnsi="Arial" w:cs="Arial"/>
          <w:szCs w:val="20"/>
        </w:rPr>
      </w:pPr>
    </w:p>
    <w:p w14:paraId="232F8C54" w14:textId="77777777" w:rsidR="00613142" w:rsidRDefault="00613142">
      <w:pPr>
        <w:rPr>
          <w:rFonts w:ascii="Arial" w:hAnsi="Arial" w:cs="Arial"/>
          <w:szCs w:val="20"/>
        </w:rPr>
      </w:pPr>
    </w:p>
    <w:p w14:paraId="67C5FAF2" w14:textId="77777777" w:rsidR="00613142" w:rsidRDefault="00613142">
      <w:pPr>
        <w:rPr>
          <w:rFonts w:ascii="Arial" w:hAnsi="Arial" w:cs="Arial"/>
          <w:szCs w:val="20"/>
        </w:rPr>
      </w:pPr>
    </w:p>
    <w:p w14:paraId="7957C88C" w14:textId="7227466F" w:rsidR="00311D82" w:rsidRDefault="00762BB0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Supplementary Figure 2. Relapse and probability by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 xml:space="preserve">-MRD ratio and chimerism. (A) Cumulative relapse incidence for patients with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>-MRD ratio ≥</w:t>
      </w:r>
      <w:r>
        <w:rPr>
          <w:rFonts w:ascii="Arial" w:hAnsi="Arial" w:cs="Arial"/>
          <w:szCs w:val="20"/>
        </w:rPr>
        <w:t>3-</w:t>
      </w:r>
      <w:r>
        <w:rPr>
          <w:rFonts w:ascii="Arial" w:hAnsi="Arial" w:cs="Arial"/>
          <w:szCs w:val="20"/>
        </w:rPr>
        <w:t xml:space="preserve">fold at 100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(B) Donor chimerism ≤77%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(C) Donor chimerism ≤95%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(D) Relapse-free survival probability for patients with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>-MRD ratio ≥</w:t>
      </w:r>
      <w:r>
        <w:rPr>
          <w:rFonts w:ascii="Arial" w:hAnsi="Arial" w:cs="Arial"/>
          <w:szCs w:val="20"/>
        </w:rPr>
        <w:t>3-</w:t>
      </w:r>
      <w:r>
        <w:rPr>
          <w:rFonts w:ascii="Arial" w:hAnsi="Arial" w:cs="Arial"/>
          <w:szCs w:val="20"/>
        </w:rPr>
        <w:t xml:space="preserve">fold at 100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(E) Donor chimerism ≤77%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(F) Donor chimerism ≤95%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(G) Survival probability for patients with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>-MRD ratio ≥</w:t>
      </w:r>
      <w:r>
        <w:rPr>
          <w:rFonts w:ascii="Arial" w:hAnsi="Arial" w:cs="Arial"/>
          <w:szCs w:val="20"/>
        </w:rPr>
        <w:t>3-</w:t>
      </w:r>
      <w:r>
        <w:rPr>
          <w:rFonts w:ascii="Arial" w:hAnsi="Arial" w:cs="Arial"/>
          <w:szCs w:val="20"/>
        </w:rPr>
        <w:t xml:space="preserve">fold at 100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(H) Donor chimerism ≤77%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 xml:space="preserve">. (I) Donor chimerism ≤95% at 180 </w:t>
      </w:r>
      <w:r>
        <w:rPr>
          <w:rFonts w:ascii="Arial" w:hAnsi="Arial" w:cs="Arial"/>
          <w:szCs w:val="20"/>
        </w:rPr>
        <w:t>days</w:t>
      </w:r>
      <w:r>
        <w:rPr>
          <w:rFonts w:ascii="Arial" w:hAnsi="Arial" w:cs="Arial"/>
          <w:szCs w:val="20"/>
        </w:rPr>
        <w:t>. Red, positive; black, negative.</w:t>
      </w:r>
    </w:p>
    <w:p w14:paraId="3FC8D48D" w14:textId="649D64AE" w:rsidR="00691ACB" w:rsidRDefault="00691ACB" w:rsidP="00691ACB">
      <w:pPr>
        <w:wordWrap/>
        <w:spacing w:after="0" w:line="240" w:lineRule="auto"/>
        <w:jc w:val="left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 xml:space="preserve">Abbreviations: </w:t>
      </w:r>
      <w:r>
        <w:rPr>
          <w:rFonts w:ascii="Arial" w:hAnsi="Arial" w:cs="Arial"/>
          <w:bCs/>
          <w:szCs w:val="20"/>
        </w:rPr>
        <w:t xml:space="preserve">HCT, hematopoietic stem cell transplantation; CI, confidential interval; NA, not available; </w:t>
      </w:r>
      <w:r>
        <w:rPr>
          <w:rFonts w:ascii="Arial" w:hAnsi="Arial" w:cs="Arial"/>
          <w:bCs/>
          <w:szCs w:val="20"/>
        </w:rPr>
        <w:t xml:space="preserve">MRD, </w:t>
      </w:r>
      <w:r>
        <w:rPr>
          <w:rFonts w:ascii="Arial" w:hAnsi="Arial" w:cs="Arial"/>
          <w:bCs/>
          <w:szCs w:val="20"/>
        </w:rPr>
        <w:t>measurable residual disease</w:t>
      </w:r>
    </w:p>
    <w:p w14:paraId="5D5FD059" w14:textId="77777777" w:rsidR="00691ACB" w:rsidRDefault="00691ACB">
      <w:pPr>
        <w:rPr>
          <w:rFonts w:ascii="Arial" w:hAnsi="Arial" w:cs="Arial"/>
          <w:szCs w:val="20"/>
        </w:rPr>
      </w:pPr>
    </w:p>
    <w:p w14:paraId="37B595E0" w14:textId="77777777" w:rsidR="00311D82" w:rsidRDefault="00311D82">
      <w:pPr>
        <w:wordWrap/>
        <w:spacing w:after="0" w:line="240" w:lineRule="auto"/>
        <w:jc w:val="left"/>
      </w:pPr>
    </w:p>
    <w:p w14:paraId="4C438552" w14:textId="77777777" w:rsidR="00311D82" w:rsidRDefault="00762BB0">
      <w:pPr>
        <w:widowControl/>
        <w:wordWrap/>
        <w:autoSpaceDE/>
        <w:autoSpaceDN/>
      </w:pPr>
      <w:r>
        <w:br w:type="page"/>
      </w:r>
    </w:p>
    <w:p w14:paraId="555E778D" w14:textId="77777777" w:rsidR="00311D82" w:rsidRDefault="00762BB0">
      <w:pPr>
        <w:jc w:val="left"/>
        <w:rPr>
          <w:rFonts w:ascii="Arial" w:hAnsi="Arial" w:cs="Arial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editId="49FF29BA">
            <wp:extent cx="4898159" cy="8239403"/>
            <wp:effectExtent l="0" t="0" r="0" b="0"/>
            <wp:docPr id="61" name="그림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그림 6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5"/>
                    <a:stretch>
                      <a:fillRect/>
                    </a:stretch>
                  </pic:blipFill>
                  <pic:spPr>
                    <a:xfrm>
                      <a:off x="0" y="0"/>
                      <a:ext cx="4923792" cy="828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1804798E" w14:textId="77777777" w:rsidR="00957BF4" w:rsidRDefault="00762BB0" w:rsidP="00957BF4">
      <w:pPr>
        <w:jc w:val="lef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Supplementary</w:t>
      </w:r>
      <w:r>
        <w:rPr>
          <w:rFonts w:ascii="Arial" w:hAnsi="Arial" w:cs="Arial"/>
          <w:szCs w:val="20"/>
        </w:rPr>
        <w:t xml:space="preserve"> Figure 3. Dynamics of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 xml:space="preserve">-MRD and chimerism. The graphs show the molecular follow-up of 15 patients with emerging relapse evidences; increased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 xml:space="preserve">-MRD ratio (≥ </w:t>
      </w:r>
      <w:r>
        <w:rPr>
          <w:rFonts w:ascii="Arial" w:hAnsi="Arial" w:cs="Arial"/>
          <w:szCs w:val="20"/>
        </w:rPr>
        <w:t>3-</w:t>
      </w:r>
      <w:r>
        <w:rPr>
          <w:rFonts w:ascii="Arial" w:hAnsi="Arial" w:cs="Arial"/>
          <w:szCs w:val="20"/>
        </w:rPr>
        <w:t>fold) and/or mixed chimerism (≤</w:t>
      </w:r>
      <w:r>
        <w:rPr>
          <w:rFonts w:ascii="Arial" w:hAnsi="Arial" w:cs="Arial"/>
          <w:szCs w:val="20"/>
        </w:rPr>
        <w:t xml:space="preserve">95%) marked by red dots. Solid lines and dotted lines display the quantification of donor chimerism (%) and </w:t>
      </w:r>
      <w:r>
        <w:rPr>
          <w:rFonts w:ascii="Arial" w:hAnsi="Arial" w:cs="Arial"/>
          <w:i/>
          <w:szCs w:val="20"/>
        </w:rPr>
        <w:t>JAK2</w:t>
      </w:r>
      <w:r>
        <w:rPr>
          <w:rFonts w:ascii="Arial" w:hAnsi="Arial" w:cs="Arial"/>
          <w:szCs w:val="20"/>
        </w:rPr>
        <w:t>-MRD VAF (%), respectively.</w:t>
      </w:r>
    </w:p>
    <w:p w14:paraId="797682A6" w14:textId="37AD8CEF" w:rsidR="00311D82" w:rsidRDefault="00762BB0" w:rsidP="00957BF4">
      <w:pPr>
        <w:jc w:val="left"/>
        <w:rPr>
          <w:rFonts w:ascii="Arial" w:hAnsi="Arial" w:cs="Arial"/>
          <w:bCs/>
          <w:sz w:val="16"/>
          <w:szCs w:val="18"/>
        </w:rPr>
      </w:pPr>
      <w:r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bCs/>
          <w:szCs w:val="20"/>
        </w:rPr>
        <w:t>Abbreviations: R-Pt</w:t>
      </w:r>
      <w:r>
        <w:rPr>
          <w:rFonts w:ascii="Arial" w:hAnsi="Arial" w:cs="Arial"/>
          <w:bCs/>
          <w:szCs w:val="20"/>
          <w:lang w:val="en-PH"/>
        </w:rPr>
        <w:t>,</w:t>
      </w:r>
      <w:r>
        <w:rPr>
          <w:rFonts w:ascii="Arial" w:hAnsi="Arial" w:cs="Arial"/>
          <w:bCs/>
          <w:szCs w:val="20"/>
        </w:rPr>
        <w:t xml:space="preserve"> relapsed patient</w:t>
      </w:r>
      <w:r>
        <w:rPr>
          <w:rFonts w:ascii="Arial" w:hAnsi="Arial" w:cs="Arial"/>
          <w:bCs/>
          <w:szCs w:val="20"/>
          <w:lang w:val="en-PH"/>
        </w:rPr>
        <w:t>;</w:t>
      </w:r>
      <w:r>
        <w:rPr>
          <w:rFonts w:ascii="Arial" w:hAnsi="Arial" w:cs="Arial"/>
          <w:bCs/>
          <w:szCs w:val="20"/>
        </w:rPr>
        <w:t xml:space="preserve"> UR-Pt</w:t>
      </w:r>
      <w:r>
        <w:rPr>
          <w:rFonts w:ascii="Arial" w:hAnsi="Arial" w:cs="Arial"/>
          <w:bCs/>
          <w:szCs w:val="20"/>
          <w:lang w:val="en-PH"/>
        </w:rPr>
        <w:t>,</w:t>
      </w:r>
      <w:r>
        <w:rPr>
          <w:rFonts w:ascii="Arial" w:hAnsi="Arial" w:cs="Arial"/>
          <w:bCs/>
          <w:szCs w:val="20"/>
        </w:rPr>
        <w:t xml:space="preserve"> unrelapsed patient</w:t>
      </w:r>
      <w:r>
        <w:rPr>
          <w:rFonts w:ascii="Arial" w:hAnsi="Arial" w:cs="Arial"/>
          <w:bCs/>
          <w:szCs w:val="20"/>
          <w:lang w:val="en-PH"/>
        </w:rPr>
        <w:t>;</w:t>
      </w:r>
      <w:r>
        <w:rPr>
          <w:rFonts w:ascii="Arial" w:hAnsi="Arial" w:cs="Arial"/>
          <w:bCs/>
          <w:szCs w:val="20"/>
        </w:rPr>
        <w:t xml:space="preserve"> ITS</w:t>
      </w:r>
      <w:r>
        <w:rPr>
          <w:rFonts w:ascii="맑은 고딕" w:eastAsia="맑은 고딕" w:hAnsi="맑은 고딕" w:cs="Arial" w:hint="eastAsia"/>
          <w:bCs/>
          <w:szCs w:val="20"/>
        </w:rPr>
        <w:t>▼</w:t>
      </w:r>
      <w:r>
        <w:rPr>
          <w:rFonts w:ascii="맑은 고딕" w:eastAsia="맑은 고딕" w:hAnsi="맑은 고딕" w:cs="Arial"/>
          <w:bCs/>
          <w:szCs w:val="20"/>
          <w:lang w:val="en-PH"/>
        </w:rPr>
        <w:t>,</w:t>
      </w:r>
      <w:r>
        <w:rPr>
          <w:rFonts w:ascii="Arial" w:hAnsi="Arial" w:cs="Arial"/>
          <w:bCs/>
          <w:szCs w:val="20"/>
        </w:rPr>
        <w:t xml:space="preserve"> early tapering of immunosuppresive ther</w:t>
      </w:r>
      <w:r>
        <w:rPr>
          <w:rFonts w:ascii="Arial" w:hAnsi="Arial" w:cs="Arial"/>
          <w:bCs/>
          <w:szCs w:val="20"/>
        </w:rPr>
        <w:t>apy</w:t>
      </w:r>
      <w:r>
        <w:rPr>
          <w:rFonts w:ascii="Arial" w:hAnsi="Arial" w:cs="Arial"/>
          <w:bCs/>
          <w:szCs w:val="20"/>
          <w:lang w:val="en-PH"/>
        </w:rPr>
        <w:t>;</w:t>
      </w:r>
      <w:r>
        <w:rPr>
          <w:rFonts w:ascii="Arial" w:hAnsi="Arial" w:cs="Arial"/>
          <w:bCs/>
          <w:szCs w:val="20"/>
        </w:rPr>
        <w:t xml:space="preserve"> MRD</w:t>
      </w:r>
      <w:r>
        <w:rPr>
          <w:rFonts w:ascii="Arial" w:hAnsi="Arial" w:cs="Arial"/>
          <w:bCs/>
          <w:szCs w:val="20"/>
          <w:lang w:val="en-PH"/>
        </w:rPr>
        <w:t>,</w:t>
      </w:r>
      <w:r>
        <w:rPr>
          <w:rFonts w:ascii="Arial" w:hAnsi="Arial" w:cs="Arial"/>
          <w:bCs/>
          <w:szCs w:val="20"/>
        </w:rPr>
        <w:t xml:space="preserve"> measurable residual disease</w:t>
      </w:r>
      <w:r>
        <w:rPr>
          <w:rFonts w:ascii="Arial" w:hAnsi="Arial" w:cs="Arial"/>
          <w:bCs/>
          <w:szCs w:val="20"/>
          <w:lang w:val="en-PH"/>
        </w:rPr>
        <w:t>;</w:t>
      </w:r>
      <w:r>
        <w:rPr>
          <w:rFonts w:ascii="Arial" w:hAnsi="Arial" w:cs="Arial"/>
          <w:bCs/>
          <w:szCs w:val="20"/>
        </w:rPr>
        <w:t xml:space="preserve"> VAF</w:t>
      </w:r>
      <w:r>
        <w:rPr>
          <w:rFonts w:ascii="Arial" w:hAnsi="Arial" w:cs="Arial"/>
          <w:bCs/>
          <w:szCs w:val="20"/>
          <w:lang w:val="en-PH"/>
        </w:rPr>
        <w:t>,</w:t>
      </w:r>
      <w:r>
        <w:rPr>
          <w:rFonts w:ascii="Arial" w:hAnsi="Arial" w:cs="Arial"/>
          <w:bCs/>
          <w:szCs w:val="20"/>
        </w:rPr>
        <w:t xml:space="preserve"> variant allele frequency.</w:t>
      </w:r>
    </w:p>
    <w:sectPr w:rsidR="00311D82" w:rsidSect="00957BF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2F"/>
    <w:rsid w:val="00040840"/>
    <w:rsid w:val="0008511D"/>
    <w:rsid w:val="00094BF9"/>
    <w:rsid w:val="000C05D6"/>
    <w:rsid w:val="001B1E42"/>
    <w:rsid w:val="001B3409"/>
    <w:rsid w:val="001B6353"/>
    <w:rsid w:val="002812C6"/>
    <w:rsid w:val="00311D82"/>
    <w:rsid w:val="003461D3"/>
    <w:rsid w:val="00446B19"/>
    <w:rsid w:val="00571BAC"/>
    <w:rsid w:val="005B42D6"/>
    <w:rsid w:val="00613142"/>
    <w:rsid w:val="00683C77"/>
    <w:rsid w:val="00691316"/>
    <w:rsid w:val="00691ACB"/>
    <w:rsid w:val="006C601E"/>
    <w:rsid w:val="007564A2"/>
    <w:rsid w:val="00762BB0"/>
    <w:rsid w:val="007D6666"/>
    <w:rsid w:val="0091375D"/>
    <w:rsid w:val="00923BD7"/>
    <w:rsid w:val="00957BF4"/>
    <w:rsid w:val="00AE7F59"/>
    <w:rsid w:val="00AF2510"/>
    <w:rsid w:val="00B54D9D"/>
    <w:rsid w:val="00BA6EC9"/>
    <w:rsid w:val="00E74514"/>
    <w:rsid w:val="00E80C81"/>
    <w:rsid w:val="00E932FA"/>
    <w:rsid w:val="00EC1E2F"/>
    <w:rsid w:val="00EE515C"/>
    <w:rsid w:val="00FF0EDA"/>
    <w:rsid w:val="0F8D0A2F"/>
    <w:rsid w:val="2A95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D998B"/>
  <w15:docId w15:val="{F9610F91-59F3-40C3-8C5F-C5371F449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CB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눈금 표 1 밝게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일반 표 21"/>
    <w:basedOn w:val="a1"/>
    <w:uiPriority w:val="42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har1">
    <w:name w:val="머리글 Char"/>
    <w:basedOn w:val="a0"/>
    <w:link w:val="a5"/>
    <w:uiPriority w:val="99"/>
    <w:qFormat/>
  </w:style>
  <w:style w:type="character" w:customStyle="1" w:styleId="Char0">
    <w:name w:val="바닥글 Char"/>
    <w:basedOn w:val="a0"/>
    <w:link w:val="a4"/>
    <w:uiPriority w:val="99"/>
    <w:qFormat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Char2"/>
    <w:uiPriority w:val="99"/>
    <w:semiHidden/>
    <w:unhideWhenUsed/>
    <w:rsid w:val="007564A2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2">
    <w:name w:val="풍선 도움말 텍스트 Char"/>
    <w:basedOn w:val="a0"/>
    <w:link w:val="a8"/>
    <w:uiPriority w:val="99"/>
    <w:semiHidden/>
    <w:rsid w:val="007564A2"/>
    <w:rPr>
      <w:rFonts w:ascii="맑은 고딕" w:eastAsia="맑은 고딕"/>
      <w:kern w:val="2"/>
      <w:sz w:val="18"/>
      <w:szCs w:val="18"/>
      <w:lang w:eastAsia="ko-KR"/>
    </w:rPr>
  </w:style>
  <w:style w:type="paragraph" w:styleId="a9">
    <w:name w:val="annotation subject"/>
    <w:basedOn w:val="a3"/>
    <w:next w:val="a3"/>
    <w:link w:val="Char3"/>
    <w:uiPriority w:val="99"/>
    <w:semiHidden/>
    <w:unhideWhenUsed/>
    <w:rsid w:val="007564A2"/>
    <w:pPr>
      <w:spacing w:line="240" w:lineRule="auto"/>
      <w:jc w:val="both"/>
    </w:pPr>
    <w:rPr>
      <w:b/>
      <w:bCs/>
      <w:szCs w:val="20"/>
    </w:rPr>
  </w:style>
  <w:style w:type="character" w:customStyle="1" w:styleId="Char">
    <w:name w:val="메모 텍스트 Char"/>
    <w:basedOn w:val="a0"/>
    <w:link w:val="a3"/>
    <w:uiPriority w:val="99"/>
    <w:semiHidden/>
    <w:rsid w:val="007564A2"/>
    <w:rPr>
      <w:kern w:val="2"/>
      <w:szCs w:val="22"/>
      <w:lang w:eastAsia="ko-KR"/>
    </w:rPr>
  </w:style>
  <w:style w:type="character" w:customStyle="1" w:styleId="Char3">
    <w:name w:val="메모 주제 Char"/>
    <w:basedOn w:val="Char"/>
    <w:link w:val="a9"/>
    <w:uiPriority w:val="99"/>
    <w:semiHidden/>
    <w:rsid w:val="007564A2"/>
    <w:rPr>
      <w:b/>
      <w:bCs/>
      <w:kern w:val="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4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14</cp:revision>
  <dcterms:created xsi:type="dcterms:W3CDTF">2023-02-20T04:29:00Z</dcterms:created>
  <dcterms:modified xsi:type="dcterms:W3CDTF">2023-03-02T19:35:00Z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7">
    <vt:lpwstr>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</vt:lpwstr>
  </property>
  <property fmtid="{D5CDD505-2E9C-101B-9397-08002B2CF9AE}" name="FDRClass" pid="8">
    <vt:lpwstr>0</vt:lpwstr>
  </property>
  <property fmtid="{D5CDD505-2E9C-101B-9397-08002B2CF9AE}" name="FDRSet" pid="9">
    <vt:lpwstr>manual</vt:lpwstr>
  </property>
  <property fmtid="{D5CDD505-2E9C-101B-9397-08002B2CF9AE}" name="ICV" pid="10">
    <vt:lpwstr>F13A00093FCD4599BEFF833648C55847</vt:lpwstr>
  </property>
  <property fmtid="{D5CDD505-2E9C-101B-9397-08002B2CF9AE}" name="KSOProductBuildVer" pid="11">
    <vt:lpwstr>1033-11.2.0.11156</vt:lpwstr>
  </property>
</Properties>
</file>