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Style w:val="12"/>
          <w:rFonts w:ascii="Times New Roman" w:hAnsi="Times New Roman"/>
          <w:b/>
          <w:sz w:val="22"/>
        </w:rPr>
      </w:pPr>
      <w:r>
        <w:rPr>
          <w:rStyle w:val="12"/>
          <w:rFonts w:hint="eastAsia" w:ascii="Times New Roman" w:hAnsi="Times New Roman"/>
          <w:b/>
          <w:sz w:val="22"/>
        </w:rPr>
        <w:t>SUPPLEMENTARY MATERIAL</w:t>
      </w:r>
    </w:p>
    <w:p>
      <w:pPr>
        <w:widowControl/>
        <w:spacing w:line="360" w:lineRule="auto"/>
        <w:jc w:val="left"/>
        <w:rPr>
          <w:rStyle w:val="12"/>
          <w:rFonts w:ascii="Times New Roman" w:hAnsi="Times New Roman"/>
          <w:b/>
          <w:sz w:val="22"/>
        </w:rPr>
      </w:pPr>
    </w:p>
    <w:p>
      <w:pPr>
        <w:widowControl/>
        <w:spacing w:line="360" w:lineRule="auto"/>
        <w:jc w:val="left"/>
        <w:rPr>
          <w:rStyle w:val="12"/>
          <w:rFonts w:ascii="Times New Roman" w:hAnsi="Times New Roman"/>
          <w:b/>
          <w:sz w:val="22"/>
        </w:rPr>
      </w:pPr>
    </w:p>
    <w:p>
      <w:pPr>
        <w:widowControl/>
        <w:spacing w:line="360" w:lineRule="auto"/>
        <w:jc w:val="left"/>
        <w:rPr>
          <w:rStyle w:val="12"/>
          <w:rFonts w:ascii="Times New Roman" w:hAnsi="Times New Roman"/>
          <w:b/>
          <w:sz w:val="22"/>
        </w:rPr>
      </w:pPr>
    </w:p>
    <w:p>
      <w:pPr>
        <w:widowControl/>
        <w:spacing w:line="360" w:lineRule="auto"/>
        <w:jc w:val="left"/>
        <w:rPr>
          <w:rStyle w:val="12"/>
          <w:rFonts w:ascii="Times New Roman" w:hAnsi="Times New Roman"/>
          <w:b/>
          <w:sz w:val="22"/>
        </w:rPr>
      </w:pPr>
      <w:r>
        <w:rPr>
          <w:rStyle w:val="12"/>
          <w:rFonts w:ascii="Times New Roman" w:hAnsi="Times New Roman"/>
          <w:b/>
          <w:sz w:val="22"/>
        </w:rPr>
        <w:t>Supplementary</w:t>
      </w:r>
      <w:r>
        <w:rPr>
          <w:rStyle w:val="12"/>
          <w:rFonts w:hint="eastAsia" w:ascii="Times New Roman" w:hAnsi="Times New Roman"/>
          <w:b/>
          <w:sz w:val="22"/>
        </w:rPr>
        <w:t xml:space="preserve"> methods</w:t>
      </w:r>
    </w:p>
    <w:p>
      <w:pPr>
        <w:spacing w:line="360" w:lineRule="auto"/>
        <w:rPr>
          <w:rFonts w:ascii="Times New Roman" w:hAnsi="Times New Roman" w:cs="Times New Roman"/>
          <w:b/>
          <w:color w:val="000000"/>
          <w:sz w:val="22"/>
        </w:rPr>
      </w:pPr>
    </w:p>
    <w:p>
      <w:pPr>
        <w:spacing w:line="360" w:lineRule="auto"/>
        <w:rPr>
          <w:rFonts w:ascii="Times New Roman" w:hAnsi="Times New Roman" w:cs="Times New Roman"/>
          <w:b/>
          <w:bCs/>
          <w:sz w:val="22"/>
        </w:rPr>
      </w:pPr>
      <w:r>
        <w:rPr>
          <w:rFonts w:ascii="Times New Roman" w:hAnsi="Times New Roman" w:cs="Times New Roman"/>
          <w:b/>
          <w:bCs/>
          <w:sz w:val="22"/>
        </w:rPr>
        <w:t>Detailed clinical study design</w:t>
      </w:r>
    </w:p>
    <w:p>
      <w:pPr>
        <w:spacing w:line="360" w:lineRule="auto"/>
        <w:ind w:firstLine="440" w:firstLineChars="200"/>
        <w:rPr>
          <w:rFonts w:ascii="Times New Roman" w:hAnsi="Times New Roman" w:cs="Times New Roman"/>
          <w:sz w:val="22"/>
        </w:rPr>
      </w:pPr>
      <w:r>
        <w:rPr>
          <w:rFonts w:ascii="Times New Roman" w:hAnsi="Times New Roman" w:cs="Times New Roman"/>
          <w:sz w:val="22"/>
        </w:rPr>
        <w:t xml:space="preserve">All HCC patients included in this study were HBV infected, and finally 289 HBV-related AYA HCC patients and 257 HBV-related elderly HCC patients who underwent hepatectomy in West China Hospital, Sichuan University, Chengdu, China from 2010 to 2014, were included. The data of all patients were retrospectively reviewed. Inclusion criteria included the age of patients (young group 15-40 years old, old group over 60 years old), no history of previous anticancer therapy, radical resection of liver tumors and the histopathologically proven HCC, </w:t>
      </w:r>
      <w:bookmarkStart w:id="0" w:name="_Hlk114583968"/>
      <w:r>
        <w:rPr>
          <w:rFonts w:ascii="Times New Roman" w:hAnsi="Times New Roman" w:cs="Times New Roman"/>
          <w:sz w:val="22"/>
        </w:rPr>
        <w:t>grade A or B Child-Pugh liver function</w:t>
      </w:r>
      <w:bookmarkEnd w:id="0"/>
      <w:r>
        <w:rPr>
          <w:rFonts w:ascii="Times New Roman" w:hAnsi="Times New Roman" w:cs="Times New Roman"/>
          <w:sz w:val="22"/>
        </w:rPr>
        <w:t xml:space="preserve">. Exclusion criteria included extrahepatic metastasis of primary liver cancer, simultaneously underwent resection and radiofrequency ablation and palliative resection and targeted therapy, the mixed or other type of liver cancer, grade C Child-Pugh liver function, pregnant or breastfeeding women, patients with a history of mental illness or psychotropic substance abuse and HIV-infected people. </w:t>
      </w:r>
    </w:p>
    <w:p>
      <w:pPr>
        <w:spacing w:line="360" w:lineRule="auto"/>
        <w:ind w:firstLine="440" w:firstLineChars="200"/>
        <w:rPr>
          <w:rFonts w:ascii="Times New Roman" w:hAnsi="Times New Roman" w:cs="Times New Roman"/>
          <w:sz w:val="22"/>
        </w:rPr>
      </w:pPr>
      <w:r>
        <w:rPr>
          <w:rFonts w:ascii="Times New Roman" w:hAnsi="Times New Roman" w:cs="Times New Roman"/>
          <w:sz w:val="22"/>
        </w:rPr>
        <w:t xml:space="preserve"> Laboratory blood examination, including routine blood test, liver and renal function, coagulation tests, tumor markers like alpha-fetoprotein (AFP) and infectious disease screening were completely tested. Preoperative chest X-ray, electrocardiogram and enhanced CT or MRI of abdomen to exclude the cardiopulmonary diseases and confirm the HCC diagnosis. Postoperative HCC diagnosis was confirmed by histopathological examination. Two experienced pathologists confirmed the final diagnosis and all specimens were routinely examined for the presence of the microvascular invasion (MVI). Liver and renal function test, serum AFP assay, routine blood test and abdominal ultrasonography were performed every 3 months in the first and second postoperative year and every 6 months in the subsequent years. Patients who survived and were not lost to follow-up were followed up to at least 5 years. Overall survival (OS) and recurrence-free survival (RFS) were the endpoints of our study. OS was calculated from the date of radical liver resection to the date of patient’s death or the date of last follow-up visit. DFS was measured from the date of radical liver resection to the date when tumor recurrence was diagnosed.</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Screening of AYA unique different mRNAs, miRNAs and lncRNAs</w:t>
      </w:r>
    </w:p>
    <w:p>
      <w:pPr>
        <w:spacing w:line="360" w:lineRule="auto"/>
        <w:ind w:firstLine="440" w:firstLineChars="200"/>
        <w:rPr>
          <w:rFonts w:ascii="Times New Roman" w:hAnsi="Times New Roman" w:cs="Times New Roman"/>
          <w:sz w:val="22"/>
        </w:rPr>
      </w:pPr>
      <w:r>
        <w:rPr>
          <w:rFonts w:ascii="Times New Roman" w:hAnsi="Times New Roman" w:cs="Times New Roman"/>
          <w:sz w:val="22"/>
        </w:rPr>
        <w:t xml:space="preserve">Differential expression analysis of mRNAs and lncRNAs about young group and old group was performed by the “edgeR” package in R, respectively. </w:t>
      </w:r>
      <w:bookmarkStart w:id="1" w:name="_Hlk114588226"/>
      <w:r>
        <w:rPr>
          <w:rFonts w:ascii="Times New Roman" w:hAnsi="Times New Roman" w:cs="Times New Roman"/>
          <w:sz w:val="22"/>
        </w:rPr>
        <w:t xml:space="preserve">A </w:t>
      </w:r>
      <w:bookmarkStart w:id="2" w:name="_Hlk114588802"/>
      <w:r>
        <w:rPr>
          <w:rFonts w:ascii="Times New Roman" w:hAnsi="Times New Roman" w:cs="Times New Roman"/>
          <w:sz w:val="22"/>
        </w:rPr>
        <w:t>p value &lt;0.05 and |log2 fold change (FC)|&gt;1</w:t>
      </w:r>
      <w:bookmarkEnd w:id="2"/>
      <w:r>
        <w:rPr>
          <w:rFonts w:ascii="Times New Roman" w:hAnsi="Times New Roman" w:cs="Times New Roman"/>
          <w:sz w:val="22"/>
        </w:rPr>
        <w:t xml:space="preserve"> was considered as the preliminary thresholds.</w:t>
      </w:r>
      <w:bookmarkEnd w:id="1"/>
      <w:r>
        <w:rPr>
          <w:rFonts w:ascii="Times New Roman" w:hAnsi="Times New Roman" w:cs="Times New Roman"/>
          <w:sz w:val="22"/>
        </w:rPr>
        <w:t xml:space="preserve"> Then differential RNAs shared and unique between young and old groups were analyzed by Venn diagram (</w:t>
      </w:r>
      <w:r>
        <w:fldChar w:fldCharType="begin"/>
      </w:r>
      <w:r>
        <w:instrText xml:space="preserve"> HYPERLINK "https://bioinfogp.cnb.csic.es/tools/venny" </w:instrText>
      </w:r>
      <w:r>
        <w:fldChar w:fldCharType="separate"/>
      </w:r>
      <w:r>
        <w:rPr>
          <w:rStyle w:val="8"/>
          <w:rFonts w:ascii="Times New Roman" w:hAnsi="Times New Roman" w:cs="Times New Roman"/>
          <w:sz w:val="22"/>
        </w:rPr>
        <w:t>https://bioinfogp.cnb.csic.es/tools/venny</w:t>
      </w:r>
      <w:r>
        <w:rPr>
          <w:rStyle w:val="8"/>
          <w:rFonts w:ascii="Times New Roman" w:hAnsi="Times New Roman" w:cs="Times New Roman"/>
          <w:sz w:val="22"/>
        </w:rPr>
        <w:fldChar w:fldCharType="end"/>
      </w:r>
      <w:r>
        <w:rPr>
          <w:rFonts w:ascii="Times New Roman" w:hAnsi="Times New Roman" w:cs="Times New Roman"/>
          <w:sz w:val="22"/>
        </w:rPr>
        <w:t xml:space="preserve">), </w:t>
      </w:r>
      <w:bookmarkStart w:id="3" w:name="_Hlk114588607"/>
      <w:r>
        <w:rPr>
          <w:rFonts w:ascii="Times New Roman" w:hAnsi="Times New Roman" w:cs="Times New Roman"/>
          <w:sz w:val="22"/>
        </w:rPr>
        <w:t>the unique differential RNAs of the young group were selected</w:t>
      </w:r>
      <w:bookmarkEnd w:id="3"/>
      <w:r>
        <w:rPr>
          <w:rFonts w:ascii="Times New Roman" w:hAnsi="Times New Roman" w:cs="Times New Roman"/>
          <w:sz w:val="22"/>
        </w:rPr>
        <w:t xml:space="preserve">. A adjust p value &lt;0.05 and </w:t>
      </w:r>
      <w:bookmarkStart w:id="4" w:name="_Hlk115188768"/>
      <w:r>
        <w:rPr>
          <w:rFonts w:ascii="Times New Roman" w:hAnsi="Times New Roman" w:cs="Times New Roman"/>
          <w:sz w:val="22"/>
        </w:rPr>
        <w:t>|log2 fold change (FC)|&gt;1</w:t>
      </w:r>
      <w:bookmarkEnd w:id="4"/>
      <w:r>
        <w:rPr>
          <w:rFonts w:ascii="Times New Roman" w:hAnsi="Times New Roman" w:cs="Times New Roman"/>
          <w:sz w:val="22"/>
        </w:rPr>
        <w:t xml:space="preserve"> was considered as the further filter thresholds. And </w:t>
      </w:r>
      <w:bookmarkStart w:id="5" w:name="_Hlk115547491"/>
      <w:r>
        <w:rPr>
          <w:rFonts w:ascii="Times New Roman" w:hAnsi="Times New Roman" w:cs="Times New Roman"/>
          <w:sz w:val="22"/>
        </w:rPr>
        <w:t>the mean fragments per kilobase of transcript per million mapped reads (FPKM) of mRNAs &gt;15</w:t>
      </w:r>
      <w:bookmarkEnd w:id="5"/>
      <w:r>
        <w:rPr>
          <w:rFonts w:ascii="Times New Roman" w:hAnsi="Times New Roman" w:cs="Times New Roman"/>
          <w:sz w:val="22"/>
        </w:rPr>
        <w:t xml:space="preserve">. The expression levels of miRNAs were normalized followed the procedures as described in a </w:t>
      </w:r>
      <w:bookmarkStart w:id="6" w:name="_Hlk114602667"/>
      <w:r>
        <w:rPr>
          <w:rFonts w:ascii="Times New Roman" w:hAnsi="Times New Roman" w:cs="Times New Roman"/>
          <w:sz w:val="22"/>
        </w:rPr>
        <w:t>previous study</w:t>
      </w:r>
      <w:bookmarkEnd w:id="6"/>
      <w:r>
        <w:rPr>
          <w:rFonts w:ascii="Times New Roman" w:hAnsi="Times New Roman" w:cs="Times New Roman"/>
          <w:sz w:val="22"/>
        </w:rPr>
        <w:fldChar w:fldCharType="begin">
          <w:fldData xml:space="preserve">PEVuZE5vdGU+PENpdGU+PEF1dGhvcj5DZXI8L0F1dGhvcj48WWVhcj4yMDE0PC9ZZWFyPjxSZWNO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</w:fldData>
        </w:fldChar>
      </w:r>
      <w:r>
        <w:rPr>
          <w:rFonts w:ascii="Times New Roman" w:hAnsi="Times New Roman" w:cs="Times New Roman"/>
          <w:sz w:val="22"/>
        </w:rPr>
        <w:instrText xml:space="preserve"> ADDIN EN.CITE </w:instrText>
      </w:r>
      <w:r>
        <w:rPr>
          <w:rFonts w:ascii="Times New Roman" w:hAnsi="Times New Roman" w:cs="Times New Roman"/>
          <w:sz w:val="22"/>
        </w:rPr>
        <w:fldChar w:fldCharType="begin">
          <w:fldData xml:space="preserve">PEVuZE5vdGU+PENpdGU+PEF1dGhvcj5DZXI8L0F1dGhvcj48WWVhcj4yMDE0PC9ZZWFyPjxSZWNO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</w:fldData>
        </w:fldChar>
      </w:r>
      <w:r>
        <w:rPr>
          <w:rFonts w:ascii="Times New Roman" w:hAnsi="Times New Roman" w:cs="Times New Roman"/>
          <w:sz w:val="22"/>
        </w:rPr>
        <w:instrText xml:space="preserve"> ADDIN EN.CITE.DATA </w:instrText>
      </w:r>
      <w:r>
        <w:rPr>
          <w:rFonts w:ascii="Times New Roman" w:hAnsi="Times New Roman" w:cs="Times New Roman"/>
          <w:sz w:val="22"/>
        </w:rPr>
        <w:fldChar w:fldCharType="end"/>
      </w:r>
      <w:r>
        <w:rPr>
          <w:rFonts w:ascii="Times New Roman" w:hAnsi="Times New Roman" w:cs="Times New Roman"/>
          <w:sz w:val="22"/>
        </w:rPr>
        <w:fldChar w:fldCharType="separate"/>
      </w:r>
      <w:r>
        <w:rPr>
          <w:rFonts w:ascii="Times New Roman" w:hAnsi="Times New Roman" w:cs="Times New Roman"/>
          <w:sz w:val="22"/>
          <w:vertAlign w:val="superscript"/>
        </w:rPr>
        <w:t>[12]</w:t>
      </w:r>
      <w:r>
        <w:rPr>
          <w:rFonts w:ascii="Times New Roman" w:hAnsi="Times New Roman" w:cs="Times New Roman"/>
          <w:sz w:val="22"/>
        </w:rPr>
        <w:fldChar w:fldCharType="end"/>
      </w:r>
      <w:r>
        <w:rPr>
          <w:rFonts w:ascii="Times New Roman" w:hAnsi="Times New Roman" w:cs="Times New Roman"/>
          <w:sz w:val="22"/>
        </w:rPr>
        <w:t xml:space="preserve"> with minor modification, then the t-test of the two groups of samples with biological replicates was performed on the expression of miRNAs in the tumor tissue and adjacent tissue of the young group and the old group, respectively. A p value &lt;0.05 and |log2 fold change (FC)|&gt;1 was considered as the thresholds. The unique differential miRNAs of the young group were selected by Venn diagram with </w:t>
      </w:r>
      <w:bookmarkStart w:id="7" w:name="_Hlk114605203"/>
      <w:r>
        <w:rPr>
          <w:rFonts w:ascii="Times New Roman" w:hAnsi="Times New Roman" w:cs="Times New Roman"/>
          <w:sz w:val="22"/>
        </w:rPr>
        <w:t>p value &lt;0.01</w:t>
      </w:r>
      <w:bookmarkEnd w:id="7"/>
      <w:r>
        <w:rPr>
          <w:rFonts w:ascii="Times New Roman" w:hAnsi="Times New Roman" w:cs="Times New Roman"/>
          <w:sz w:val="22"/>
        </w:rPr>
        <w:t xml:space="preserve">. Heatmaps were plotted by </w:t>
      </w:r>
      <w:r>
        <w:fldChar w:fldCharType="begin"/>
      </w:r>
      <w:r>
        <w:instrText xml:space="preserve"> HYPERLINK "https://www.bioinformatics.com.cn" </w:instrText>
      </w:r>
      <w:r>
        <w:fldChar w:fldCharType="separate"/>
      </w:r>
      <w:r>
        <w:rPr>
          <w:rStyle w:val="8"/>
          <w:rFonts w:ascii="Times New Roman" w:hAnsi="Times New Roman" w:cs="Times New Roman"/>
          <w:sz w:val="22"/>
        </w:rPr>
        <w:t>https://www.bioinformatics.com.cn</w:t>
      </w:r>
      <w:r>
        <w:rPr>
          <w:rStyle w:val="8"/>
          <w:rFonts w:ascii="Times New Roman" w:hAnsi="Times New Roman" w:cs="Times New Roman"/>
          <w:sz w:val="22"/>
        </w:rPr>
        <w:fldChar w:fldCharType="end"/>
      </w:r>
      <w:r>
        <w:rPr>
          <w:rFonts w:ascii="Times New Roman" w:hAnsi="Times New Roman" w:cs="Times New Roman"/>
          <w:sz w:val="22"/>
        </w:rPr>
        <w:t>. The young unique differential mRNAs, miRNAs and lncRNAs were provided in the schedule 1 to 3.</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Functional enrichment analysis</w:t>
      </w:r>
    </w:p>
    <w:p>
      <w:pPr>
        <w:spacing w:line="360" w:lineRule="auto"/>
        <w:ind w:firstLine="440" w:firstLineChars="200"/>
        <w:rPr>
          <w:rFonts w:ascii="Times New Roman" w:hAnsi="Times New Roman" w:cs="Times New Roman"/>
          <w:sz w:val="22"/>
        </w:rPr>
      </w:pPr>
      <w:r>
        <w:rPr>
          <w:rFonts w:ascii="Times New Roman" w:hAnsi="Times New Roman" w:cs="Times New Roman"/>
          <w:sz w:val="22"/>
        </w:rPr>
        <w:t>For the differentially expressed mRNAs in AYA HCC, GO and KEGG functional analysis was performed using the “Cluster Profiler” package in R. Gene set enrichment analysis (GSEA) was also performed by the “Cluster Profiler” package. The age-related GSEA analysis was using the “fgsea” package, in which the young unique differentially expressed genes arranged by correlation between age and gene expression. The KEGG enrichment analysis of differential miRNAs based on the TarBase database was performed through the mirPath function in DIANA TOOLS (http://snf-515788.vm.okeanos.grnet.gr/).</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bookmarkStart w:id="8" w:name="_Hlk114601342"/>
      <w:r>
        <w:rPr>
          <w:rFonts w:ascii="Times New Roman" w:hAnsi="Times New Roman" w:cs="Times New Roman"/>
          <w:b/>
          <w:bCs/>
          <w:sz w:val="22"/>
        </w:rPr>
        <w:t>Mfuzz clustering analysis</w:t>
      </w:r>
    </w:p>
    <w:bookmarkEnd w:id="8"/>
    <w:p>
      <w:pPr>
        <w:spacing w:line="360" w:lineRule="auto"/>
        <w:ind w:firstLine="420"/>
        <w:rPr>
          <w:rFonts w:ascii="Times New Roman" w:hAnsi="Times New Roman" w:cs="Times New Roman"/>
          <w:sz w:val="22"/>
        </w:rPr>
      </w:pPr>
      <w:r>
        <w:rPr>
          <w:rFonts w:ascii="Times New Roman" w:hAnsi="Times New Roman" w:cs="Times New Roman"/>
          <w:sz w:val="22"/>
        </w:rPr>
        <w:t>According to the corresponding age of the HBV-HCC patients included for sequencing, the tumor samples were divided into 4 groups (&lt;25, 25-30, 65-70, &gt;70 years old). Mfuzz clustering analysis was performed using “Mfuzz” package in R, and the genes were set into 5 groups. Further functional analysis was performed on the differential gene clusters.</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WGCNA analysis</w:t>
      </w:r>
    </w:p>
    <w:p>
      <w:pPr>
        <w:spacing w:line="360" w:lineRule="auto"/>
        <w:ind w:firstLine="420"/>
        <w:rPr>
          <w:rFonts w:ascii="Times New Roman" w:hAnsi="Times New Roman" w:cs="Times New Roman"/>
          <w:sz w:val="22"/>
        </w:rPr>
      </w:pPr>
      <w:r>
        <w:rPr>
          <w:rFonts w:ascii="Times New Roman" w:hAnsi="Times New Roman" w:cs="Times New Roman"/>
          <w:sz w:val="22"/>
        </w:rPr>
        <w:t>The expression of unique differential genes of young and elderly liver tumor samples were used as input matrix. Clinical indicators such as age, tumor recurrence within 1 year, height, weight, AFP, abnormal prothrombin, total tumor diameter, microvascular invasion, pathological grade, TMN grade, etc. of the corresponding HCC patients were collected. The ”WGCNA” package in R was used for analysis. Outlier samples were removed by drawing a clustering tree and set a soft threshold of 6.</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MPI and PPI Network Construction</w:t>
      </w:r>
    </w:p>
    <w:p>
      <w:pPr>
        <w:spacing w:line="360" w:lineRule="auto"/>
        <w:rPr>
          <w:rFonts w:ascii="Times New Roman" w:hAnsi="Times New Roman" w:cs="Times New Roman"/>
          <w:sz w:val="22"/>
        </w:rPr>
      </w:pPr>
      <w:r>
        <w:rPr>
          <w:rFonts w:ascii="Times New Roman" w:hAnsi="Times New Roman" w:cs="Times New Roman"/>
          <w:sz w:val="22"/>
        </w:rPr>
        <w:t xml:space="preserve">    PPIs were obtained from STRING (</w:t>
      </w:r>
      <w:r>
        <w:fldChar w:fldCharType="begin"/>
      </w:r>
      <w:r>
        <w:instrText xml:space="preserve"> HYPERLINK "https://cn.string-db.org/" </w:instrText>
      </w:r>
      <w:r>
        <w:fldChar w:fldCharType="separate"/>
      </w:r>
      <w:r>
        <w:rPr>
          <w:rStyle w:val="8"/>
          <w:rFonts w:ascii="Times New Roman" w:hAnsi="Times New Roman" w:cs="Times New Roman"/>
          <w:sz w:val="22"/>
        </w:rPr>
        <w:t>https://cn.string-db.org/</w:t>
      </w:r>
      <w:r>
        <w:rPr>
          <w:rStyle w:val="8"/>
          <w:rFonts w:ascii="Times New Roman" w:hAnsi="Times New Roman" w:cs="Times New Roman"/>
          <w:sz w:val="22"/>
        </w:rPr>
        <w:fldChar w:fldCharType="end"/>
      </w:r>
      <w:r>
        <w:rPr>
          <w:rFonts w:ascii="Times New Roman" w:hAnsi="Times New Roman" w:cs="Times New Roman"/>
          <w:sz w:val="22"/>
        </w:rPr>
        <w:t xml:space="preserve">) and optimized the network by Cytoscape. The hub genes were screened out by the MCC algorithm in Cyto-Hubba. The MPI network was constructed as previous described, by which MPIs extracted from four resources including KEGG, Reactome, Human-GEM, and BRENDA. Genes in MPIs were ranged by degree using cytoNCA in Cytoscape. Combining PPIs and MPIs, metabolism-related hub genes were screened out from the intersection of key genes of two networks. </w:t>
      </w:r>
    </w:p>
    <w:p>
      <w:pPr>
        <w:spacing w:line="360" w:lineRule="auto"/>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Establishment of the ceRNA network</w:t>
      </w:r>
    </w:p>
    <w:p>
      <w:pPr>
        <w:spacing w:line="360" w:lineRule="auto"/>
        <w:ind w:firstLine="420"/>
        <w:rPr>
          <w:rFonts w:ascii="Times New Roman" w:hAnsi="Times New Roman" w:cs="Times New Roman"/>
          <w:sz w:val="22"/>
        </w:rPr>
      </w:pPr>
      <w:r>
        <w:rPr>
          <w:rFonts w:ascii="Times New Roman" w:hAnsi="Times New Roman" w:cs="Times New Roman"/>
          <w:sz w:val="22"/>
        </w:rPr>
        <w:t>miRNAs are known to mainly cause gene silence by binding to downstream target mRNA at the post-transcriptional level, while lncRNAs can act as baits for miRNA binding and counteract the repressive activity of miRNA, which is the fundamental basis of ceRNA network.</w:t>
      </w:r>
      <w:r>
        <w:rPr>
          <w:rFonts w:ascii="Times New Roman" w:hAnsi="Times New Roman" w:cs="Times New Roman"/>
          <w:sz w:val="22"/>
        </w:rPr>
        <w:fldChar w:fldCharType="begin">
          <w:fldData xml:space="preserve">PEVuZE5vdGU+PENpdGU+PEF1dGhvcj5LYXJyZXRoPC9BdXRob3I+PFllYXI+MjAxMzwvWWVhcj48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==
</w:fldData>
        </w:fldChar>
      </w:r>
      <w:r>
        <w:rPr>
          <w:rFonts w:ascii="Times New Roman" w:hAnsi="Times New Roman" w:cs="Times New Roman"/>
          <w:sz w:val="22"/>
        </w:rPr>
        <w:instrText xml:space="preserve"> ADDIN EN.CITE </w:instrText>
      </w:r>
      <w:r>
        <w:rPr>
          <w:rFonts w:ascii="Times New Roman" w:hAnsi="Times New Roman" w:cs="Times New Roman"/>
          <w:sz w:val="22"/>
        </w:rPr>
        <w:fldChar w:fldCharType="begin">
          <w:fldData xml:space="preserve">PEVuZE5vdGU+PENpdGU+PEF1dGhvcj5LYXJyZXRoPC9BdXRob3I+PFllYXI+MjAxMzwvWWVhcj48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==
</w:fldData>
        </w:fldChar>
      </w:r>
      <w:r>
        <w:rPr>
          <w:rFonts w:ascii="Times New Roman" w:hAnsi="Times New Roman" w:cs="Times New Roman"/>
          <w:sz w:val="22"/>
        </w:rPr>
        <w:instrText xml:space="preserve"> ADDIN EN.CITE.DATA </w:instrText>
      </w:r>
      <w:r>
        <w:rPr>
          <w:rFonts w:ascii="Times New Roman" w:hAnsi="Times New Roman" w:cs="Times New Roman"/>
          <w:sz w:val="22"/>
        </w:rPr>
        <w:fldChar w:fldCharType="end"/>
      </w:r>
      <w:r>
        <w:rPr>
          <w:rFonts w:ascii="Times New Roman" w:hAnsi="Times New Roman" w:cs="Times New Roman"/>
          <w:sz w:val="22"/>
        </w:rPr>
        <w:fldChar w:fldCharType="separate"/>
      </w:r>
      <w:r>
        <w:rPr>
          <w:rFonts w:ascii="Times New Roman" w:hAnsi="Times New Roman" w:cs="Times New Roman"/>
          <w:sz w:val="22"/>
          <w:vertAlign w:val="superscript"/>
        </w:rPr>
        <w:t>[14]</w:t>
      </w:r>
      <w:r>
        <w:rPr>
          <w:rFonts w:ascii="Times New Roman" w:hAnsi="Times New Roman" w:cs="Times New Roman"/>
          <w:sz w:val="22"/>
        </w:rPr>
        <w:fldChar w:fldCharType="end"/>
      </w:r>
      <w:r>
        <w:rPr>
          <w:rFonts w:ascii="Times New Roman" w:hAnsi="Times New Roman" w:cs="Times New Roman"/>
          <w:sz w:val="22"/>
        </w:rPr>
        <w:t xml:space="preserve"> lncRNA-mRNA co-expression relationship and the differential miRNA-mRNA and the differential miRNA-lncRNA regulatory relationships were integrated to construct the ceRNA network. Context score percentile&gt;90 by TargetScan, Tot Score&gt;140 and Tot Energy&lt;-20 by miRanda were filters for target ceRNAs. Pearson correlation coefficient&gt;0.65 and p value &lt;0.05 were the threshold of lncRNA-mRNA co-expression relationship. </w:t>
      </w:r>
    </w:p>
    <w:p>
      <w:pPr>
        <w:spacing w:line="360" w:lineRule="auto"/>
        <w:rPr>
          <w:rFonts w:ascii="Times New Roman" w:hAnsi="Times New Roman" w:cs="Times New Roman"/>
          <w:b/>
          <w:bCs/>
          <w:sz w:val="22"/>
        </w:rPr>
      </w:pPr>
    </w:p>
    <w:p>
      <w:pPr>
        <w:spacing w:line="360" w:lineRule="auto"/>
        <w:rPr>
          <w:rFonts w:ascii="Times New Roman" w:hAnsi="Times New Roman" w:cs="Times New Roman"/>
          <w:b/>
          <w:bCs/>
          <w:sz w:val="22"/>
        </w:rPr>
      </w:pPr>
      <w:r>
        <w:rPr>
          <w:rFonts w:ascii="Times New Roman" w:hAnsi="Times New Roman" w:cs="Times New Roman"/>
          <w:b/>
          <w:bCs/>
          <w:sz w:val="22"/>
        </w:rPr>
        <w:t>TCGA data preparation and processing</w:t>
      </w:r>
    </w:p>
    <w:p>
      <w:pPr>
        <w:spacing w:line="360" w:lineRule="auto"/>
        <w:rPr>
          <w:rFonts w:ascii="Times New Roman" w:hAnsi="Times New Roman" w:cs="Times New Roman"/>
          <w:sz w:val="22"/>
        </w:rPr>
      </w:pPr>
      <w:r>
        <w:rPr>
          <w:rFonts w:ascii="Times New Roman" w:hAnsi="Times New Roman" w:cs="Times New Roman"/>
          <w:sz w:val="22"/>
        </w:rPr>
        <w:t xml:space="preserve">    Genomic Data Commons (GDC) TCGA LIHC data provided by the University of California Santa Cruz (UCSC) Xena database (</w:t>
      </w:r>
      <w:r>
        <w:fldChar w:fldCharType="begin"/>
      </w:r>
      <w:r>
        <w:instrText xml:space="preserve"> HYPERLINK "https://xenabrowser.net/datapages/" </w:instrText>
      </w:r>
      <w:r>
        <w:fldChar w:fldCharType="separate"/>
      </w:r>
      <w:r>
        <w:rPr>
          <w:rStyle w:val="8"/>
          <w:rFonts w:ascii="Times New Roman" w:hAnsi="Times New Roman" w:cs="Times New Roman"/>
          <w:sz w:val="22"/>
        </w:rPr>
        <w:t>https://xenabrowser.net/datapages/</w:t>
      </w:r>
      <w:r>
        <w:rPr>
          <w:rStyle w:val="8"/>
          <w:rFonts w:ascii="Times New Roman" w:hAnsi="Times New Roman" w:cs="Times New Roman"/>
          <w:sz w:val="22"/>
        </w:rPr>
        <w:fldChar w:fldCharType="end"/>
      </w:r>
      <w:r>
        <w:rPr>
          <w:rFonts w:ascii="Times New Roman" w:hAnsi="Times New Roman" w:cs="Times New Roman"/>
          <w:sz w:val="22"/>
        </w:rPr>
        <w:t>) was used in this study for further validation. PCA analysis was performed on the HCC samples in the TCGA database based on the expression of metabolic-related hub genes. Samples were divided into two groups with PC1=PC2 as the dividing line. C1 group was the part of PC1&gt;PC2, and C2 group was the part of PC1&lt;PC2. The gene difference analysis of the two groups was further carried out through the “DESeq2” package in R. The threshold was set as p value &lt;0.01 and |log2 fold change (FC)|&gt;2. Functional analysis was performed by “Cluster Profiler” package and PPIs of key pathways was established using STRING with outcomes of GSEA analysis. The Kaplan–Meier method was used for prognosis analysis.</w:t>
      </w:r>
    </w:p>
    <w:p>
      <w:pPr>
        <w:spacing w:line="360" w:lineRule="auto"/>
        <w:rPr>
          <w:rFonts w:ascii="Times New Roman" w:hAnsi="Times New Roman" w:cs="Times New Roman"/>
          <w:b/>
          <w:bCs/>
          <w:sz w:val="22"/>
        </w:rPr>
      </w:pPr>
    </w:p>
    <w:p>
      <w:pPr>
        <w:spacing w:line="360" w:lineRule="auto"/>
        <w:rPr>
          <w:rFonts w:ascii="Times New Roman" w:hAnsi="Times New Roman" w:cs="Times New Roman"/>
          <w:b/>
          <w:bCs/>
          <w:sz w:val="22"/>
        </w:rPr>
      </w:pPr>
      <w:r>
        <w:rPr>
          <w:rFonts w:ascii="Times New Roman" w:hAnsi="Times New Roman" w:cs="Times New Roman"/>
          <w:b/>
          <w:bCs/>
          <w:sz w:val="22"/>
        </w:rPr>
        <w:t>Immune infiltrate levels and expression analysis</w:t>
      </w:r>
    </w:p>
    <w:p>
      <w:pPr>
        <w:spacing w:line="360" w:lineRule="auto"/>
        <w:ind w:firstLine="420"/>
        <w:rPr>
          <w:rFonts w:ascii="Times New Roman" w:hAnsi="Times New Roman" w:cs="Times New Roman"/>
          <w:sz w:val="22"/>
        </w:rPr>
      </w:pPr>
      <w:r>
        <w:rPr>
          <w:rFonts w:ascii="Times New Roman" w:hAnsi="Times New Roman" w:cs="Times New Roman"/>
          <w:sz w:val="22"/>
        </w:rPr>
        <w:t>The immune score and stromal score of C1 and C2 groups were calculated by the “estimate” package in R. The proportion of the 22 types of immune cells in the tumor microenvironment (TME) of each sample was evaluated using the “</w:t>
      </w:r>
      <w:bookmarkStart w:id="9" w:name="_Hlk115201220"/>
      <w:r>
        <w:rPr>
          <w:rFonts w:ascii="Times New Roman" w:hAnsi="Times New Roman" w:cs="Times New Roman"/>
          <w:sz w:val="22"/>
        </w:rPr>
        <w:t>CIBERSORT</w:t>
      </w:r>
      <w:bookmarkEnd w:id="9"/>
      <w:r>
        <w:rPr>
          <w:rFonts w:ascii="Times New Roman" w:hAnsi="Times New Roman" w:cs="Times New Roman"/>
          <w:sz w:val="22"/>
        </w:rPr>
        <w:t>” package in R. A list of 29 functional gene expression signatures (Fges) representing cellular and functional TME properties was proposed by Bagaev et al. The expression of 29-Fges related genes was integrated and compared between two groups using the ssGSEA algorithm via the “GSVA” package in R.</w:t>
      </w:r>
    </w:p>
    <w:p>
      <w:pPr>
        <w:spacing w:line="360" w:lineRule="auto"/>
        <w:ind w:firstLine="420"/>
        <w:rPr>
          <w:rFonts w:ascii="Times New Roman" w:hAnsi="Times New Roman" w:cs="Times New Roman"/>
          <w:sz w:val="22"/>
        </w:rPr>
      </w:pPr>
    </w:p>
    <w:p>
      <w:pPr>
        <w:spacing w:line="360" w:lineRule="auto"/>
        <w:rPr>
          <w:rFonts w:ascii="Times New Roman" w:hAnsi="Times New Roman" w:cs="Times New Roman"/>
          <w:b/>
          <w:bCs/>
          <w:sz w:val="22"/>
        </w:rPr>
      </w:pPr>
      <w:r>
        <w:rPr>
          <w:rFonts w:ascii="Times New Roman" w:hAnsi="Times New Roman" w:cs="Times New Roman"/>
          <w:b/>
          <w:bCs/>
          <w:sz w:val="22"/>
        </w:rPr>
        <w:t>RT-qPCR assay</w:t>
      </w:r>
    </w:p>
    <w:p>
      <w:pPr>
        <w:spacing w:line="360" w:lineRule="auto"/>
        <w:ind w:firstLine="440" w:firstLineChars="200"/>
      </w:pPr>
      <w:r>
        <w:rPr>
          <w:rFonts w:ascii="Times New Roman" w:hAnsi="Times New Roman" w:cs="Times New Roman"/>
          <w:sz w:val="22"/>
        </w:rPr>
        <w:t xml:space="preserve">mRNA were reversely transcribed using RT Master Mix for qPCR (MCE, New Jersey, USA), while miRNA was reverse transcribed by stem-loop method. Taq Pro Universal SYBR qPCR Master Mix (Vazyme, Nanjing, China) was used for qRT-PCR. The lncRNA and mRNA levels were normalized by </w:t>
      </w:r>
      <w:r>
        <w:rPr>
          <w:rFonts w:ascii="Times New Roman" w:hAnsi="Times New Roman" w:cs="Times New Roman" w:eastAsiaTheme="minorHAnsi"/>
          <w:sz w:val="22"/>
        </w:rPr>
        <w:t>GAPDH</w:t>
      </w:r>
      <w:r>
        <w:rPr>
          <w:rFonts w:ascii="Times New Roman" w:hAnsi="Times New Roman" w:cs="Times New Roman"/>
          <w:sz w:val="22"/>
        </w:rPr>
        <w:t>. The miRNA level was normalized by small nuclear U6. The relative expression levels were determined by the</w:t>
      </w:r>
      <w:r>
        <w:rPr>
          <w:rFonts w:ascii="Times New Roman" w:hAnsi="Times New Roman" w:eastAsia="等线" w:cs="Times New Roman"/>
          <w:sz w:val="22"/>
        </w:rPr>
        <w:t xml:space="preserve"> 2</w:t>
      </w:r>
      <w:r>
        <w:rPr>
          <w:rFonts w:ascii="Times New Roman" w:hAnsi="Times New Roman" w:eastAsia="微软雅黑" w:cs="Times New Roman"/>
          <w:sz w:val="22"/>
          <w:vertAlign w:val="superscript"/>
        </w:rPr>
        <w:t>−</w:t>
      </w:r>
      <w:r>
        <w:rPr>
          <w:rFonts w:ascii="Times New Roman" w:hAnsi="Times New Roman" w:eastAsia="等线" w:cs="Times New Roman"/>
          <w:sz w:val="22"/>
          <w:vertAlign w:val="superscript"/>
        </w:rPr>
        <w:t>ΔCt</w:t>
      </w:r>
      <w:r>
        <w:rPr>
          <w:rFonts w:ascii="Times New Roman" w:hAnsi="Times New Roman" w:eastAsia="等线" w:cs="Times New Roman"/>
          <w:sz w:val="22"/>
        </w:rPr>
        <w:t xml:space="preserve"> or 2</w:t>
      </w:r>
      <w:r>
        <w:rPr>
          <w:rFonts w:ascii="Times New Roman" w:hAnsi="Times New Roman" w:eastAsia="微软雅黑" w:cs="Times New Roman"/>
          <w:sz w:val="22"/>
          <w:vertAlign w:val="superscript"/>
        </w:rPr>
        <w:t>−</w:t>
      </w:r>
      <w:r>
        <w:rPr>
          <w:rFonts w:ascii="Times New Roman" w:hAnsi="Times New Roman" w:eastAsia="等线" w:cs="Times New Roman"/>
          <w:sz w:val="22"/>
          <w:vertAlign w:val="superscript"/>
        </w:rPr>
        <w:t xml:space="preserve">ΔΔCt </w:t>
      </w:r>
      <w:r>
        <w:rPr>
          <w:rFonts w:ascii="Times New Roman" w:hAnsi="Times New Roman" w:eastAsia="等线" w:cs="Times New Roman"/>
          <w:sz w:val="22"/>
        </w:rPr>
        <w:t>m</w:t>
      </w:r>
      <w:r>
        <w:rPr>
          <w:rFonts w:ascii="Times New Roman" w:hAnsi="Times New Roman" w:cs="Times New Roman"/>
          <w:sz w:val="22"/>
        </w:rPr>
        <w:t>ethod. Primers were listed in Supplementary table 3.</w:t>
      </w:r>
      <w:bookmarkStart w:id="10" w:name="_GoBack"/>
      <w:bookmarkEnd w:id="10"/>
    </w:p>
    <w:p>
      <w:pPr>
        <w:rPr>
          <w:rFonts w:ascii="Times New Roman" w:hAnsi="Times New Roman" w:cs="Times New Roman"/>
          <w:bCs/>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dvPA568">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1NDViY2Q0MWRjNDRlMmExMzNiNzhmNTEwMmI1ZWQifQ=="/>
  </w:docVars>
  <w:rsids>
    <w:rsidRoot w:val="00851ADD"/>
    <w:rsid w:val="000836D7"/>
    <w:rsid w:val="00184383"/>
    <w:rsid w:val="001E11E9"/>
    <w:rsid w:val="002936D1"/>
    <w:rsid w:val="00486037"/>
    <w:rsid w:val="004E3F81"/>
    <w:rsid w:val="006A68E3"/>
    <w:rsid w:val="006E45C2"/>
    <w:rsid w:val="007167DD"/>
    <w:rsid w:val="007465BA"/>
    <w:rsid w:val="007511CB"/>
    <w:rsid w:val="00820054"/>
    <w:rsid w:val="00843897"/>
    <w:rsid w:val="00851ADD"/>
    <w:rsid w:val="00991528"/>
    <w:rsid w:val="009F62CA"/>
    <w:rsid w:val="00A660B3"/>
    <w:rsid w:val="00A90BDA"/>
    <w:rsid w:val="00B87561"/>
    <w:rsid w:val="00CD3C04"/>
    <w:rsid w:val="00D24027"/>
    <w:rsid w:val="00D44536"/>
    <w:rsid w:val="00D529DF"/>
    <w:rsid w:val="00E7726F"/>
    <w:rsid w:val="00F67BC6"/>
    <w:rsid w:val="00F965E6"/>
    <w:rsid w:val="15F8734A"/>
    <w:rsid w:val="5EF45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styleId="9">
    <w:name w:val="annotation reference"/>
    <w:basedOn w:val="7"/>
    <w:semiHidden/>
    <w:unhideWhenUsed/>
    <w:qFormat/>
    <w:uiPriority w:val="99"/>
    <w:rPr>
      <w:sz w:val="21"/>
      <w:szCs w:val="21"/>
    </w:rPr>
  </w:style>
  <w:style w:type="character" w:customStyle="1" w:styleId="10">
    <w:name w:val="页眉 字符"/>
    <w:basedOn w:val="7"/>
    <w:link w:val="4"/>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fontstyle01"/>
    <w:basedOn w:val="7"/>
    <w:qFormat/>
    <w:uiPriority w:val="0"/>
    <w:rPr>
      <w:rFonts w:hint="default" w:ascii="AdvPA568" w:hAnsi="AdvPA568"/>
      <w:color w:val="231F20"/>
      <w:sz w:val="28"/>
      <w:szCs w:val="28"/>
    </w:rPr>
  </w:style>
  <w:style w:type="character" w:customStyle="1" w:styleId="13">
    <w:name w:val="批注文字 字符"/>
    <w:basedOn w:val="7"/>
    <w:link w:val="2"/>
    <w:semiHidden/>
    <w:qFormat/>
    <w:uiPriority w:val="99"/>
  </w:style>
  <w:style w:type="table" w:customStyle="1" w:styleId="14">
    <w:name w:val="List Table 6 Colorful Accent 3"/>
    <w:basedOn w:val="5"/>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1247</Words>
  <Characters>7088</Characters>
  <Lines>88</Lines>
  <Paragraphs>24</Paragraphs>
  <TotalTime>304</TotalTime>
  <ScaleCrop>false</ScaleCrop>
  <LinksUpToDate>false</LinksUpToDate>
  <CharactersWithSpaces>8324</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2022-10-31T01:36:00Z</dcterms:created>
  <dc:creator>虾 饺</dc:creator>
  <cp:lastModifiedBy>72760</cp:lastModifiedBy>
  <dcterms:modified xsi:type="dcterms:W3CDTF">2023-02-01T04:18:20Z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9C9401C06C5A4B0B82716C8475000303</vt:lpwstr>
  </property>
</Properties>
</file>