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Supplementary Material</w:t>
      </w:r>
    </w:p>
    <w:p>
      <w:pPr>
        <w:spacing w:line="400" w:lineRule="exact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Contents:</w:t>
      </w:r>
    </w:p>
    <w:p>
      <w:pPr>
        <w:widowControl/>
        <w:jc w:val="left"/>
        <w:rPr>
          <w:rFonts w:ascii="Arial" w:hAnsi="Arial" w:cs="Arial"/>
          <w:b/>
          <w:bCs/>
          <w:szCs w:val="21"/>
        </w:rPr>
      </w:pPr>
    </w:p>
    <w:p>
      <w:pPr>
        <w:widowControl/>
        <w:jc w:val="left"/>
        <w:rPr>
          <w:rFonts w:ascii="Arial" w:hAnsi="Arial" w:cs="Arial"/>
          <w:b/>
          <w:bCs/>
          <w:szCs w:val="21"/>
        </w:rPr>
      </w:pPr>
    </w:p>
    <w:p>
      <w:pPr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Supplementary Tables:</w:t>
      </w:r>
    </w:p>
    <w:tbl>
      <w:tblPr>
        <w:tblStyle w:val="5"/>
        <w:tblpPr w:leftFromText="180" w:rightFromText="180" w:vertAnchor="page" w:horzAnchor="page" w:tblpX="2070" w:tblpY="3450"/>
        <w:tblW w:w="77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51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0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Supplementary Table</w:t>
            </w:r>
            <w:r>
              <w:rPr>
                <w:rFonts w:hint="eastAsia" w:ascii="Arial" w:hAnsi="Arial" w:cs="Arial"/>
                <w:b/>
                <w:bCs/>
                <w:szCs w:val="21"/>
              </w:rPr>
              <w:t>s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szCs w:val="21"/>
              </w:rPr>
              <w:t>Title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08" w:type="dxa"/>
            <w:tcBorders>
              <w:top w:val="single" w:color="auto" w:sz="4" w:space="0"/>
              <w:bottom w:val="single" w:color="auto" w:sz="4" w:space="0"/>
            </w:tcBorders>
            <w:shd w:val="clear" w:color="auto" w:fill="B4C6E7" w:themeFill="accent1" w:themeFillTint="66"/>
            <w:vAlign w:val="center"/>
          </w:tcPr>
          <w:p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szCs w:val="21"/>
              </w:rPr>
              <w:t xml:space="preserve">Table </w:t>
            </w:r>
            <w:r>
              <w:rPr>
                <w:rFonts w:ascii="Arial" w:hAnsi="Arial" w:cs="Arial"/>
                <w:b/>
                <w:bCs/>
                <w:szCs w:val="21"/>
              </w:rPr>
              <w:t>S</w:t>
            </w:r>
            <w:r>
              <w:rPr>
                <w:rFonts w:hint="eastAsia" w:ascii="Arial" w:hAnsi="Arial" w:cs="Arial"/>
                <w:b/>
                <w:bCs/>
                <w:szCs w:val="21"/>
              </w:rPr>
              <w:t>1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shd w:val="clear" w:color="auto" w:fill="B4C6E7" w:themeFill="accent1" w:themeFillTint="66"/>
          </w:tcPr>
          <w:p>
            <w:pPr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Baseline parameters of the </w:t>
            </w:r>
            <w:r>
              <w:rPr>
                <w:rFonts w:hint="eastAsia" w:ascii="Arial" w:hAnsi="Arial" w:cs="Arial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patients receiving and not receiving anticoagulation</w:t>
            </w:r>
          </w:p>
        </w:tc>
      </w:tr>
    </w:tbl>
    <w:p>
      <w:pPr>
        <w:rPr>
          <w:rFonts w:ascii="Arial" w:hAnsi="Arial" w:cs="Arial"/>
          <w:b/>
          <w:szCs w:val="21"/>
        </w:rPr>
      </w:pPr>
    </w:p>
    <w:p>
      <w:pPr>
        <w:widowControl/>
        <w:jc w:val="left"/>
        <w:rPr>
          <w:rFonts w:ascii="Arial" w:hAnsi="Arial" w:cs="Arial"/>
          <w:b/>
          <w:bCs/>
          <w:szCs w:val="21"/>
        </w:rPr>
      </w:pPr>
    </w:p>
    <w:p>
      <w:pPr>
        <w:widowControl/>
        <w:jc w:val="left"/>
        <w:rPr>
          <w:rFonts w:hint="eastAsia" w:ascii="Arial" w:hAnsi="Arial" w:cs="Arial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13"/>
        <w:tblpPr w:leftFromText="180" w:rightFromText="180" w:vertAnchor="page" w:horzAnchor="page" w:tblpX="2172" w:tblpY="2217"/>
        <w:tblW w:w="75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984"/>
        <w:gridCol w:w="1984"/>
        <w:gridCol w:w="7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both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Anticoagulation cohort (n = 26)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Non-a</w:t>
            </w:r>
            <w:r>
              <w:rPr>
                <w:rFonts w:hint="eastAsia" w:ascii="Arial" w:hAnsi="Arial" w:cs="Arial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nticoagulation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cohort (n = </w:t>
            </w: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B4C6E7" w:themeFill="accent1" w:themeFillTint="66"/>
          </w:tcPr>
          <w:p>
            <w:pPr>
              <w:spacing w:line="240" w:lineRule="exact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Age (years)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65.5 (16.3)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62.0 (13.5)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835" w:type="dxa"/>
            <w:tcBorders>
              <w:left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Gender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§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 (30.8)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 (63.0)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 (69.2)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 (37.0)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</w:tcPr>
          <w:p>
            <w:pPr>
              <w:spacing w:line="240" w:lineRule="exact"/>
              <w:jc w:val="left"/>
              <w:rPr>
                <w:rFonts w:ascii="Arial" w:hAnsi="Arial" w:cs="Arial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Cirrhosis etiology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HBV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 (30.8)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 (41.0)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HCV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(3.8)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 (8.7)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95038799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Alcohol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 (11.6)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 (11.6)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Autoimmune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 (34.6)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 (17.3)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NAFLD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 (0)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(5.8)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Schistosomiasis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(3.8)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(5.8)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ind w:firstLine="271" w:firstLineChars="150"/>
              <w:jc w:val="lef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 (15.4)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 (9.8)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CTP classification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CTP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 (38.5)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54 (31.2)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CTP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 (46.1)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101 (58.4)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CTP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 (15.4)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 (10.4)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CTP score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7.0 (2.0)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7.0 (2.0)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MELD score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8.8 (2.9)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10.5 (4.7)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widowControl/>
              <w:jc w:val="left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Size of varices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Small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 (1.8)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 (9.2)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Large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 (96.2)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154 (89.0)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Location of varices at index endoscopy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sophageal varices only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 (76.9)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120 (69.4)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sophageal and gastric varices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 (23.1)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53 (30.6)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Active bleeding at index endoscopy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 (65.4)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107 (61.8)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 (34.6)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66 (38.2)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widowControl/>
              <w:textAlignment w:val="bottom"/>
              <w:rPr>
                <w:rFonts w:hint="default" w:ascii="Arial" w:hAnsi="Arial" w:eastAsia="宋体" w:cs="Arial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color w:val="000000"/>
                <w:sz w:val="18"/>
                <w:szCs w:val="18"/>
                <w:lang w:val="en-US" w:eastAsia="zh-CN"/>
              </w:rPr>
              <w:t>Site of PVT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270" w:firstLineChars="150"/>
              <w:jc w:val="left"/>
              <w:rPr>
                <w:rFonts w:hint="default" w:ascii="Arial" w:hAnsi="Arial" w:eastAsia="Times" w:cs="Arial"/>
                <w:b/>
                <w:bCs/>
                <w:color w:val="000000"/>
                <w:kern w:val="2"/>
                <w:sz w:val="18"/>
                <w:szCs w:val="18"/>
                <w:lang w:val="en-US" w:eastAsia="zh-CN" w:bidi="en-US"/>
              </w:rPr>
            </w:pPr>
            <w:r>
              <w:rPr>
                <w:rFonts w:ascii="Arial" w:hAnsi="Arial" w:eastAsia="Times" w:cs="Arial"/>
                <w:b/>
                <w:bCs/>
                <w:color w:val="000000"/>
                <w:sz w:val="18"/>
                <w:szCs w:val="18"/>
              </w:rPr>
              <w:t>PV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 (50.0)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 (60.1)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ind w:firstLine="270" w:firstLineChars="150"/>
              <w:jc w:val="left"/>
              <w:rPr>
                <w:rFonts w:hint="default" w:ascii="Arial" w:hAnsi="Arial" w:eastAsia="Times" w:cs="Arial"/>
                <w:b/>
                <w:bCs/>
                <w:color w:val="000000"/>
                <w:kern w:val="2"/>
                <w:sz w:val="18"/>
                <w:szCs w:val="18"/>
                <w:lang w:val="en-US" w:eastAsia="zh-CN" w:bidi="en-US"/>
              </w:rPr>
            </w:pPr>
            <w:r>
              <w:rPr>
                <w:rFonts w:ascii="Arial" w:hAnsi="Arial" w:eastAsia="Times" w:cs="Arial"/>
                <w:b/>
                <w:bCs/>
                <w:color w:val="000000"/>
                <w:sz w:val="18"/>
                <w:szCs w:val="18"/>
              </w:rPr>
              <w:t>PV&amp;SMV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(34.6)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 (22.0)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270" w:firstLineChars="150"/>
              <w:jc w:val="left"/>
              <w:rPr>
                <w:rFonts w:hint="default" w:ascii="Arial" w:hAnsi="Arial" w:eastAsia="Times" w:cs="Arial"/>
                <w:b/>
                <w:bCs/>
                <w:color w:val="000000"/>
                <w:kern w:val="2"/>
                <w:sz w:val="18"/>
                <w:szCs w:val="18"/>
                <w:lang w:val="en-US" w:eastAsia="zh-CN" w:bidi="en-US"/>
              </w:rPr>
            </w:pPr>
            <w:r>
              <w:rPr>
                <w:rFonts w:ascii="Arial" w:hAnsi="Arial" w:eastAsia="Times" w:cs="Arial"/>
                <w:b/>
                <w:bCs/>
                <w:color w:val="000000"/>
                <w:sz w:val="18"/>
                <w:szCs w:val="18"/>
              </w:rPr>
              <w:t>PV&amp;SV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(11.6)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 (11.0)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ind w:firstLine="270" w:firstLineChars="150"/>
              <w:jc w:val="left"/>
              <w:rPr>
                <w:rFonts w:hint="default" w:ascii="Arial" w:hAnsi="Arial" w:eastAsia="Times" w:cs="Arial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bookmarkStart w:id="1" w:name="_GoBack"/>
            <w:bookmarkEnd w:id="1"/>
            <w:r>
              <w:rPr>
                <w:rFonts w:ascii="Arial" w:hAnsi="Arial" w:eastAsia="Times" w:cs="Arial"/>
                <w:b/>
                <w:bCs/>
                <w:color w:val="000000"/>
                <w:sz w:val="18"/>
                <w:szCs w:val="18"/>
              </w:rPr>
              <w:t>PV&amp;SMV&amp;SV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 (6.9)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Ascites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 (53.8)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92 (53.2)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ind w:firstLine="271" w:firstLineChars="150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 (46.2)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81 (46.8)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Hb (g/L)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90.0 (41.8)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91.0 (41.8)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WBC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(×10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/L)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3.9 (3.5)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4.8 (4.0)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PLT (×10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/L)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87.5 (88.5)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80.0 (72.5)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CRP (mg/L)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7.0 (10.0)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8.2 (11.9)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Procalcitonin (ng/mL)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0.10 (0.15)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0.09 (0.16)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ALT (</w:t>
            </w:r>
            <w:r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U/L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23.5 (21.3)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29.0 (18.0)</w:t>
            </w: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shd w:val="clear" w:color="auto" w:fill="BDD6EE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AST (U/L)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BDD6EE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32.5 (38.5)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BDD6EE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39.0 (29.0)</w:t>
            </w:r>
          </w:p>
        </w:tc>
        <w:tc>
          <w:tcPr>
            <w:tcW w:w="737" w:type="dxa"/>
            <w:tcBorders>
              <w:left w:val="nil"/>
              <w:right w:val="nil"/>
            </w:tcBorders>
            <w:shd w:val="clear" w:color="auto" w:fill="BDD6EE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hint="default"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Albumin (g/L)</w:t>
            </w:r>
            <w:r>
              <w:rPr>
                <w:rFonts w:hint="eastAsia"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30.0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29.9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left w:val="nil"/>
              <w:right w:val="nil"/>
            </w:tcBorders>
            <w:shd w:val="clear" w:color="auto" w:fill="BDD6EE"/>
            <w:vAlign w:val="top"/>
          </w:tcPr>
          <w:p>
            <w:pPr>
              <w:spacing w:line="240" w:lineRule="exact"/>
              <w:jc w:val="left"/>
              <w:rPr>
                <w:rFonts w:ascii="Arial" w:hAnsi="Arial" w:eastAsia="宋体" w:cs="Arial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TB</w:t>
            </w:r>
            <w:r>
              <w:rPr>
                <w:rFonts w:hint="eastAsia"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(μmol/L)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BDD6EE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20.1 (10.5)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BDD6EE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23.2 (19.7)</w:t>
            </w:r>
          </w:p>
        </w:tc>
        <w:tc>
          <w:tcPr>
            <w:tcW w:w="737" w:type="dxa"/>
            <w:tcBorders>
              <w:left w:val="nil"/>
              <w:right w:val="nil"/>
            </w:tcBorders>
            <w:shd w:val="clear" w:color="auto" w:fill="BDD6EE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  <w:vAlign w:val="top"/>
          </w:tcPr>
          <w:p>
            <w:pPr>
              <w:spacing w:line="240" w:lineRule="exact"/>
              <w:jc w:val="left"/>
              <w:rPr>
                <w:rFonts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INR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1.15 (0.24)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1.23 (0.20)</w:t>
            </w:r>
          </w:p>
        </w:tc>
        <w:tc>
          <w:tcPr>
            <w:tcW w:w="7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4C6E7" w:themeFill="accent1" w:themeFillTint="66"/>
            <w:vAlign w:val="top"/>
          </w:tcPr>
          <w:p>
            <w:pPr>
              <w:spacing w:line="240" w:lineRule="exact"/>
              <w:jc w:val="left"/>
              <w:rPr>
                <w:rFonts w:ascii="Arial" w:hAnsi="Arial" w:eastAsia="宋体" w:cs="Arial"/>
                <w:b w:val="0"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Creatinine (μmol/L)</w:t>
            </w:r>
            <w:r>
              <w:rPr>
                <w:rFonts w:ascii="Arial" w:hAnsi="Arial" w:cs="Arial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78.0 (28.5)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76.0 (31.5)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4C6E7" w:themeFill="accent1" w:themeFillTint="66"/>
            <w:vAlign w:val="center"/>
          </w:tcPr>
          <w:p>
            <w:pPr>
              <w:spacing w:line="240" w:lineRule="exact"/>
              <w:jc w:val="center"/>
              <w:rPr>
                <w:rFonts w:hint="default" w:ascii="Arial" w:hAnsi="Arial" w:eastAsia="宋体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0.961</w:t>
            </w:r>
          </w:p>
        </w:tc>
      </w:tr>
    </w:tbl>
    <w:p>
      <w:pPr>
        <w:spacing w:line="300" w:lineRule="exact"/>
        <w:rPr>
          <w:rFonts w:ascii="Arial" w:hAnsi="Arial" w:cs="Arial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Arial" w:hAnsi="Arial" w:cs="Arial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Arial" w:hAnsi="Arial" w:cs="Arial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1 Baseline parameters of the </w:t>
      </w:r>
      <w:r>
        <w:rPr>
          <w:rFonts w:hint="eastAsia" w:ascii="Arial" w:hAnsi="Arial" w:cs="Arial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patients receiving and not receiving anticoagulation</w:t>
      </w:r>
      <w:r>
        <w:rPr>
          <w:rFonts w:ascii="Arial" w:hAnsi="Arial" w:cs="Arial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0" w:firstLineChars="0"/>
        <w:textAlignment w:val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0" w:firstLineChars="0"/>
        <w:textAlignment w:val="auto"/>
        <w:rPr>
          <w:rFonts w:hint="default" w:ascii="Arial" w:hAnsi="Arial" w:cs="Arial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ALT, alanine aminotransferase; AST, aspartate aminotransferase; CRP, C-reactive protein;</w:t>
      </w: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szCs w:val="21"/>
        </w:rPr>
        <w:t>CTP, Child-Turcotte-Pugh;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Hb, hemoglobin; HBV, hepatitis B virus; HCV, hepatitis C virus; 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INR, international normalized ratio; MELD, model for end-stage liver disease; </w:t>
      </w:r>
      <w:r>
        <w:rPr>
          <w:rFonts w:hint="eastAsia" w:ascii="Arial" w:hAnsi="Arial" w:cs="Arial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NAFLD, nonalcoholic fatty liver disease; 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PLT, platelet; </w:t>
      </w:r>
      <w:r>
        <w:rPr>
          <w:rFonts w:hint="eastAsia" w:ascii="Arial" w:hAnsi="Arial" w:cs="Arial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PV, portal vein;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SMV, superior mesenteric vein; SV, splenic vein; 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TB</w:t>
      </w:r>
      <w:r>
        <w:rPr>
          <w:rFonts w:hint="eastAsia" w:ascii="Arial" w:hAnsi="Arial" w:cs="Arial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il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, total bilirubin</w:t>
      </w:r>
      <w:r>
        <w:rPr>
          <w:rFonts w:hint="eastAsia" w:ascii="Arial" w:hAnsi="Arial" w:cs="Arial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; WBC, white blood cell</w:t>
      </w:r>
      <w:r>
        <w:rPr>
          <w:rStyle w:val="17"/>
          <w:rFonts w:ascii="Arial" w:hAnsi="Arial" w:eastAsia="微软雅黑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. </w:t>
      </w:r>
    </w:p>
    <w:p>
      <w:pPr>
        <w:spacing w:line="300" w:lineRule="exac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00" w:lineRule="exact"/>
        <w:rPr>
          <w:rFonts w:ascii="Arial" w:hAnsi="Arial" w:cs="Arial"/>
          <w:color w:val="FF0000"/>
          <w:szCs w:val="21"/>
        </w:rPr>
      </w:pPr>
      <w:r>
        <w:rPr>
          <w:rFonts w:ascii="Arial" w:hAnsi="Arial" w:cs="Arial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Data are presented as median (interquartile range, IQR).</w:t>
      </w:r>
      <w:r>
        <w:rPr>
          <w:rFonts w:hint="eastAsia" w:ascii="Arial" w:hAnsi="Arial" w:cs="Arial"/>
          <w:color w:val="FF0000"/>
          <w:szCs w:val="21"/>
        </w:rPr>
        <w:t xml:space="preserve"> </w:t>
      </w:r>
    </w:p>
    <w:p>
      <w:pPr>
        <w:spacing w:line="300" w:lineRule="exact"/>
        <w:rPr>
          <w:rFonts w:ascii="Arial" w:hAnsi="Arial" w:cs="Arial"/>
          <w:color w:val="FF0000"/>
          <w:szCs w:val="21"/>
        </w:rPr>
      </w:pPr>
      <w:r>
        <w:rPr>
          <w:rFonts w:ascii="Arial" w:hAnsi="Arial" w:cs="Arial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§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Data are shown as case number (percentage).</w:t>
      </w:r>
      <w:r>
        <w:rPr>
          <w:rFonts w:hint="eastAsia" w:ascii="Arial" w:hAnsi="Arial" w:cs="Arial"/>
          <w:color w:val="FF0000"/>
          <w:szCs w:val="21"/>
        </w:rPr>
        <w:t xml:space="preserve"> </w:t>
      </w:r>
    </w:p>
    <w:p>
      <w:pPr>
        <w:spacing w:line="300" w:lineRule="exact"/>
        <w:rPr>
          <w:rFonts w:ascii="Arial" w:hAnsi="Arial" w:cs="Arial"/>
          <w:color w:val="FF0000"/>
          <w:szCs w:val="21"/>
        </w:rPr>
      </w:pP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*Data are presented as 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means ± standard deviation.</w:t>
      </w:r>
      <w:r>
        <w:rPr>
          <w:rFonts w:hint="eastAsia" w:ascii="Arial" w:hAnsi="Arial" w:cs="Arial"/>
          <w:color w:val="FF0000"/>
          <w:szCs w:val="21"/>
        </w:rPr>
        <w:t xml:space="preserve"> </w:t>
      </w:r>
    </w:p>
    <w:p>
      <w:pPr>
        <w:spacing w:line="300" w:lineRule="exact"/>
        <w:rPr>
          <w:rFonts w:ascii="Arial" w:hAnsi="Arial" w:cs="Arial"/>
          <w:color w:val="FF0000"/>
          <w:szCs w:val="21"/>
        </w:rPr>
      </w:pPr>
      <w:r>
        <w:rPr>
          <w:rFonts w:ascii="Arial" w:hAnsi="Arial" w:cs="Arial"/>
          <w:i/>
          <w:szCs w:val="21"/>
        </w:rPr>
        <w:t>P</w:t>
      </w:r>
      <w:r>
        <w:rPr>
          <w:rFonts w:ascii="Arial" w:hAnsi="Arial" w:cs="Arial"/>
          <w:szCs w:val="21"/>
        </w:rPr>
        <w:t xml:space="preserve">, compared the </w:t>
      </w:r>
      <w:r>
        <w:rPr>
          <w:rFonts w:hint="eastAsia" w:ascii="Arial" w:hAnsi="Arial" w:cs="Arial"/>
          <w:szCs w:val="21"/>
          <w:lang w:val="en-US" w:eastAsia="zh-CN"/>
        </w:rPr>
        <w:t>anticoagulation cohort with the non-anticoagulation cohort</w:t>
      </w:r>
      <w:r>
        <w:rPr>
          <w:rFonts w:ascii="Arial" w:hAnsi="Arial" w:cs="Arial"/>
          <w:szCs w:val="21"/>
        </w:rPr>
        <w:t>.</w:t>
      </w:r>
    </w:p>
    <w:p>
      <w:pPr>
        <w:spacing w:line="300" w:lineRule="exac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TT125c650c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TT125c650c+f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jNWU5NTcyYTY4M2I1YWIyMjM4YTRmYzMwNTMxZmUifQ=="/>
  </w:docVars>
  <w:rsids>
    <w:rsidRoot w:val="002A13B8"/>
    <w:rsid w:val="0002187A"/>
    <w:rsid w:val="00045392"/>
    <w:rsid w:val="00054077"/>
    <w:rsid w:val="000707C1"/>
    <w:rsid w:val="0008242E"/>
    <w:rsid w:val="0010188B"/>
    <w:rsid w:val="001576DE"/>
    <w:rsid w:val="001824ED"/>
    <w:rsid w:val="00183C4A"/>
    <w:rsid w:val="001864DB"/>
    <w:rsid w:val="00192B25"/>
    <w:rsid w:val="001A64C7"/>
    <w:rsid w:val="001B5F5C"/>
    <w:rsid w:val="00225FDE"/>
    <w:rsid w:val="00244537"/>
    <w:rsid w:val="002979C0"/>
    <w:rsid w:val="002A13B8"/>
    <w:rsid w:val="002C21F8"/>
    <w:rsid w:val="002E6A87"/>
    <w:rsid w:val="002F3119"/>
    <w:rsid w:val="003075C3"/>
    <w:rsid w:val="00307FEE"/>
    <w:rsid w:val="00344DF7"/>
    <w:rsid w:val="00361D6F"/>
    <w:rsid w:val="00395D6D"/>
    <w:rsid w:val="00431D7E"/>
    <w:rsid w:val="00432603"/>
    <w:rsid w:val="00441D6C"/>
    <w:rsid w:val="00453C18"/>
    <w:rsid w:val="004A59E2"/>
    <w:rsid w:val="004B257C"/>
    <w:rsid w:val="004D77A9"/>
    <w:rsid w:val="004F2964"/>
    <w:rsid w:val="00521DB3"/>
    <w:rsid w:val="0053410A"/>
    <w:rsid w:val="00545335"/>
    <w:rsid w:val="005507AA"/>
    <w:rsid w:val="005C2CDE"/>
    <w:rsid w:val="005D58C7"/>
    <w:rsid w:val="005F463B"/>
    <w:rsid w:val="00620FE3"/>
    <w:rsid w:val="0065341D"/>
    <w:rsid w:val="00672298"/>
    <w:rsid w:val="00694583"/>
    <w:rsid w:val="006A3006"/>
    <w:rsid w:val="006A613E"/>
    <w:rsid w:val="006B7D63"/>
    <w:rsid w:val="006F0FC2"/>
    <w:rsid w:val="00712613"/>
    <w:rsid w:val="0071784C"/>
    <w:rsid w:val="007559A3"/>
    <w:rsid w:val="00774009"/>
    <w:rsid w:val="00785EDF"/>
    <w:rsid w:val="00795C87"/>
    <w:rsid w:val="007B5DE1"/>
    <w:rsid w:val="007C2343"/>
    <w:rsid w:val="007E7D86"/>
    <w:rsid w:val="007F719D"/>
    <w:rsid w:val="008216F6"/>
    <w:rsid w:val="00915D6C"/>
    <w:rsid w:val="0091723D"/>
    <w:rsid w:val="009912EB"/>
    <w:rsid w:val="009B39B9"/>
    <w:rsid w:val="009D2EA1"/>
    <w:rsid w:val="009D48CC"/>
    <w:rsid w:val="009F0E87"/>
    <w:rsid w:val="00A11CD8"/>
    <w:rsid w:val="00A17F50"/>
    <w:rsid w:val="00A5056D"/>
    <w:rsid w:val="00A7437E"/>
    <w:rsid w:val="00A824BD"/>
    <w:rsid w:val="00AA3F0D"/>
    <w:rsid w:val="00AA6850"/>
    <w:rsid w:val="00AC535B"/>
    <w:rsid w:val="00AE4AA5"/>
    <w:rsid w:val="00AE6E81"/>
    <w:rsid w:val="00B0721A"/>
    <w:rsid w:val="00B46C04"/>
    <w:rsid w:val="00BA61EB"/>
    <w:rsid w:val="00BB516E"/>
    <w:rsid w:val="00BC35F3"/>
    <w:rsid w:val="00BC6557"/>
    <w:rsid w:val="00BD3844"/>
    <w:rsid w:val="00BD6491"/>
    <w:rsid w:val="00C22373"/>
    <w:rsid w:val="00C32478"/>
    <w:rsid w:val="00C41F6A"/>
    <w:rsid w:val="00C764AB"/>
    <w:rsid w:val="00C856F6"/>
    <w:rsid w:val="00C904D3"/>
    <w:rsid w:val="00CC1060"/>
    <w:rsid w:val="00CE5313"/>
    <w:rsid w:val="00D065B0"/>
    <w:rsid w:val="00D5761B"/>
    <w:rsid w:val="00D809F8"/>
    <w:rsid w:val="00DA48B2"/>
    <w:rsid w:val="00DB01CF"/>
    <w:rsid w:val="00DB7FAD"/>
    <w:rsid w:val="00DE23E7"/>
    <w:rsid w:val="00DE47ED"/>
    <w:rsid w:val="00DE5C0C"/>
    <w:rsid w:val="00E05401"/>
    <w:rsid w:val="00E340E6"/>
    <w:rsid w:val="00E41DE9"/>
    <w:rsid w:val="00E43C3E"/>
    <w:rsid w:val="00E4525C"/>
    <w:rsid w:val="00E57435"/>
    <w:rsid w:val="00E72370"/>
    <w:rsid w:val="00E821BB"/>
    <w:rsid w:val="00E840A9"/>
    <w:rsid w:val="00E84AEF"/>
    <w:rsid w:val="00F40144"/>
    <w:rsid w:val="00F46E81"/>
    <w:rsid w:val="00F536BF"/>
    <w:rsid w:val="00F654FB"/>
    <w:rsid w:val="00F902DE"/>
    <w:rsid w:val="00FA4370"/>
    <w:rsid w:val="00FF208F"/>
    <w:rsid w:val="03CF179A"/>
    <w:rsid w:val="043A5853"/>
    <w:rsid w:val="05466BEA"/>
    <w:rsid w:val="29155AC1"/>
    <w:rsid w:val="29F375C2"/>
    <w:rsid w:val="369D72D1"/>
    <w:rsid w:val="4C1C362B"/>
    <w:rsid w:val="51B54427"/>
    <w:rsid w:val="53AF092B"/>
    <w:rsid w:val="69AC000E"/>
    <w:rsid w:val="6A1E57DB"/>
    <w:rsid w:val="7F02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fontstyle01"/>
    <w:basedOn w:val="6"/>
    <w:qFormat/>
    <w:uiPriority w:val="0"/>
    <w:rPr>
      <w:rFonts w:hint="default" w:ascii="AdvTT125c650c" w:hAnsi="AdvTT125c650c"/>
      <w:color w:val="231F20"/>
      <w:sz w:val="18"/>
      <w:szCs w:val="18"/>
    </w:rPr>
  </w:style>
  <w:style w:type="character" w:customStyle="1" w:styleId="10">
    <w:name w:val="fontstyle11"/>
    <w:basedOn w:val="6"/>
    <w:qFormat/>
    <w:uiPriority w:val="0"/>
    <w:rPr>
      <w:rFonts w:hint="default" w:ascii="AdvTT125c650c+fb" w:hAnsi="AdvTT125c650c+fb"/>
      <w:color w:val="231F20"/>
      <w:sz w:val="18"/>
      <w:szCs w:val="18"/>
    </w:rPr>
  </w:style>
  <w:style w:type="table" w:customStyle="1" w:styleId="11">
    <w:name w:val="无格式表格 41"/>
    <w:basedOn w:val="5"/>
    <w:qFormat/>
    <w:uiPriority w:val="44"/>
    <w:rPr>
      <w:rFonts w:ascii="Times New Roman" w:hAnsi="Times New Roman" w:eastAsia="宋体" w:cs="Times New Roman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2">
    <w:name w:val="网格表 2 - 着色 11"/>
    <w:basedOn w:val="5"/>
    <w:qFormat/>
    <w:uiPriority w:val="47"/>
    <w:pPr>
      <w:jc w:val="both"/>
    </w:pPr>
    <w:rPr>
      <w:rFonts w:ascii="Times New Roman" w:hAnsi="Times New Roman" w:cs="Times New Roman"/>
      <w:sz w:val="24"/>
    </w:rPr>
    <w:tblPr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13">
    <w:name w:val="无格式表格 21"/>
    <w:basedOn w:val="5"/>
    <w:qFormat/>
    <w:uiPriority w:val="42"/>
    <w:rPr>
      <w:rFonts w:ascii="Times New Roman" w:hAnsi="Times New Roman" w:eastAsia="宋体" w:cs="Times New Roman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customStyle="1" w:styleId="1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16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tg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401</Words>
  <Characters>2137</Characters>
  <Lines>33</Lines>
  <Paragraphs>9</Paragraphs>
  <TotalTime>1</TotalTime>
  <ScaleCrop>false</ScaleCrop>
  <LinksUpToDate>false</LinksUpToDate>
  <CharactersWithSpaces>2378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2022-02-03T15:10:00Z</dcterms:created>
  <dc:creator>ae687</dc:creator>
  <cp:lastModifiedBy>SZ</cp:lastModifiedBy>
  <dcterms:modified xsi:type="dcterms:W3CDTF">2023-02-20T02:59:03Z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F42C8064797F414FB6A6018CE5030850</vt:lpwstr>
  </property>
</Properties>
</file>