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F9E800" w14:textId="5D24F264" w:rsidR="00E870A0" w:rsidRDefault="00E870A0" w:rsidP="00E870A0">
      <w:p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  <w:r w:rsidRPr="00115E0C">
        <w:rPr>
          <w:rFonts w:cstheme="minorHAnsi"/>
          <w:b/>
          <w:bCs/>
          <w:sz w:val="20"/>
          <w:szCs w:val="20"/>
        </w:rPr>
        <w:t>Supplementary Information (SI)</w:t>
      </w:r>
    </w:p>
    <w:p w14:paraId="6D73CE8D" w14:textId="77777777" w:rsidR="00266B29" w:rsidRPr="00115E0C" w:rsidRDefault="00266B29" w:rsidP="00E870A0">
      <w:p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</w:p>
    <w:p w14:paraId="2A399C54" w14:textId="77777777" w:rsidR="00115E0C" w:rsidRPr="00115E0C" w:rsidRDefault="00115E0C" w:rsidP="00115E0C">
      <w:pPr>
        <w:autoSpaceDE w:val="0"/>
        <w:autoSpaceDN w:val="0"/>
        <w:adjustRightInd w:val="0"/>
        <w:spacing w:after="0" w:line="240" w:lineRule="auto"/>
        <w:ind w:firstLine="180"/>
        <w:jc w:val="center"/>
        <w:rPr>
          <w:rFonts w:cstheme="minorHAnsi"/>
          <w:b/>
          <w:bCs/>
          <w:sz w:val="20"/>
          <w:szCs w:val="20"/>
        </w:rPr>
      </w:pPr>
      <w:r w:rsidRPr="00115E0C">
        <w:rPr>
          <w:rFonts w:cstheme="minorHAnsi"/>
          <w:b/>
          <w:bCs/>
          <w:sz w:val="20"/>
          <w:szCs w:val="20"/>
        </w:rPr>
        <w:t>Enhancement in ionic conductivity of liquid crystals by graphene/metal-oxide-nanocomposite</w:t>
      </w:r>
    </w:p>
    <w:p w14:paraId="7F2F0D97" w14:textId="77777777" w:rsidR="00115E0C" w:rsidRPr="00115E0C" w:rsidRDefault="00115E0C" w:rsidP="00115E0C">
      <w:pPr>
        <w:autoSpaceDE w:val="0"/>
        <w:autoSpaceDN w:val="0"/>
        <w:adjustRightInd w:val="0"/>
        <w:spacing w:after="0" w:line="240" w:lineRule="auto"/>
        <w:ind w:firstLine="180"/>
        <w:jc w:val="both"/>
        <w:rPr>
          <w:rFonts w:cstheme="minorHAnsi"/>
          <w:b/>
          <w:bCs/>
          <w:sz w:val="20"/>
          <w:szCs w:val="20"/>
        </w:rPr>
      </w:pPr>
    </w:p>
    <w:p w14:paraId="4B295A35" w14:textId="7F7EE833" w:rsidR="00115E0C" w:rsidRPr="00115E0C" w:rsidRDefault="00115E0C" w:rsidP="00115E0C">
      <w:pPr>
        <w:ind w:firstLine="180"/>
        <w:jc w:val="center"/>
        <w:rPr>
          <w:rFonts w:cstheme="minorHAnsi"/>
          <w:b/>
          <w:bCs/>
          <w:sz w:val="18"/>
          <w:szCs w:val="18"/>
          <w:lang w:val="sv-SE"/>
        </w:rPr>
      </w:pPr>
      <w:r w:rsidRPr="00115E0C">
        <w:rPr>
          <w:rFonts w:cstheme="minorHAnsi"/>
          <w:b/>
          <w:bCs/>
          <w:sz w:val="18"/>
          <w:szCs w:val="18"/>
          <w:lang w:val="sv-SE"/>
        </w:rPr>
        <w:t>M. Khodaee</w:t>
      </w:r>
      <w:r w:rsidRPr="00115E0C">
        <w:rPr>
          <w:rFonts w:cstheme="minorHAnsi"/>
          <w:b/>
          <w:bCs/>
          <w:sz w:val="18"/>
          <w:szCs w:val="18"/>
          <w:vertAlign w:val="superscript"/>
          <w:lang w:val="sv-SE"/>
        </w:rPr>
        <w:t>1</w:t>
      </w:r>
      <w:r w:rsidRPr="00115E0C">
        <w:rPr>
          <w:rFonts w:cstheme="minorHAnsi"/>
          <w:b/>
          <w:bCs/>
          <w:sz w:val="18"/>
          <w:szCs w:val="18"/>
          <w:lang w:val="sv-SE"/>
        </w:rPr>
        <w:t>, N. Dalir</w:t>
      </w:r>
      <w:r w:rsidRPr="00115E0C">
        <w:rPr>
          <w:rFonts w:cstheme="minorHAnsi"/>
          <w:b/>
          <w:bCs/>
          <w:sz w:val="18"/>
          <w:szCs w:val="18"/>
          <w:vertAlign w:val="superscript"/>
          <w:lang w:val="sv-SE"/>
        </w:rPr>
        <w:t>2</w:t>
      </w:r>
      <w:r w:rsidRPr="00115E0C">
        <w:rPr>
          <w:rFonts w:cstheme="minorHAnsi"/>
          <w:b/>
          <w:bCs/>
          <w:sz w:val="18"/>
          <w:szCs w:val="18"/>
          <w:lang w:val="sv-SE"/>
        </w:rPr>
        <w:t>, F. Fegh</w:t>
      </w:r>
      <w:r w:rsidR="00CB0E41">
        <w:rPr>
          <w:rFonts w:cstheme="minorHAnsi"/>
          <w:b/>
          <w:bCs/>
          <w:sz w:val="18"/>
          <w:szCs w:val="18"/>
          <w:lang w:val="sv-SE"/>
        </w:rPr>
        <w:t>h</w:t>
      </w:r>
      <w:r w:rsidRPr="00115E0C">
        <w:rPr>
          <w:rFonts w:cstheme="minorHAnsi"/>
          <w:b/>
          <w:bCs/>
          <w:sz w:val="18"/>
          <w:szCs w:val="18"/>
          <w:lang w:val="sv-SE"/>
        </w:rPr>
        <w:t>i</w:t>
      </w:r>
      <w:r w:rsidRPr="00115E0C">
        <w:rPr>
          <w:rFonts w:cstheme="minorHAnsi"/>
          <w:b/>
          <w:bCs/>
          <w:sz w:val="18"/>
          <w:szCs w:val="18"/>
          <w:vertAlign w:val="superscript"/>
          <w:lang w:val="sv-SE"/>
        </w:rPr>
        <w:t>3</w:t>
      </w:r>
      <w:r w:rsidRPr="00115E0C">
        <w:rPr>
          <w:rFonts w:cstheme="minorHAnsi"/>
          <w:b/>
          <w:bCs/>
          <w:sz w:val="18"/>
          <w:szCs w:val="18"/>
          <w:lang w:val="sv-SE"/>
        </w:rPr>
        <w:t>, N. Ansari</w:t>
      </w:r>
      <w:r w:rsidRPr="00115E0C">
        <w:rPr>
          <w:rFonts w:cstheme="minorHAnsi"/>
          <w:b/>
          <w:bCs/>
          <w:sz w:val="18"/>
          <w:szCs w:val="18"/>
          <w:vertAlign w:val="superscript"/>
          <w:lang w:val="sv-SE"/>
        </w:rPr>
        <w:t>3</w:t>
      </w:r>
      <w:r w:rsidRPr="00115E0C">
        <w:rPr>
          <w:rFonts w:cstheme="minorHAnsi"/>
          <w:b/>
          <w:bCs/>
          <w:sz w:val="18"/>
          <w:szCs w:val="18"/>
          <w:lang w:val="sv-SE"/>
        </w:rPr>
        <w:t>, M. Mohammadimasoudi</w:t>
      </w:r>
      <w:r w:rsidRPr="00115E0C">
        <w:rPr>
          <w:rFonts w:cstheme="minorHAnsi"/>
          <w:b/>
          <w:bCs/>
          <w:sz w:val="18"/>
          <w:szCs w:val="18"/>
          <w:vertAlign w:val="superscript"/>
          <w:lang w:val="sv-SE"/>
        </w:rPr>
        <w:t>4</w:t>
      </w:r>
      <w:r w:rsidRPr="00115E0C">
        <w:rPr>
          <w:rFonts w:cstheme="minorHAnsi"/>
          <w:b/>
          <w:bCs/>
          <w:sz w:val="18"/>
          <w:szCs w:val="18"/>
          <w:lang w:val="sv-SE"/>
        </w:rPr>
        <w:t>,</w:t>
      </w:r>
      <w:r w:rsidR="005C1482" w:rsidRPr="00115E0C">
        <w:rPr>
          <w:rFonts w:cstheme="minorHAnsi"/>
          <w:b/>
          <w:bCs/>
          <w:sz w:val="18"/>
          <w:szCs w:val="18"/>
          <w:lang w:val="sv-SE"/>
        </w:rPr>
        <w:t xml:space="preserve"> A. Goudarzi</w:t>
      </w:r>
      <w:r w:rsidR="005C1482" w:rsidRPr="00115E0C">
        <w:rPr>
          <w:rFonts w:cstheme="minorHAnsi"/>
          <w:b/>
          <w:bCs/>
          <w:sz w:val="18"/>
          <w:szCs w:val="18"/>
          <w:vertAlign w:val="superscript"/>
          <w:lang w:val="sv-SE"/>
        </w:rPr>
        <w:t>4</w:t>
      </w:r>
    </w:p>
    <w:p w14:paraId="0C7682F1" w14:textId="545593EA" w:rsidR="00115E0C" w:rsidRPr="00115E0C" w:rsidRDefault="002B4750" w:rsidP="00115E0C">
      <w:pPr>
        <w:ind w:firstLine="180"/>
        <w:jc w:val="center"/>
        <w:rPr>
          <w:rFonts w:cstheme="minorHAnsi"/>
          <w:b/>
          <w:bCs/>
          <w:sz w:val="18"/>
          <w:szCs w:val="18"/>
          <w:lang w:val="sv-SE"/>
        </w:rPr>
      </w:pPr>
      <w:r>
        <w:rPr>
          <w:rFonts w:cstheme="minorHAnsi"/>
          <w:b/>
          <w:bCs/>
          <w:sz w:val="18"/>
          <w:szCs w:val="18"/>
          <w:lang w:val="sv-SE"/>
        </w:rPr>
        <w:t>, A. Faghih Nasiri</w:t>
      </w:r>
      <w:r w:rsidRPr="00115E0C">
        <w:rPr>
          <w:rFonts w:cstheme="minorHAnsi"/>
          <w:b/>
          <w:bCs/>
          <w:sz w:val="18"/>
          <w:szCs w:val="18"/>
          <w:vertAlign w:val="superscript"/>
          <w:lang w:val="sv-SE"/>
        </w:rPr>
        <w:t>1</w:t>
      </w:r>
      <w:r>
        <w:rPr>
          <w:rFonts w:cstheme="minorHAnsi"/>
          <w:b/>
          <w:bCs/>
          <w:sz w:val="18"/>
          <w:szCs w:val="18"/>
          <w:lang w:val="sv-SE"/>
        </w:rPr>
        <w:t xml:space="preserve">, </w:t>
      </w:r>
      <w:r w:rsidR="00115E0C" w:rsidRPr="00115E0C">
        <w:rPr>
          <w:rFonts w:cstheme="minorHAnsi"/>
          <w:b/>
          <w:bCs/>
          <w:sz w:val="18"/>
          <w:szCs w:val="18"/>
          <w:lang w:val="sv-SE"/>
        </w:rPr>
        <w:t>M. Kolahdouz</w:t>
      </w:r>
      <w:r w:rsidR="00115E0C" w:rsidRPr="00115E0C">
        <w:rPr>
          <w:rFonts w:cstheme="minorHAnsi"/>
          <w:b/>
          <w:bCs/>
          <w:sz w:val="18"/>
          <w:szCs w:val="18"/>
          <w:vertAlign w:val="superscript"/>
          <w:lang w:val="sv-SE"/>
        </w:rPr>
        <w:t>1</w:t>
      </w:r>
      <w:r w:rsidR="005C1482">
        <w:rPr>
          <w:rFonts w:cstheme="minorHAnsi"/>
          <w:b/>
          <w:bCs/>
          <w:sz w:val="18"/>
          <w:szCs w:val="18"/>
          <w:vertAlign w:val="superscript"/>
          <w:lang w:val="sv-SE"/>
        </w:rPr>
        <w:t>*</w:t>
      </w:r>
      <w:r w:rsidR="005B7135">
        <w:rPr>
          <w:rFonts w:cstheme="minorHAnsi"/>
          <w:b/>
          <w:bCs/>
          <w:sz w:val="18"/>
          <w:szCs w:val="18"/>
          <w:lang w:val="sv-SE"/>
        </w:rPr>
        <w:t>,</w:t>
      </w:r>
      <w:r w:rsidR="00115E0C" w:rsidRPr="00115E0C">
        <w:rPr>
          <w:rFonts w:cstheme="minorHAnsi"/>
          <w:b/>
          <w:bCs/>
          <w:sz w:val="18"/>
          <w:szCs w:val="18"/>
          <w:lang w:val="sv-SE"/>
        </w:rPr>
        <w:t xml:space="preserve"> S. M. Mohseni</w:t>
      </w:r>
      <w:r w:rsidR="00115E0C" w:rsidRPr="00115E0C">
        <w:rPr>
          <w:rFonts w:cstheme="minorHAnsi"/>
          <w:b/>
          <w:bCs/>
          <w:sz w:val="18"/>
          <w:szCs w:val="18"/>
          <w:vertAlign w:val="superscript"/>
          <w:lang w:val="sv-SE"/>
        </w:rPr>
        <w:t>5*</w:t>
      </w:r>
      <w:r>
        <w:rPr>
          <w:rFonts w:cstheme="minorHAnsi"/>
          <w:b/>
          <w:bCs/>
          <w:sz w:val="18"/>
          <w:szCs w:val="18"/>
          <w:vertAlign w:val="superscript"/>
          <w:lang w:val="sv-SE"/>
        </w:rPr>
        <w:t>*</w:t>
      </w:r>
    </w:p>
    <w:p w14:paraId="398A094E" w14:textId="05839C7C" w:rsidR="00115E0C" w:rsidRPr="00115E0C" w:rsidRDefault="00115E0C" w:rsidP="00115E0C">
      <w:pPr>
        <w:spacing w:line="240" w:lineRule="auto"/>
        <w:ind w:firstLine="180"/>
        <w:rPr>
          <w:rFonts w:eastAsia="Times New Roman" w:cstheme="minorHAnsi"/>
          <w:color w:val="000000" w:themeColor="text1"/>
          <w:sz w:val="16"/>
          <w:szCs w:val="16"/>
        </w:rPr>
      </w:pPr>
      <w:r w:rsidRPr="00115E0C">
        <w:rPr>
          <w:rFonts w:cstheme="minorHAnsi"/>
          <w:color w:val="000000" w:themeColor="text1"/>
          <w:sz w:val="16"/>
          <w:szCs w:val="16"/>
          <w:vertAlign w:val="superscript"/>
        </w:rPr>
        <w:t>1</w:t>
      </w:r>
      <w:r w:rsidRPr="00115E0C">
        <w:rPr>
          <w:rFonts w:cstheme="minorHAnsi"/>
          <w:color w:val="000000" w:themeColor="text1"/>
          <w:sz w:val="16"/>
          <w:szCs w:val="16"/>
        </w:rPr>
        <w:t xml:space="preserve"> </w:t>
      </w:r>
      <w:r w:rsidRPr="00115E0C">
        <w:rPr>
          <w:rFonts w:eastAsia="Times New Roman" w:cstheme="minorHAnsi"/>
          <w:color w:val="000000" w:themeColor="text1"/>
          <w:sz w:val="16"/>
          <w:szCs w:val="16"/>
        </w:rPr>
        <w:t>School of Electrical and Computer Engineering, College of Engineering, University of Tehran, Tehran, Iran</w:t>
      </w:r>
    </w:p>
    <w:p w14:paraId="7F93C030" w14:textId="2516E35E" w:rsidR="00115E0C" w:rsidRPr="00115E0C" w:rsidRDefault="00115E0C" w:rsidP="00115E0C">
      <w:pPr>
        <w:spacing w:line="240" w:lineRule="auto"/>
        <w:ind w:firstLine="180"/>
        <w:rPr>
          <w:rFonts w:cstheme="minorHAnsi"/>
          <w:color w:val="000000" w:themeColor="text1"/>
          <w:sz w:val="16"/>
          <w:szCs w:val="16"/>
        </w:rPr>
      </w:pPr>
      <w:r w:rsidRPr="00115E0C">
        <w:rPr>
          <w:rFonts w:eastAsia="Times New Roman" w:cstheme="minorHAnsi"/>
          <w:color w:val="000000" w:themeColor="text1"/>
          <w:sz w:val="16"/>
          <w:szCs w:val="16"/>
          <w:vertAlign w:val="superscript"/>
        </w:rPr>
        <w:t xml:space="preserve">2 </w:t>
      </w:r>
      <w:r w:rsidRPr="00115E0C">
        <w:rPr>
          <w:rFonts w:cstheme="minorHAnsi"/>
          <w:color w:val="000000" w:themeColor="text1"/>
          <w:sz w:val="16"/>
          <w:szCs w:val="16"/>
        </w:rPr>
        <w:t>Department of Renewable Energy, Interdisciplinary Science and Technology, Tarbiat Modares University, Tehran, Iran</w:t>
      </w:r>
    </w:p>
    <w:p w14:paraId="6240DCE2" w14:textId="7A1D47F7" w:rsidR="00115E0C" w:rsidRPr="00115E0C" w:rsidRDefault="00115E0C" w:rsidP="00115E0C">
      <w:pPr>
        <w:spacing w:line="240" w:lineRule="auto"/>
        <w:ind w:firstLine="180"/>
        <w:rPr>
          <w:rFonts w:cstheme="minorHAnsi"/>
          <w:color w:val="000000" w:themeColor="text1"/>
          <w:sz w:val="16"/>
          <w:szCs w:val="16"/>
        </w:rPr>
      </w:pPr>
      <w:r w:rsidRPr="00115E0C">
        <w:rPr>
          <w:rFonts w:cstheme="minorHAnsi"/>
          <w:color w:val="000000" w:themeColor="text1"/>
          <w:sz w:val="16"/>
          <w:szCs w:val="16"/>
          <w:vertAlign w:val="superscript"/>
        </w:rPr>
        <w:t xml:space="preserve">3 </w:t>
      </w:r>
      <w:r w:rsidRPr="00115E0C">
        <w:rPr>
          <w:rFonts w:cstheme="minorHAnsi"/>
          <w:color w:val="000000" w:themeColor="text1"/>
          <w:sz w:val="16"/>
          <w:szCs w:val="16"/>
        </w:rPr>
        <w:t>Department of Physics, Alzahra University, Tehran, Iran</w:t>
      </w:r>
    </w:p>
    <w:p w14:paraId="6D66B638" w14:textId="505EBF1F" w:rsidR="00115E0C" w:rsidRPr="00115E0C" w:rsidRDefault="00115E0C" w:rsidP="00115E0C">
      <w:pPr>
        <w:spacing w:line="240" w:lineRule="auto"/>
        <w:ind w:firstLine="180"/>
        <w:rPr>
          <w:rFonts w:cstheme="minorHAnsi"/>
          <w:color w:val="000000" w:themeColor="text1"/>
          <w:sz w:val="16"/>
          <w:szCs w:val="16"/>
        </w:rPr>
      </w:pPr>
      <w:r w:rsidRPr="00115E0C">
        <w:rPr>
          <w:rFonts w:cstheme="minorHAnsi"/>
          <w:color w:val="000000" w:themeColor="text1"/>
          <w:sz w:val="16"/>
          <w:szCs w:val="16"/>
          <w:vertAlign w:val="superscript"/>
        </w:rPr>
        <w:t xml:space="preserve">4 </w:t>
      </w:r>
      <w:r w:rsidRPr="00115E0C">
        <w:rPr>
          <w:rFonts w:cstheme="minorHAnsi"/>
          <w:color w:val="000000" w:themeColor="text1"/>
          <w:sz w:val="16"/>
          <w:szCs w:val="16"/>
        </w:rPr>
        <w:t xml:space="preserve">Nano-bio-photonics Lab, </w:t>
      </w:r>
      <w:r w:rsidRPr="00115E0C">
        <w:rPr>
          <w:rStyle w:val="hlfld-affiliation"/>
          <w:rFonts w:cstheme="minorHAnsi"/>
          <w:color w:val="000000" w:themeColor="text1"/>
          <w:sz w:val="16"/>
          <w:szCs w:val="16"/>
        </w:rPr>
        <w:t>Faculty of New Sciences and Technologies, University of Tehran, Tehran, Iran</w:t>
      </w:r>
    </w:p>
    <w:p w14:paraId="186986AB" w14:textId="5DD6F3C8" w:rsidR="00115E0C" w:rsidRPr="00115E0C" w:rsidRDefault="00115E0C" w:rsidP="00115E0C">
      <w:pPr>
        <w:autoSpaceDE w:val="0"/>
        <w:autoSpaceDN w:val="0"/>
        <w:adjustRightInd w:val="0"/>
        <w:spacing w:after="0" w:line="240" w:lineRule="auto"/>
        <w:ind w:firstLine="180"/>
        <w:rPr>
          <w:rFonts w:cstheme="minorHAnsi"/>
          <w:sz w:val="16"/>
          <w:szCs w:val="16"/>
        </w:rPr>
      </w:pPr>
      <w:r w:rsidRPr="00115E0C">
        <w:rPr>
          <w:rFonts w:cstheme="minorHAnsi"/>
          <w:color w:val="000000" w:themeColor="text1"/>
          <w:sz w:val="16"/>
          <w:szCs w:val="16"/>
          <w:vertAlign w:val="superscript"/>
        </w:rPr>
        <w:t>5</w:t>
      </w:r>
      <w:r w:rsidRPr="00115E0C">
        <w:rPr>
          <w:rFonts w:cstheme="minorHAnsi"/>
          <w:color w:val="000000" w:themeColor="text1"/>
          <w:sz w:val="16"/>
          <w:szCs w:val="16"/>
        </w:rPr>
        <w:t xml:space="preserve"> </w:t>
      </w:r>
      <w:r w:rsidRPr="00115E0C">
        <w:rPr>
          <w:rFonts w:cstheme="minorHAnsi"/>
          <w:sz w:val="16"/>
          <w:szCs w:val="16"/>
        </w:rPr>
        <w:t>Department of Physics, Shahid Beheshti University, Evin, Tehran, Iran</w:t>
      </w:r>
    </w:p>
    <w:p w14:paraId="488A84F8" w14:textId="77777777" w:rsidR="00E870A0" w:rsidRPr="00115E0C" w:rsidRDefault="00E870A0" w:rsidP="00E870A0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5E77D37E" w14:textId="77777777" w:rsidR="00E1201F" w:rsidRPr="00115E0C" w:rsidRDefault="00E1201F" w:rsidP="00E1201F">
      <w:pPr>
        <w:pStyle w:val="Caption"/>
        <w:keepNext/>
        <w:rPr>
          <w:rFonts w:cstheme="minorHAnsi"/>
          <w:i w:val="0"/>
          <w:iCs w:val="0"/>
          <w:color w:val="auto"/>
          <w:sz w:val="20"/>
          <w:szCs w:val="20"/>
        </w:rPr>
      </w:pPr>
      <w:r w:rsidRPr="00115E0C">
        <w:rPr>
          <w:rFonts w:cstheme="minorHAnsi"/>
          <w:i w:val="0"/>
          <w:iCs w:val="0"/>
          <w:color w:val="auto"/>
          <w:sz w:val="20"/>
          <w:szCs w:val="20"/>
        </w:rPr>
        <w:t xml:space="preserve">Table 1S. </w:t>
      </w:r>
      <w:r w:rsidRPr="00115E0C">
        <w:rPr>
          <w:rStyle w:val="rynqvb"/>
          <w:rFonts w:cstheme="minorHAnsi"/>
          <w:i w:val="0"/>
          <w:iCs w:val="0"/>
          <w:color w:val="auto"/>
          <w:sz w:val="20"/>
          <w:szCs w:val="20"/>
          <w:lang w:val="en"/>
        </w:rPr>
        <w:t>The process of quantitative changes related to impedance value</w:t>
      </w:r>
    </w:p>
    <w:tbl>
      <w:tblPr>
        <w:tblStyle w:val="TableGrid"/>
        <w:tblW w:w="9265" w:type="dxa"/>
        <w:tblLook w:val="04A0" w:firstRow="1" w:lastRow="0" w:firstColumn="1" w:lastColumn="0" w:noHBand="0" w:noVBand="1"/>
      </w:tblPr>
      <w:tblGrid>
        <w:gridCol w:w="1795"/>
        <w:gridCol w:w="2520"/>
        <w:gridCol w:w="2340"/>
        <w:gridCol w:w="2610"/>
      </w:tblGrid>
      <w:tr w:rsidR="00E1201F" w:rsidRPr="00115E0C" w14:paraId="03FEB034" w14:textId="77777777" w:rsidTr="00115E0C">
        <w:trPr>
          <w:trHeight w:val="569"/>
        </w:trPr>
        <w:tc>
          <w:tcPr>
            <w:tcW w:w="1795" w:type="dxa"/>
            <w:vAlign w:val="center"/>
          </w:tcPr>
          <w:p w14:paraId="35F971E6" w14:textId="77777777" w:rsidR="00E1201F" w:rsidRPr="00115E0C" w:rsidRDefault="00E1201F" w:rsidP="00115E0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15E0C">
              <w:rPr>
                <w:rFonts w:cstheme="minorHAnsi"/>
                <w:sz w:val="20"/>
                <w:szCs w:val="20"/>
              </w:rPr>
              <w:t>sample</w:t>
            </w:r>
          </w:p>
        </w:tc>
        <w:tc>
          <w:tcPr>
            <w:tcW w:w="2520" w:type="dxa"/>
            <w:vAlign w:val="center"/>
          </w:tcPr>
          <w:p w14:paraId="3D935853" w14:textId="5EBBDAA9" w:rsidR="00E1201F" w:rsidRPr="00115E0C" w:rsidRDefault="00E1201F" w:rsidP="00115E0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15E0C">
              <w:rPr>
                <w:rFonts w:cstheme="minorHAnsi"/>
                <w:sz w:val="18"/>
                <w:szCs w:val="18"/>
              </w:rPr>
              <w:t>Slope of impedance value in the part (I), (MΩ/Hz)</w:t>
            </w:r>
          </w:p>
          <w:p w14:paraId="58B044D6" w14:textId="54E2367E" w:rsidR="00E1201F" w:rsidRPr="00115E0C" w:rsidRDefault="00E1201F" w:rsidP="00115E0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15E0C">
              <w:rPr>
                <w:rFonts w:cstheme="minorHAnsi"/>
                <w:sz w:val="18"/>
                <w:szCs w:val="18"/>
              </w:rPr>
              <w:t>Measured in the frequency range of (0.1Hz-</w:t>
            </w:r>
            <w:r w:rsidR="00B5011D" w:rsidRPr="00115E0C">
              <w:rPr>
                <w:rFonts w:cstheme="minorHAnsi"/>
                <w:sz w:val="18"/>
                <w:szCs w:val="18"/>
              </w:rPr>
              <w:t>1</w:t>
            </w:r>
            <w:r w:rsidRPr="00115E0C">
              <w:rPr>
                <w:rFonts w:cstheme="minorHAnsi"/>
                <w:sz w:val="18"/>
                <w:szCs w:val="18"/>
              </w:rPr>
              <w:t>Hz)</w:t>
            </w:r>
          </w:p>
        </w:tc>
        <w:tc>
          <w:tcPr>
            <w:tcW w:w="2340" w:type="dxa"/>
            <w:vAlign w:val="center"/>
          </w:tcPr>
          <w:p w14:paraId="7D4DBA07" w14:textId="77777777" w:rsidR="00E1201F" w:rsidRPr="00115E0C" w:rsidRDefault="00E1201F" w:rsidP="00115E0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15E0C">
              <w:rPr>
                <w:rFonts w:cstheme="minorHAnsi"/>
                <w:sz w:val="20"/>
                <w:szCs w:val="20"/>
              </w:rPr>
              <w:t>quasi-constant impedance value in part (II),</w:t>
            </w:r>
          </w:p>
          <w:p w14:paraId="29E69B27" w14:textId="77777777" w:rsidR="00E1201F" w:rsidRPr="00115E0C" w:rsidRDefault="00E1201F" w:rsidP="00115E0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15E0C">
              <w:rPr>
                <w:rFonts w:cstheme="minorHAnsi"/>
                <w:sz w:val="20"/>
                <w:szCs w:val="20"/>
              </w:rPr>
              <w:t>(MΩ)</w:t>
            </w:r>
          </w:p>
        </w:tc>
        <w:tc>
          <w:tcPr>
            <w:tcW w:w="2610" w:type="dxa"/>
            <w:vAlign w:val="center"/>
          </w:tcPr>
          <w:p w14:paraId="0EDADD58" w14:textId="77777777" w:rsidR="00E1201F" w:rsidRPr="00115E0C" w:rsidRDefault="00E1201F" w:rsidP="00115E0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15E0C">
              <w:rPr>
                <w:rFonts w:cstheme="minorHAnsi"/>
                <w:sz w:val="20"/>
                <w:szCs w:val="20"/>
              </w:rPr>
              <w:t xml:space="preserve">Slope of impedance value in part (III), </w:t>
            </w:r>
            <w:r w:rsidRPr="00115E0C">
              <w:rPr>
                <w:rFonts w:cstheme="minorHAnsi"/>
                <w:sz w:val="18"/>
                <w:szCs w:val="18"/>
              </w:rPr>
              <w:t>(MΩ/kHz)</w:t>
            </w:r>
          </w:p>
          <w:p w14:paraId="7D6A38F4" w14:textId="2FA16C13" w:rsidR="00E1201F" w:rsidRPr="00115E0C" w:rsidRDefault="00E1201F" w:rsidP="00115E0C">
            <w:pPr>
              <w:jc w:val="center"/>
              <w:rPr>
                <w:rFonts w:cstheme="minorHAnsi"/>
                <w:sz w:val="18"/>
                <w:szCs w:val="18"/>
              </w:rPr>
            </w:pPr>
            <w:r w:rsidRPr="00115E0C">
              <w:rPr>
                <w:rFonts w:cstheme="minorHAnsi"/>
                <w:sz w:val="18"/>
                <w:szCs w:val="18"/>
              </w:rPr>
              <w:t>Measured in the frequency range of (1kHz-6.3</w:t>
            </w:r>
            <w:r w:rsidR="00900BF1" w:rsidRPr="00115E0C">
              <w:rPr>
                <w:rFonts w:cstheme="minorHAnsi"/>
                <w:sz w:val="18"/>
                <w:szCs w:val="18"/>
              </w:rPr>
              <w:t>k</w:t>
            </w:r>
            <w:r w:rsidRPr="00115E0C">
              <w:rPr>
                <w:rFonts w:cstheme="minorHAnsi"/>
                <w:sz w:val="18"/>
                <w:szCs w:val="18"/>
              </w:rPr>
              <w:t>Hz)</w:t>
            </w:r>
          </w:p>
          <w:p w14:paraId="6F17ED7C" w14:textId="77777777" w:rsidR="00E1201F" w:rsidRPr="00115E0C" w:rsidRDefault="00E1201F" w:rsidP="00115E0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E1201F" w:rsidRPr="00115E0C" w14:paraId="28A0C910" w14:textId="77777777" w:rsidTr="00115E0C">
        <w:trPr>
          <w:trHeight w:val="569"/>
        </w:trPr>
        <w:tc>
          <w:tcPr>
            <w:tcW w:w="1795" w:type="dxa"/>
            <w:vAlign w:val="center"/>
          </w:tcPr>
          <w:p w14:paraId="5CBA5BA2" w14:textId="77777777" w:rsidR="00E1201F" w:rsidRPr="00115E0C" w:rsidRDefault="00E1201F" w:rsidP="00115E0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15E0C">
              <w:rPr>
                <w:rFonts w:cstheme="minorHAnsi"/>
                <w:sz w:val="20"/>
                <w:szCs w:val="20"/>
              </w:rPr>
              <w:t>Pure E7</w:t>
            </w:r>
          </w:p>
        </w:tc>
        <w:tc>
          <w:tcPr>
            <w:tcW w:w="2520" w:type="dxa"/>
            <w:vAlign w:val="center"/>
          </w:tcPr>
          <w:p w14:paraId="745A3E26" w14:textId="04CADD80" w:rsidR="00E1201F" w:rsidRPr="00115E0C" w:rsidRDefault="00B5011D" w:rsidP="00115E0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15E0C">
              <w:rPr>
                <w:rFonts w:cstheme="minorHAnsi"/>
                <w:sz w:val="20"/>
                <w:szCs w:val="20"/>
              </w:rPr>
              <w:t>-4.03</w:t>
            </w:r>
          </w:p>
        </w:tc>
        <w:tc>
          <w:tcPr>
            <w:tcW w:w="2340" w:type="dxa"/>
            <w:vAlign w:val="center"/>
          </w:tcPr>
          <w:p w14:paraId="450F3203" w14:textId="77777777" w:rsidR="00E1201F" w:rsidRPr="00115E0C" w:rsidRDefault="00E1201F" w:rsidP="00115E0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15E0C">
              <w:rPr>
                <w:rFonts w:cstheme="minorHAnsi"/>
                <w:sz w:val="20"/>
                <w:szCs w:val="20"/>
              </w:rPr>
              <w:t>3.16</w:t>
            </w:r>
          </w:p>
        </w:tc>
        <w:tc>
          <w:tcPr>
            <w:tcW w:w="2610" w:type="dxa"/>
            <w:vAlign w:val="center"/>
          </w:tcPr>
          <w:p w14:paraId="72FE80D1" w14:textId="77777777" w:rsidR="00E1201F" w:rsidRPr="00115E0C" w:rsidRDefault="00E1201F" w:rsidP="00115E0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15E0C">
              <w:rPr>
                <w:rFonts w:cstheme="minorHAnsi"/>
                <w:sz w:val="20"/>
                <w:szCs w:val="20"/>
              </w:rPr>
              <w:t>-0.23</w:t>
            </w:r>
          </w:p>
        </w:tc>
      </w:tr>
      <w:tr w:rsidR="00E1201F" w:rsidRPr="00115E0C" w14:paraId="1CE8C89E" w14:textId="77777777" w:rsidTr="00115E0C">
        <w:trPr>
          <w:trHeight w:val="569"/>
        </w:trPr>
        <w:tc>
          <w:tcPr>
            <w:tcW w:w="1795" w:type="dxa"/>
            <w:vAlign w:val="center"/>
          </w:tcPr>
          <w:p w14:paraId="3B4E3D76" w14:textId="2E4ED669" w:rsidR="00E1201F" w:rsidRPr="00115E0C" w:rsidRDefault="00E1201F" w:rsidP="00115E0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15E0C">
              <w:rPr>
                <w:rFonts w:cstheme="minorHAnsi"/>
                <w:sz w:val="20"/>
                <w:szCs w:val="20"/>
              </w:rPr>
              <w:t xml:space="preserve">1 w% </w:t>
            </w:r>
            <w:r w:rsidR="00B62BE0" w:rsidRPr="00115E0C">
              <w:rPr>
                <w:rFonts w:cstheme="minorHAnsi"/>
                <w:sz w:val="20"/>
                <w:szCs w:val="20"/>
              </w:rPr>
              <w:t>sample</w:t>
            </w:r>
          </w:p>
        </w:tc>
        <w:tc>
          <w:tcPr>
            <w:tcW w:w="2520" w:type="dxa"/>
            <w:vAlign w:val="center"/>
          </w:tcPr>
          <w:p w14:paraId="439898C1" w14:textId="48FC6E01" w:rsidR="00E1201F" w:rsidRPr="00115E0C" w:rsidRDefault="00B5011D" w:rsidP="00115E0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15E0C">
              <w:rPr>
                <w:rFonts w:cstheme="minorHAnsi"/>
                <w:sz w:val="20"/>
                <w:szCs w:val="20"/>
              </w:rPr>
              <w:t>-</w:t>
            </w:r>
            <w:r w:rsidR="006B769E" w:rsidRPr="00115E0C">
              <w:rPr>
                <w:rFonts w:cstheme="minorHAnsi"/>
                <w:sz w:val="20"/>
                <w:szCs w:val="20"/>
              </w:rPr>
              <w:t>7.077</w:t>
            </w:r>
          </w:p>
        </w:tc>
        <w:tc>
          <w:tcPr>
            <w:tcW w:w="2340" w:type="dxa"/>
            <w:vAlign w:val="center"/>
          </w:tcPr>
          <w:p w14:paraId="5029097E" w14:textId="77777777" w:rsidR="00E1201F" w:rsidRPr="00115E0C" w:rsidRDefault="00E1201F" w:rsidP="00115E0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15E0C">
              <w:rPr>
                <w:rFonts w:cstheme="minorHAnsi"/>
                <w:sz w:val="20"/>
                <w:szCs w:val="20"/>
              </w:rPr>
              <w:t>1.85</w:t>
            </w:r>
          </w:p>
        </w:tc>
        <w:tc>
          <w:tcPr>
            <w:tcW w:w="2610" w:type="dxa"/>
            <w:vAlign w:val="center"/>
          </w:tcPr>
          <w:p w14:paraId="515DF765" w14:textId="77777777" w:rsidR="00E1201F" w:rsidRPr="00115E0C" w:rsidRDefault="00E1201F" w:rsidP="00115E0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15E0C">
              <w:rPr>
                <w:rFonts w:cstheme="minorHAnsi"/>
                <w:sz w:val="20"/>
                <w:szCs w:val="20"/>
              </w:rPr>
              <w:t>-0.17</w:t>
            </w:r>
          </w:p>
        </w:tc>
      </w:tr>
      <w:tr w:rsidR="00E1201F" w:rsidRPr="00115E0C" w14:paraId="49195494" w14:textId="77777777" w:rsidTr="00115E0C">
        <w:trPr>
          <w:trHeight w:val="569"/>
        </w:trPr>
        <w:tc>
          <w:tcPr>
            <w:tcW w:w="1795" w:type="dxa"/>
            <w:vAlign w:val="center"/>
          </w:tcPr>
          <w:p w14:paraId="29651098" w14:textId="56BE38F6" w:rsidR="00E1201F" w:rsidRPr="00115E0C" w:rsidRDefault="00E1201F" w:rsidP="00115E0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15E0C">
              <w:rPr>
                <w:rFonts w:cstheme="minorHAnsi"/>
                <w:sz w:val="20"/>
                <w:szCs w:val="20"/>
              </w:rPr>
              <w:t xml:space="preserve">0.01 w% </w:t>
            </w:r>
            <w:r w:rsidR="00B62BE0" w:rsidRPr="00115E0C">
              <w:rPr>
                <w:rFonts w:cstheme="minorHAnsi"/>
                <w:sz w:val="20"/>
                <w:szCs w:val="20"/>
              </w:rPr>
              <w:t>sample</w:t>
            </w:r>
          </w:p>
        </w:tc>
        <w:tc>
          <w:tcPr>
            <w:tcW w:w="2520" w:type="dxa"/>
            <w:vAlign w:val="center"/>
          </w:tcPr>
          <w:p w14:paraId="253A5DBA" w14:textId="4BA8E357" w:rsidR="00E1201F" w:rsidRPr="00115E0C" w:rsidRDefault="00E1201F" w:rsidP="00115E0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15E0C">
              <w:rPr>
                <w:rFonts w:cstheme="minorHAnsi"/>
                <w:sz w:val="20"/>
                <w:szCs w:val="20"/>
              </w:rPr>
              <w:t>-</w:t>
            </w:r>
            <w:r w:rsidR="006B769E" w:rsidRPr="00115E0C">
              <w:rPr>
                <w:rFonts w:cstheme="minorHAnsi"/>
                <w:sz w:val="20"/>
                <w:szCs w:val="20"/>
              </w:rPr>
              <w:t>5.83</w:t>
            </w:r>
          </w:p>
        </w:tc>
        <w:tc>
          <w:tcPr>
            <w:tcW w:w="2340" w:type="dxa"/>
            <w:vAlign w:val="center"/>
          </w:tcPr>
          <w:p w14:paraId="4B2A7F7D" w14:textId="77777777" w:rsidR="00E1201F" w:rsidRPr="00115E0C" w:rsidRDefault="00E1201F" w:rsidP="00115E0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15E0C">
              <w:rPr>
                <w:rFonts w:cstheme="minorHAnsi"/>
                <w:sz w:val="20"/>
                <w:szCs w:val="20"/>
              </w:rPr>
              <w:t>1.56</w:t>
            </w:r>
          </w:p>
        </w:tc>
        <w:tc>
          <w:tcPr>
            <w:tcW w:w="2610" w:type="dxa"/>
            <w:vAlign w:val="center"/>
          </w:tcPr>
          <w:p w14:paraId="3869ACDC" w14:textId="77777777" w:rsidR="00E1201F" w:rsidRPr="00115E0C" w:rsidRDefault="00E1201F" w:rsidP="00115E0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15E0C">
              <w:rPr>
                <w:rFonts w:cstheme="minorHAnsi"/>
                <w:sz w:val="20"/>
                <w:szCs w:val="20"/>
              </w:rPr>
              <w:t>-0.17</w:t>
            </w:r>
          </w:p>
        </w:tc>
      </w:tr>
      <w:tr w:rsidR="00E1201F" w:rsidRPr="00115E0C" w14:paraId="38CACEF7" w14:textId="77777777" w:rsidTr="00115E0C">
        <w:trPr>
          <w:trHeight w:val="569"/>
        </w:trPr>
        <w:tc>
          <w:tcPr>
            <w:tcW w:w="1795" w:type="dxa"/>
            <w:vAlign w:val="center"/>
          </w:tcPr>
          <w:p w14:paraId="6BCE97BE" w14:textId="2392C42A" w:rsidR="00E1201F" w:rsidRPr="00115E0C" w:rsidRDefault="00E1201F" w:rsidP="00115E0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15E0C">
              <w:rPr>
                <w:rFonts w:cstheme="minorHAnsi"/>
                <w:sz w:val="20"/>
                <w:szCs w:val="20"/>
              </w:rPr>
              <w:t xml:space="preserve">0.001 w% </w:t>
            </w:r>
            <w:r w:rsidR="00B62BE0" w:rsidRPr="00115E0C">
              <w:rPr>
                <w:rFonts w:cstheme="minorHAnsi"/>
                <w:sz w:val="20"/>
                <w:szCs w:val="20"/>
              </w:rPr>
              <w:t>sample</w:t>
            </w:r>
          </w:p>
        </w:tc>
        <w:tc>
          <w:tcPr>
            <w:tcW w:w="2520" w:type="dxa"/>
            <w:vAlign w:val="center"/>
          </w:tcPr>
          <w:p w14:paraId="6FA03607" w14:textId="4E73A9AB" w:rsidR="00E1201F" w:rsidRPr="00115E0C" w:rsidRDefault="00E1201F" w:rsidP="00115E0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15E0C">
              <w:rPr>
                <w:rFonts w:cstheme="minorHAnsi"/>
                <w:sz w:val="20"/>
                <w:szCs w:val="20"/>
              </w:rPr>
              <w:t>-</w:t>
            </w:r>
            <w:r w:rsidR="006B769E" w:rsidRPr="00115E0C">
              <w:rPr>
                <w:rFonts w:cstheme="minorHAnsi"/>
                <w:sz w:val="20"/>
                <w:szCs w:val="20"/>
              </w:rPr>
              <w:t>3.937</w:t>
            </w:r>
          </w:p>
        </w:tc>
        <w:tc>
          <w:tcPr>
            <w:tcW w:w="2340" w:type="dxa"/>
            <w:vAlign w:val="center"/>
          </w:tcPr>
          <w:p w14:paraId="70459ADC" w14:textId="77777777" w:rsidR="00E1201F" w:rsidRPr="00115E0C" w:rsidRDefault="00E1201F" w:rsidP="00115E0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15E0C">
              <w:rPr>
                <w:rFonts w:cstheme="minorHAnsi"/>
                <w:sz w:val="20"/>
                <w:szCs w:val="20"/>
              </w:rPr>
              <w:t>0.92</w:t>
            </w:r>
          </w:p>
        </w:tc>
        <w:tc>
          <w:tcPr>
            <w:tcW w:w="2610" w:type="dxa"/>
            <w:vAlign w:val="center"/>
          </w:tcPr>
          <w:p w14:paraId="3952CE8D" w14:textId="77777777" w:rsidR="00E1201F" w:rsidRPr="00115E0C" w:rsidRDefault="00E1201F" w:rsidP="00115E0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15E0C">
              <w:rPr>
                <w:rFonts w:cstheme="minorHAnsi"/>
                <w:sz w:val="20"/>
                <w:szCs w:val="20"/>
              </w:rPr>
              <w:t>-0.1</w:t>
            </w:r>
          </w:p>
        </w:tc>
      </w:tr>
      <w:tr w:rsidR="00E1201F" w:rsidRPr="00115E0C" w14:paraId="2057EF70" w14:textId="77777777" w:rsidTr="00115E0C">
        <w:trPr>
          <w:trHeight w:val="569"/>
        </w:trPr>
        <w:tc>
          <w:tcPr>
            <w:tcW w:w="1795" w:type="dxa"/>
            <w:vAlign w:val="center"/>
          </w:tcPr>
          <w:p w14:paraId="5772A81B" w14:textId="2FC8803F" w:rsidR="00E1201F" w:rsidRPr="00115E0C" w:rsidRDefault="00E1201F" w:rsidP="00115E0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15E0C">
              <w:rPr>
                <w:rFonts w:cstheme="minorHAnsi"/>
                <w:sz w:val="20"/>
                <w:szCs w:val="20"/>
              </w:rPr>
              <w:t xml:space="preserve">0.0001 w% </w:t>
            </w:r>
            <w:r w:rsidR="00B62BE0" w:rsidRPr="00115E0C">
              <w:rPr>
                <w:rFonts w:cstheme="minorHAnsi"/>
                <w:sz w:val="20"/>
                <w:szCs w:val="20"/>
              </w:rPr>
              <w:t>sample</w:t>
            </w:r>
          </w:p>
        </w:tc>
        <w:tc>
          <w:tcPr>
            <w:tcW w:w="2520" w:type="dxa"/>
            <w:vAlign w:val="center"/>
          </w:tcPr>
          <w:p w14:paraId="64A7ED7F" w14:textId="655A4D58" w:rsidR="00E1201F" w:rsidRPr="00115E0C" w:rsidRDefault="00E1201F" w:rsidP="00115E0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15E0C">
              <w:rPr>
                <w:rFonts w:cstheme="minorHAnsi"/>
                <w:sz w:val="20"/>
                <w:szCs w:val="20"/>
              </w:rPr>
              <w:t>-</w:t>
            </w:r>
            <w:r w:rsidR="006B769E" w:rsidRPr="00115E0C">
              <w:rPr>
                <w:rFonts w:cstheme="minorHAnsi"/>
                <w:sz w:val="20"/>
                <w:szCs w:val="20"/>
              </w:rPr>
              <w:t>3.301</w:t>
            </w:r>
          </w:p>
        </w:tc>
        <w:tc>
          <w:tcPr>
            <w:tcW w:w="2340" w:type="dxa"/>
            <w:vAlign w:val="center"/>
          </w:tcPr>
          <w:p w14:paraId="194F0B3D" w14:textId="77777777" w:rsidR="00E1201F" w:rsidRPr="00115E0C" w:rsidRDefault="00E1201F" w:rsidP="00115E0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15E0C">
              <w:rPr>
                <w:rFonts w:cstheme="minorHAnsi"/>
                <w:sz w:val="20"/>
                <w:szCs w:val="20"/>
              </w:rPr>
              <w:t>0.64</w:t>
            </w:r>
          </w:p>
        </w:tc>
        <w:tc>
          <w:tcPr>
            <w:tcW w:w="2610" w:type="dxa"/>
            <w:vAlign w:val="center"/>
          </w:tcPr>
          <w:p w14:paraId="086EDE6F" w14:textId="77777777" w:rsidR="00E1201F" w:rsidRPr="00115E0C" w:rsidRDefault="00E1201F" w:rsidP="00115E0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15E0C">
              <w:rPr>
                <w:rFonts w:cstheme="minorHAnsi"/>
                <w:sz w:val="20"/>
                <w:szCs w:val="20"/>
              </w:rPr>
              <w:t>-0.071</w:t>
            </w:r>
          </w:p>
        </w:tc>
      </w:tr>
    </w:tbl>
    <w:p w14:paraId="68896E7B" w14:textId="77777777" w:rsidR="00E1201F" w:rsidRPr="00266B29" w:rsidRDefault="00E1201F" w:rsidP="00E1201F">
      <w:pPr>
        <w:jc w:val="center"/>
        <w:rPr>
          <w:rFonts w:cstheme="minorHAnsi"/>
          <w:sz w:val="20"/>
          <w:szCs w:val="20"/>
        </w:rPr>
      </w:pPr>
    </w:p>
    <w:p w14:paraId="253E4503" w14:textId="51DB15B4" w:rsidR="00E870A0" w:rsidRPr="00266B29" w:rsidRDefault="00085370" w:rsidP="00E870A0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266B29">
        <w:rPr>
          <w:rStyle w:val="q4iawc"/>
          <w:rFonts w:cstheme="minorHAnsi"/>
          <w:sz w:val="20"/>
          <w:szCs w:val="20"/>
          <w:lang w:val="en"/>
        </w:rPr>
        <w:t>The changes in slope</w:t>
      </w:r>
      <w:r w:rsidR="009E0645" w:rsidRPr="00266B29">
        <w:rPr>
          <w:rStyle w:val="q4iawc"/>
          <w:rFonts w:cstheme="minorHAnsi"/>
          <w:sz w:val="20"/>
          <w:szCs w:val="20"/>
          <w:lang w:val="en"/>
        </w:rPr>
        <w:t>s</w:t>
      </w:r>
      <w:r w:rsidRPr="00266B29">
        <w:rPr>
          <w:rStyle w:val="q4iawc"/>
          <w:rFonts w:cstheme="minorHAnsi"/>
          <w:sz w:val="20"/>
          <w:szCs w:val="20"/>
          <w:lang w:val="en"/>
        </w:rPr>
        <w:t xml:space="preserve"> and impedance value</w:t>
      </w:r>
      <w:r w:rsidR="009E0645" w:rsidRPr="00266B29">
        <w:rPr>
          <w:rStyle w:val="q4iawc"/>
          <w:rFonts w:cstheme="minorHAnsi"/>
          <w:sz w:val="20"/>
          <w:szCs w:val="20"/>
          <w:lang w:val="en"/>
        </w:rPr>
        <w:t>s</w:t>
      </w:r>
      <w:r w:rsidRPr="00266B29">
        <w:rPr>
          <w:rStyle w:val="q4iawc"/>
          <w:rFonts w:cstheme="minorHAnsi"/>
          <w:sz w:val="20"/>
          <w:szCs w:val="20"/>
          <w:lang w:val="en"/>
        </w:rPr>
        <w:t xml:space="preserve"> in the first three parts have shown in table (1</w:t>
      </w:r>
      <w:r w:rsidR="00A137BF">
        <w:rPr>
          <w:rStyle w:val="q4iawc"/>
          <w:rFonts w:cstheme="minorHAnsi"/>
          <w:sz w:val="20"/>
          <w:szCs w:val="20"/>
          <w:lang w:val="en"/>
        </w:rPr>
        <w:t>S</w:t>
      </w:r>
      <w:r w:rsidRPr="00266B29">
        <w:rPr>
          <w:rStyle w:val="q4iawc"/>
          <w:rFonts w:cstheme="minorHAnsi"/>
          <w:sz w:val="20"/>
          <w:szCs w:val="20"/>
          <w:lang w:val="en"/>
        </w:rPr>
        <w:t>). In part III, the decrease in the slope</w:t>
      </w:r>
      <w:r w:rsidR="009E0645" w:rsidRPr="00266B29">
        <w:rPr>
          <w:rStyle w:val="q4iawc"/>
          <w:rFonts w:cstheme="minorHAnsi"/>
          <w:sz w:val="20"/>
          <w:szCs w:val="20"/>
          <w:lang w:val="en"/>
        </w:rPr>
        <w:t>s</w:t>
      </w:r>
      <w:r w:rsidRPr="00266B29">
        <w:rPr>
          <w:rStyle w:val="q4iawc"/>
          <w:rFonts w:cstheme="minorHAnsi"/>
          <w:sz w:val="20"/>
          <w:szCs w:val="20"/>
          <w:lang w:val="en"/>
        </w:rPr>
        <w:t xml:space="preserve"> of 1 w%, 0.01 w%, 0.001 w%, and 0.0001 w% samples compared to pure E7 are 35.29%, 35.29%, 56.52%, and 69.56%, respectively. In part I, we are facing a different trend. The response slopes for 1 w% and 0.01 w% samples increase compared to the pure E7. The increases are 75.6% and 44.66% for 1 w% and 0.01 w% samples, respectively. Therefore, at the frequency of 0.25 Hz, the impedance value</w:t>
      </w:r>
      <w:r w:rsidR="009E0645" w:rsidRPr="00266B29">
        <w:rPr>
          <w:rStyle w:val="q4iawc"/>
          <w:rFonts w:cstheme="minorHAnsi"/>
          <w:sz w:val="20"/>
          <w:szCs w:val="20"/>
          <w:lang w:val="en"/>
        </w:rPr>
        <w:t>s</w:t>
      </w:r>
      <w:r w:rsidRPr="00266B29">
        <w:rPr>
          <w:rStyle w:val="q4iawc"/>
          <w:rFonts w:cstheme="minorHAnsi"/>
          <w:sz w:val="20"/>
          <w:szCs w:val="20"/>
          <w:lang w:val="en"/>
        </w:rPr>
        <w:t xml:space="preserve"> of these two samples exceed the value of pure E7 response, and at the final frequency of 100mHz, the impedance value</w:t>
      </w:r>
      <w:r w:rsidR="009E0645" w:rsidRPr="00266B29">
        <w:rPr>
          <w:rStyle w:val="q4iawc"/>
          <w:rFonts w:cstheme="minorHAnsi"/>
          <w:sz w:val="20"/>
          <w:szCs w:val="20"/>
          <w:lang w:val="en"/>
        </w:rPr>
        <w:t>s</w:t>
      </w:r>
      <w:r w:rsidRPr="00266B29">
        <w:rPr>
          <w:rStyle w:val="q4iawc"/>
          <w:rFonts w:cstheme="minorHAnsi"/>
          <w:sz w:val="20"/>
          <w:szCs w:val="20"/>
          <w:lang w:val="en"/>
        </w:rPr>
        <w:t xml:space="preserve"> for 1 w% and 0.01 w% samples and pure E7 are 9.2 MΩ, 8.15 MΩ, and 7.34 MΩ</w:t>
      </w:r>
      <w:r w:rsidR="009E0645" w:rsidRPr="00266B29">
        <w:rPr>
          <w:rStyle w:val="q4iawc"/>
          <w:rFonts w:cstheme="minorHAnsi"/>
          <w:sz w:val="20"/>
          <w:szCs w:val="20"/>
          <w:lang w:val="en"/>
        </w:rPr>
        <w:t>,</w:t>
      </w:r>
      <w:r w:rsidRPr="00266B29">
        <w:rPr>
          <w:rStyle w:val="q4iawc"/>
          <w:rFonts w:cstheme="minorHAnsi"/>
          <w:sz w:val="20"/>
          <w:szCs w:val="20"/>
          <w:lang w:val="en"/>
        </w:rPr>
        <w:t xml:space="preserve"> respectively. We have also examined suspension with a higher concentration of GMN dopant, in which both the frequency of overtaking of the response and the magnitude of the low-frequency impedance</w:t>
      </w:r>
      <w:r w:rsidR="009E0645" w:rsidRPr="00266B29">
        <w:rPr>
          <w:rStyle w:val="q4iawc"/>
          <w:rFonts w:cstheme="minorHAnsi"/>
          <w:sz w:val="20"/>
          <w:szCs w:val="20"/>
          <w:lang w:val="en"/>
        </w:rPr>
        <w:t xml:space="preserve"> compared to pure E7</w:t>
      </w:r>
      <w:r w:rsidRPr="00266B29">
        <w:rPr>
          <w:rStyle w:val="q4iawc"/>
          <w:rFonts w:cstheme="minorHAnsi"/>
          <w:sz w:val="20"/>
          <w:szCs w:val="20"/>
          <w:lang w:val="en"/>
        </w:rPr>
        <w:t xml:space="preserve"> increase significantly above these values. Albeit, we did not find it necessary to present this result. At the opposite point, the response of 0.001 w% and 0.0001 w% samples are different, and their slopes are reduced compared to the pure E7 sample. The values of these slope reductions for 0.001 w% and 0.0001 w% samples are equal to 2.3% and 18.09%, and at the frequency of 100 mHz, the impedance values for them are 5.34 MΩ and 4.29 MΩ, respectively.</w:t>
      </w:r>
    </w:p>
    <w:p w14:paraId="19814C61" w14:textId="77777777" w:rsidR="00E870A0" w:rsidRPr="00115E0C" w:rsidRDefault="00E870A0" w:rsidP="00E870A0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2E9B75E5" w14:textId="6FD9EE66" w:rsidR="00E870A0" w:rsidRPr="00115E0C" w:rsidRDefault="006A237A" w:rsidP="00E870A0">
      <w:pPr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  <w:r w:rsidRPr="00115E0C">
        <w:rPr>
          <w:rFonts w:cstheme="minorHAnsi"/>
          <w:b/>
          <w:bCs/>
          <w:sz w:val="20"/>
          <w:szCs w:val="20"/>
        </w:rPr>
        <w:t>Warburg Impedance</w:t>
      </w:r>
    </w:p>
    <w:p w14:paraId="22B50F95" w14:textId="77777777" w:rsidR="00E870A0" w:rsidRPr="00115E0C" w:rsidRDefault="00E870A0" w:rsidP="00E870A0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095EBBC3" w14:textId="5FD60171" w:rsidR="00E870A0" w:rsidRPr="00115E0C" w:rsidRDefault="00E870A0" w:rsidP="00E870A0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115E0C">
        <w:rPr>
          <w:rFonts w:cstheme="minorHAnsi"/>
          <w:sz w:val="20"/>
          <w:szCs w:val="20"/>
        </w:rPr>
        <w:t xml:space="preserve">The generalized finite-length Warburg impedance </w:t>
      </w:r>
      <w:r w:rsidRPr="00115E0C">
        <w:rPr>
          <w:rFonts w:cstheme="minorHAnsi"/>
          <w:position w:val="-12"/>
          <w:sz w:val="20"/>
          <w:szCs w:val="20"/>
        </w:rPr>
        <w:object w:dxaOrig="320" w:dyaOrig="360" w14:anchorId="75615AE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.8pt;height:15.6pt" o:ole="">
            <v:imagedata r:id="rId5" o:title=""/>
          </v:shape>
          <o:OLEObject Type="Embed" ProgID="Equation.DSMT4" ShapeID="_x0000_i1025" DrawAspect="Content" ObjectID="_1739412896" r:id="rId6"/>
        </w:object>
      </w:r>
      <w:r w:rsidRPr="00115E0C">
        <w:rPr>
          <w:rFonts w:cstheme="minorHAnsi"/>
          <w:sz w:val="20"/>
          <w:szCs w:val="20"/>
        </w:rPr>
        <w:t xml:space="preserve"> is expressed by the following expression</w:t>
      </w:r>
      <w:r w:rsidRPr="00115E0C">
        <w:rPr>
          <w:rFonts w:cstheme="minorHAnsi"/>
          <w:sz w:val="20"/>
          <w:szCs w:val="20"/>
        </w:rPr>
        <w:fldChar w:fldCharType="begin" w:fldLock="1"/>
      </w:r>
      <w:r w:rsidR="00EB63BB" w:rsidRPr="00115E0C">
        <w:rPr>
          <w:rFonts w:cstheme="minorHAnsi"/>
          <w:sz w:val="20"/>
          <w:szCs w:val="20"/>
        </w:rPr>
        <w:instrText>ADDIN CSL_CITATION {"citationItems":[{"id":"ITEM-1","itemData":{"ISSN":"0026-8941","author":[{"dropping-particle":"","family":"Sprokel","given":"G J","non-dropping-particle":"","parse-names":false,"suffix":""}],"container-title":"Molecular Crystals and Liquid Crystals","id":"ITEM-1","issue":"3-4","issued":{"date-parts":[["1973"]]},"page":"249-260","publisher":"Taylor &amp; Francis","title":"Resistivity, permittivity and the electrode space charge of nematic liquid crystals","type":"article-journal","volume":"22"},"uris":["http://www.mendeley.com/documents/?uuid=988259f2-eb49-4d60-b7ac-4a96d181ec2a"]}],"mendeley":{"formattedCitation":"[1]","plainTextFormattedCitation":"[1]","previouslyFormattedCitation":"[1]"},"properties":{"noteIndex":0},"schema":"https://github.com/citation-style-language/schema/raw/master/csl-citation.json"}</w:instrText>
      </w:r>
      <w:r w:rsidRPr="00115E0C">
        <w:rPr>
          <w:rFonts w:cstheme="minorHAnsi"/>
          <w:sz w:val="20"/>
          <w:szCs w:val="20"/>
        </w:rPr>
        <w:fldChar w:fldCharType="separate"/>
      </w:r>
      <w:r w:rsidRPr="00115E0C">
        <w:rPr>
          <w:rFonts w:cstheme="minorHAnsi"/>
          <w:noProof/>
          <w:sz w:val="20"/>
          <w:szCs w:val="20"/>
        </w:rPr>
        <w:t>[1]</w:t>
      </w:r>
      <w:r w:rsidRPr="00115E0C">
        <w:rPr>
          <w:rFonts w:cstheme="minorHAnsi"/>
          <w:sz w:val="20"/>
          <w:szCs w:val="20"/>
        </w:rPr>
        <w:fldChar w:fldCharType="end"/>
      </w:r>
      <w:r w:rsidRPr="00115E0C">
        <w:rPr>
          <w:rFonts w:cstheme="minorHAnsi"/>
          <w:sz w:val="20"/>
          <w:szCs w:val="20"/>
        </w:rPr>
        <w:t>:</w:t>
      </w:r>
    </w:p>
    <w:p w14:paraId="1255CD02" w14:textId="77777777" w:rsidR="00E870A0" w:rsidRPr="00115E0C" w:rsidRDefault="00E870A0" w:rsidP="00E870A0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115E0C">
        <w:rPr>
          <w:rFonts w:cstheme="minorHAnsi"/>
          <w:position w:val="-28"/>
          <w:sz w:val="20"/>
          <w:szCs w:val="20"/>
        </w:rPr>
        <w:object w:dxaOrig="2900" w:dyaOrig="660" w14:anchorId="32E90917">
          <v:shape id="_x0000_i1026" type="#_x0000_t75" style="width:134.4pt;height:30.6pt" o:ole="">
            <v:imagedata r:id="rId7" o:title=""/>
          </v:shape>
          <o:OLEObject Type="Embed" ProgID="Equation.DSMT4" ShapeID="_x0000_i1026" DrawAspect="Content" ObjectID="_1739412897" r:id="rId8"/>
        </w:object>
      </w:r>
    </w:p>
    <w:p w14:paraId="00A67CCE" w14:textId="77777777" w:rsidR="00E870A0" w:rsidRPr="00115E0C" w:rsidRDefault="00E870A0" w:rsidP="00E870A0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115E0C">
        <w:rPr>
          <w:rFonts w:cstheme="minorHAnsi"/>
          <w:sz w:val="20"/>
          <w:szCs w:val="20"/>
        </w:rPr>
        <w:t xml:space="preserve">With the two parameters </w:t>
      </w:r>
      <w:r w:rsidRPr="00115E0C">
        <w:rPr>
          <w:rFonts w:cstheme="minorHAnsi"/>
          <w:position w:val="-12"/>
          <w:sz w:val="20"/>
          <w:szCs w:val="20"/>
        </w:rPr>
        <w:object w:dxaOrig="360" w:dyaOrig="360" w14:anchorId="310E819C">
          <v:shape id="_x0000_i1027" type="#_x0000_t75" style="width:17.4pt;height:17.4pt" o:ole="">
            <v:imagedata r:id="rId9" o:title=""/>
          </v:shape>
          <o:OLEObject Type="Embed" ProgID="Equation.DSMT4" ShapeID="_x0000_i1027" DrawAspect="Content" ObjectID="_1739412898" r:id="rId10"/>
        </w:object>
      </w:r>
      <w:r w:rsidRPr="00115E0C">
        <w:rPr>
          <w:rFonts w:cstheme="minorHAnsi"/>
          <w:sz w:val="20"/>
          <w:szCs w:val="20"/>
        </w:rPr>
        <w:t xml:space="preserve">and </w:t>
      </w:r>
      <w:r w:rsidRPr="00115E0C">
        <w:rPr>
          <w:rFonts w:cstheme="minorHAnsi"/>
          <w:position w:val="-12"/>
          <w:sz w:val="20"/>
          <w:szCs w:val="20"/>
        </w:rPr>
        <w:object w:dxaOrig="360" w:dyaOrig="360" w14:anchorId="148F17BD">
          <v:shape id="_x0000_i1028" type="#_x0000_t75" style="width:17.4pt;height:17.4pt" o:ole="">
            <v:imagedata r:id="rId11" o:title=""/>
          </v:shape>
          <o:OLEObject Type="Embed" ProgID="Equation.DSMT4" ShapeID="_x0000_i1028" DrawAspect="Content" ObjectID="_1739412899" r:id="rId12"/>
        </w:object>
      </w:r>
      <w:r w:rsidRPr="00115E0C">
        <w:rPr>
          <w:rFonts w:cstheme="minorHAnsi"/>
          <w:sz w:val="20"/>
          <w:szCs w:val="20"/>
        </w:rPr>
        <w:t>as follow:</w:t>
      </w:r>
    </w:p>
    <w:p w14:paraId="0E0E8B5C" w14:textId="77777777" w:rsidR="00E870A0" w:rsidRPr="00115E0C" w:rsidRDefault="00E870A0" w:rsidP="00E870A0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115E0C">
        <w:rPr>
          <w:rFonts w:cstheme="minorHAnsi"/>
          <w:position w:val="-64"/>
          <w:sz w:val="20"/>
          <w:szCs w:val="20"/>
        </w:rPr>
        <w:object w:dxaOrig="1800" w:dyaOrig="1400" w14:anchorId="508E6DDF">
          <v:shape id="_x0000_i1029" type="#_x0000_t75" style="width:75pt;height:57.6pt" o:ole="">
            <v:imagedata r:id="rId13" o:title=""/>
          </v:shape>
          <o:OLEObject Type="Embed" ProgID="Equation.DSMT4" ShapeID="_x0000_i1029" DrawAspect="Content" ObjectID="_1739412900" r:id="rId14"/>
        </w:object>
      </w:r>
    </w:p>
    <w:p w14:paraId="072F7B57" w14:textId="2888EBF4" w:rsidR="000F0DF3" w:rsidRPr="00115E0C" w:rsidRDefault="00E870A0" w:rsidP="00EB63BB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  <w:r w:rsidRPr="00115E0C">
        <w:rPr>
          <w:rFonts w:cstheme="minorHAnsi"/>
          <w:sz w:val="20"/>
          <w:szCs w:val="20"/>
        </w:rPr>
        <w:t xml:space="preserve">where R is the gas constant, T absolute temperature, </w:t>
      </w:r>
      <w:r w:rsidR="00A137BF">
        <w:rPr>
          <w:rFonts w:cstheme="minorHAnsi"/>
          <w:sz w:val="20"/>
          <w:szCs w:val="20"/>
        </w:rPr>
        <w:t>N</w:t>
      </w:r>
      <w:r w:rsidR="00A137BF">
        <w:rPr>
          <w:rFonts w:cstheme="minorHAnsi"/>
          <w:sz w:val="20"/>
          <w:szCs w:val="20"/>
          <w:vertAlign w:val="subscript"/>
        </w:rPr>
        <w:t>A</w:t>
      </w:r>
      <w:r w:rsidR="00A137BF">
        <w:rPr>
          <w:rFonts w:cstheme="minorHAnsi"/>
          <w:sz w:val="20"/>
          <w:szCs w:val="20"/>
        </w:rPr>
        <w:t xml:space="preserve"> </w:t>
      </w:r>
      <w:r w:rsidRPr="00115E0C">
        <w:rPr>
          <w:rFonts w:cstheme="minorHAnsi"/>
          <w:sz w:val="20"/>
          <w:szCs w:val="20"/>
        </w:rPr>
        <w:t xml:space="preserve">Avogadro’s constant, F the Faraday constant, A the electrode area of the test cell, </w:t>
      </w:r>
      <w:r w:rsidR="00A137BF">
        <w:rPr>
          <w:rFonts w:cstheme="minorHAnsi"/>
          <w:sz w:val="20"/>
          <w:szCs w:val="20"/>
        </w:rPr>
        <w:t>n</w:t>
      </w:r>
      <w:r w:rsidR="00A137BF">
        <w:rPr>
          <w:rFonts w:cstheme="minorHAnsi"/>
          <w:sz w:val="20"/>
          <w:szCs w:val="20"/>
          <w:vertAlign w:val="subscript"/>
        </w:rPr>
        <w:t>s</w:t>
      </w:r>
      <w:r w:rsidR="00A137BF">
        <w:rPr>
          <w:rFonts w:cstheme="minorHAnsi"/>
          <w:sz w:val="20"/>
          <w:szCs w:val="20"/>
        </w:rPr>
        <w:t xml:space="preserve"> </w:t>
      </w:r>
      <w:r w:rsidRPr="00115E0C">
        <w:rPr>
          <w:rFonts w:cstheme="minorHAnsi"/>
          <w:sz w:val="20"/>
          <w:szCs w:val="20"/>
        </w:rPr>
        <w:t>the concentration of mobile ions on the surface, D the effective diffusion coefficient of mobile ions, δ</w:t>
      </w:r>
      <w:r w:rsidRPr="00115E0C">
        <w:rPr>
          <w:rFonts w:cstheme="minorHAnsi"/>
          <w:sz w:val="20"/>
          <w:szCs w:val="20"/>
          <w:vertAlign w:val="subscript"/>
        </w:rPr>
        <w:t>n</w:t>
      </w:r>
      <w:r w:rsidRPr="00115E0C">
        <w:rPr>
          <w:rFonts w:cstheme="minorHAnsi"/>
          <w:sz w:val="20"/>
          <w:szCs w:val="20"/>
        </w:rPr>
        <w:t xml:space="preserve"> the thickness of the Nernst diffusion layer, W</w:t>
      </w:r>
      <w:r w:rsidRPr="00115E0C">
        <w:rPr>
          <w:rFonts w:cstheme="minorHAnsi"/>
          <w:sz w:val="20"/>
          <w:szCs w:val="20"/>
          <w:vertAlign w:val="subscript"/>
        </w:rPr>
        <w:t>sr</w:t>
      </w:r>
      <w:r w:rsidRPr="00115E0C">
        <w:rPr>
          <w:rFonts w:cstheme="minorHAnsi"/>
          <w:sz w:val="20"/>
          <w:szCs w:val="20"/>
        </w:rPr>
        <w:t xml:space="preserve"> Warburg coefficient in bulk and W</w:t>
      </w:r>
      <w:r w:rsidRPr="00115E0C">
        <w:rPr>
          <w:rFonts w:cstheme="minorHAnsi"/>
          <w:sz w:val="20"/>
          <w:szCs w:val="20"/>
          <w:vertAlign w:val="subscript"/>
        </w:rPr>
        <w:t>sc</w:t>
      </w:r>
      <w:r w:rsidRPr="00115E0C">
        <w:rPr>
          <w:rFonts w:cstheme="minorHAnsi"/>
          <w:sz w:val="20"/>
          <w:szCs w:val="20"/>
        </w:rPr>
        <w:t xml:space="preserve"> Warburg coefficient in double layer.</w:t>
      </w:r>
    </w:p>
    <w:p w14:paraId="6A5CC1EA" w14:textId="77777777" w:rsidR="00EB63BB" w:rsidRPr="00115E0C" w:rsidRDefault="00EB63BB" w:rsidP="00EB63BB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0"/>
          <w:szCs w:val="20"/>
        </w:rPr>
      </w:pPr>
    </w:p>
    <w:p w14:paraId="68A3205F" w14:textId="7AACBD4C" w:rsidR="00EB63BB" w:rsidRPr="00115E0C" w:rsidRDefault="00EB63BB" w:rsidP="00EB63BB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20"/>
          <w:szCs w:val="20"/>
        </w:rPr>
      </w:pPr>
      <w:r w:rsidRPr="00115E0C">
        <w:rPr>
          <w:rFonts w:cstheme="minorHAnsi"/>
          <w:b/>
          <w:bCs/>
          <w:sz w:val="20"/>
          <w:szCs w:val="20"/>
        </w:rPr>
        <w:t>References</w:t>
      </w:r>
    </w:p>
    <w:p w14:paraId="0A906C7F" w14:textId="08EA0B88" w:rsidR="00EB63BB" w:rsidRPr="00115E0C" w:rsidRDefault="00EB63BB" w:rsidP="00EB63BB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cstheme="minorHAnsi"/>
          <w:noProof/>
          <w:sz w:val="20"/>
        </w:rPr>
      </w:pPr>
      <w:r w:rsidRPr="00115E0C">
        <w:rPr>
          <w:rFonts w:cstheme="minorHAnsi"/>
          <w:sz w:val="20"/>
          <w:szCs w:val="20"/>
        </w:rPr>
        <w:fldChar w:fldCharType="begin" w:fldLock="1"/>
      </w:r>
      <w:r w:rsidRPr="00115E0C">
        <w:rPr>
          <w:rFonts w:cstheme="minorHAnsi"/>
          <w:sz w:val="20"/>
          <w:szCs w:val="20"/>
        </w:rPr>
        <w:instrText xml:space="preserve">ADDIN Mendeley Bibliography CSL_BIBLIOGRAPHY </w:instrText>
      </w:r>
      <w:r w:rsidRPr="00115E0C">
        <w:rPr>
          <w:rFonts w:cstheme="minorHAnsi"/>
          <w:sz w:val="20"/>
          <w:szCs w:val="20"/>
        </w:rPr>
        <w:fldChar w:fldCharType="separate"/>
      </w:r>
      <w:r w:rsidRPr="00115E0C">
        <w:rPr>
          <w:rFonts w:cstheme="minorHAnsi"/>
          <w:noProof/>
          <w:sz w:val="20"/>
          <w:szCs w:val="24"/>
        </w:rPr>
        <w:t>[1]</w:t>
      </w:r>
      <w:r w:rsidRPr="00115E0C">
        <w:rPr>
          <w:rFonts w:cstheme="minorHAnsi"/>
          <w:noProof/>
          <w:sz w:val="20"/>
          <w:szCs w:val="24"/>
        </w:rPr>
        <w:tab/>
        <w:t xml:space="preserve">G. J. Sprokel, “Resistivity, permittivity and the electrode space charge of nematic liquid crystals,” </w:t>
      </w:r>
      <w:r w:rsidRPr="00115E0C">
        <w:rPr>
          <w:rFonts w:cstheme="minorHAnsi"/>
          <w:i/>
          <w:iCs/>
          <w:noProof/>
          <w:sz w:val="20"/>
          <w:szCs w:val="24"/>
        </w:rPr>
        <w:t>Mol. Cryst. Liq. Cryst.</w:t>
      </w:r>
      <w:r w:rsidRPr="00115E0C">
        <w:rPr>
          <w:rFonts w:cstheme="minorHAnsi"/>
          <w:noProof/>
          <w:sz w:val="20"/>
          <w:szCs w:val="24"/>
        </w:rPr>
        <w:t>, vol. 22, no. 3–4, pp. 249–260, 1973.</w:t>
      </w:r>
    </w:p>
    <w:p w14:paraId="547EFA83" w14:textId="1785F3E3" w:rsidR="00EB63BB" w:rsidRPr="00115E0C" w:rsidRDefault="00EB63BB" w:rsidP="00E870A0">
      <w:pPr>
        <w:jc w:val="both"/>
        <w:rPr>
          <w:rFonts w:cstheme="minorHAnsi"/>
          <w:sz w:val="20"/>
          <w:szCs w:val="20"/>
        </w:rPr>
      </w:pPr>
      <w:r w:rsidRPr="00115E0C">
        <w:rPr>
          <w:rFonts w:cstheme="minorHAnsi"/>
          <w:sz w:val="20"/>
          <w:szCs w:val="20"/>
        </w:rPr>
        <w:fldChar w:fldCharType="end"/>
      </w:r>
    </w:p>
    <w:sectPr w:rsidR="00EB63BB" w:rsidRPr="00115E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0A0"/>
    <w:rsid w:val="00085370"/>
    <w:rsid w:val="000F0DF3"/>
    <w:rsid w:val="00115E0C"/>
    <w:rsid w:val="001A401B"/>
    <w:rsid w:val="001E119E"/>
    <w:rsid w:val="00266B29"/>
    <w:rsid w:val="002B4750"/>
    <w:rsid w:val="003E4503"/>
    <w:rsid w:val="004830DD"/>
    <w:rsid w:val="005A72F2"/>
    <w:rsid w:val="005B7135"/>
    <w:rsid w:val="005C1482"/>
    <w:rsid w:val="00622F79"/>
    <w:rsid w:val="006A237A"/>
    <w:rsid w:val="006B769E"/>
    <w:rsid w:val="007C5E6F"/>
    <w:rsid w:val="00900BF1"/>
    <w:rsid w:val="009E0645"/>
    <w:rsid w:val="00A137BF"/>
    <w:rsid w:val="00A5185F"/>
    <w:rsid w:val="00B402D7"/>
    <w:rsid w:val="00B5011D"/>
    <w:rsid w:val="00B62BE0"/>
    <w:rsid w:val="00CB0E41"/>
    <w:rsid w:val="00E1201F"/>
    <w:rsid w:val="00E870A0"/>
    <w:rsid w:val="00EB63BB"/>
    <w:rsid w:val="00FC2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323771"/>
  <w15:docId w15:val="{484FFEA9-02CE-4C58-AB2B-1841EA99D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70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E1201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rynqvb">
    <w:name w:val="rynqvb"/>
    <w:basedOn w:val="DefaultParagraphFont"/>
    <w:rsid w:val="00E1201F"/>
  </w:style>
  <w:style w:type="table" w:styleId="TableGrid">
    <w:name w:val="Table Grid"/>
    <w:basedOn w:val="TableNormal"/>
    <w:uiPriority w:val="39"/>
    <w:rsid w:val="00E120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q4iawc">
    <w:name w:val="q4iawc"/>
    <w:basedOn w:val="DefaultParagraphFont"/>
    <w:rsid w:val="00E1201F"/>
  </w:style>
  <w:style w:type="character" w:customStyle="1" w:styleId="viiyi">
    <w:name w:val="viiyi"/>
    <w:basedOn w:val="DefaultParagraphFont"/>
    <w:rsid w:val="00E1201F"/>
  </w:style>
  <w:style w:type="character" w:customStyle="1" w:styleId="hlfld-affiliation">
    <w:name w:val="hlfld-affiliation"/>
    <w:basedOn w:val="DefaultParagraphFont"/>
    <w:rsid w:val="00115E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8AA9A4-CEAD-4EC4-9DAD-993E28B2B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644</Words>
  <Characters>3676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Marzie</dc:creator>
  <cp:keywords/>
  <dc:description/>
  <cp:lastModifiedBy>Mohammadreza Kolahdouz Esfahani</cp:lastModifiedBy>
  <cp:revision>3</cp:revision>
  <cp:lastPrinted>2023-03-04T01:51:00Z</cp:lastPrinted>
  <dcterms:created xsi:type="dcterms:W3CDTF">2023-03-04T01:37:00Z</dcterms:created>
  <dcterms:modified xsi:type="dcterms:W3CDTF">2023-03-04T01:58:00Z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Citation Style_1">
    <vt:lpwstr>http://www.zotero.org/styles/ieee</vt:lpwstr>
  </property>
  <property fmtid="{D5CDD505-2E9C-101B-9397-08002B2CF9AE}" pid="4" name="Mendeley Unique User Id_1">
    <vt:lpwstr>e1810cf6-f910-3424-b84b-d1b20321dfe6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 11th edition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7th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 6th edition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17th edition (author-date)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Cite Them Right 12th edition - Harvard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9th edition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</Properties>
</file>