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0C96B" w14:textId="77777777" w:rsidR="00CB1DAA" w:rsidRDefault="00CB1DAA" w:rsidP="00CB1DAA">
      <w:pPr>
        <w:rPr>
          <w:b/>
          <w:bCs/>
        </w:rPr>
      </w:pPr>
      <w:r>
        <w:rPr>
          <w:rFonts w:hint="eastAsia"/>
        </w:rPr>
        <w:t>T</w:t>
      </w:r>
      <w:r>
        <w:t xml:space="preserve">able 1 </w:t>
      </w:r>
      <w:r w:rsidRPr="00FA027C">
        <w:rPr>
          <w:b/>
          <w:bCs/>
        </w:rPr>
        <w:t>Risk of Bias Assessment</w:t>
      </w:r>
    </w:p>
    <w:p w14:paraId="30CF2101" w14:textId="470ADF44" w:rsidR="00CB1DAA" w:rsidRDefault="00CB1DAA">
      <w:r>
        <w:t>(</w:t>
      </w:r>
      <w:r>
        <w:rPr>
          <w:rFonts w:hint="eastAsia"/>
        </w:rPr>
        <w:t>A</w:t>
      </w:r>
      <w:r>
        <w:t>) Risk of bias assessment with Newcastle-Ottawa scales for NRS</w:t>
      </w:r>
    </w:p>
    <w:tbl>
      <w:tblPr>
        <w:tblStyle w:val="a4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4962"/>
        <w:gridCol w:w="1559"/>
        <w:gridCol w:w="1417"/>
      </w:tblGrid>
      <w:tr w:rsidR="00CB1DAA" w14:paraId="437BCCC7" w14:textId="77777777" w:rsidTr="000908B3">
        <w:tc>
          <w:tcPr>
            <w:tcW w:w="4962" w:type="dxa"/>
          </w:tcPr>
          <w:p w14:paraId="4C9E1D76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</w:p>
        </w:tc>
        <w:tc>
          <w:tcPr>
            <w:tcW w:w="1559" w:type="dxa"/>
          </w:tcPr>
          <w:p w14:paraId="68DD2509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t>Aquino 2015</w:t>
            </w:r>
          </w:p>
        </w:tc>
        <w:tc>
          <w:tcPr>
            <w:tcW w:w="1417" w:type="dxa"/>
          </w:tcPr>
          <w:p w14:paraId="06E2BD10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 w:rsidRPr="0009480D">
              <w:t>Picone</w:t>
            </w:r>
            <w:r>
              <w:t xml:space="preserve"> 2020</w:t>
            </w:r>
          </w:p>
        </w:tc>
      </w:tr>
      <w:tr w:rsidR="00CB1DAA" w14:paraId="01C25AA5" w14:textId="77777777" w:rsidTr="000908B3">
        <w:tc>
          <w:tcPr>
            <w:tcW w:w="4962" w:type="dxa"/>
          </w:tcPr>
          <w:p w14:paraId="7F6BD072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Selection</w:t>
            </w:r>
          </w:p>
        </w:tc>
        <w:tc>
          <w:tcPr>
            <w:tcW w:w="1559" w:type="dxa"/>
          </w:tcPr>
          <w:p w14:paraId="6628A3AB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401BB382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</w:p>
        </w:tc>
      </w:tr>
      <w:tr w:rsidR="00CB1DAA" w14:paraId="6B2ECBDC" w14:textId="77777777" w:rsidTr="000908B3">
        <w:tc>
          <w:tcPr>
            <w:tcW w:w="4962" w:type="dxa"/>
          </w:tcPr>
          <w:p w14:paraId="181C2C4F" w14:textId="77777777" w:rsidR="00CB1DAA" w:rsidRPr="00094A3F" w:rsidRDefault="00CB1DAA" w:rsidP="00CB1DAA">
            <w:pPr>
              <w:pStyle w:val="a3"/>
              <w:numPr>
                <w:ilvl w:val="0"/>
                <w:numId w:val="1"/>
              </w:numPr>
              <w:tabs>
                <w:tab w:val="left" w:pos="2796"/>
              </w:tabs>
              <w:ind w:leftChars="0"/>
              <w:rPr>
                <w:b/>
                <w:bCs/>
              </w:rPr>
            </w:pPr>
            <w:r w:rsidRPr="00094A3F">
              <w:rPr>
                <w:rFonts w:ascii="Times New Roman" w:hAnsi="Times New Roman" w:cs="Times New Roman"/>
                <w:kern w:val="0"/>
                <w:sz w:val="21"/>
                <w:szCs w:val="21"/>
              </w:rPr>
              <w:t>Representativeness of the exposed cohort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 (or </w:t>
            </w:r>
            <w:proofErr w:type="gramStart"/>
            <w:r w:rsidRPr="00BF3614">
              <w:rPr>
                <w:rFonts w:ascii="Times New Roman" w:hAnsi="Times New Roman" w:cs="Times New Roman"/>
                <w:kern w:val="0"/>
                <w:sz w:val="21"/>
                <w:szCs w:val="21"/>
              </w:rPr>
              <w:t>Is</w:t>
            </w:r>
            <w:proofErr w:type="gramEnd"/>
            <w:r w:rsidRPr="00BF3614"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 the case definition adequate?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559" w:type="dxa"/>
          </w:tcPr>
          <w:p w14:paraId="0BDC874E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proofErr w:type="gramStart"/>
            <w:r>
              <w:rPr>
                <w:rFonts w:asciiTheme="minorEastAsia" w:hAnsiTheme="minorEastAsia" w:hint="eastAsia"/>
                <w:b/>
                <w:bCs/>
              </w:rPr>
              <w:t>＊</w:t>
            </w:r>
            <w:proofErr w:type="gramEnd"/>
          </w:p>
        </w:tc>
        <w:tc>
          <w:tcPr>
            <w:tcW w:w="1417" w:type="dxa"/>
          </w:tcPr>
          <w:p w14:paraId="263F7316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proofErr w:type="gramStart"/>
            <w:r>
              <w:rPr>
                <w:rFonts w:asciiTheme="minorEastAsia" w:hAnsiTheme="minorEastAsia" w:hint="eastAsia"/>
                <w:b/>
                <w:bCs/>
              </w:rPr>
              <w:t>＊</w:t>
            </w:r>
            <w:proofErr w:type="gramEnd"/>
          </w:p>
        </w:tc>
      </w:tr>
      <w:tr w:rsidR="00CB1DAA" w14:paraId="782AE4F5" w14:textId="77777777" w:rsidTr="000908B3">
        <w:tc>
          <w:tcPr>
            <w:tcW w:w="4962" w:type="dxa"/>
          </w:tcPr>
          <w:p w14:paraId="7D4FB1F3" w14:textId="77777777" w:rsidR="00CB1DAA" w:rsidRPr="00094A3F" w:rsidRDefault="00CB1DAA" w:rsidP="00CB1DAA">
            <w:pPr>
              <w:pStyle w:val="a3"/>
              <w:numPr>
                <w:ilvl w:val="0"/>
                <w:numId w:val="1"/>
              </w:numPr>
              <w:tabs>
                <w:tab w:val="left" w:pos="2796"/>
              </w:tabs>
              <w:ind w:leftChars="0"/>
              <w:rPr>
                <w:b/>
                <w:bCs/>
              </w:rPr>
            </w:pPr>
            <w:bookmarkStart w:id="0" w:name="_Hlk123734766"/>
            <w:r w:rsidRPr="00094A3F"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Selection of the </w:t>
            </w:r>
            <w:proofErr w:type="spellStart"/>
            <w:r w:rsidRPr="00094A3F">
              <w:rPr>
                <w:rFonts w:ascii="Times New Roman" w:hAnsi="Times New Roman" w:cs="Times New Roman"/>
                <w:kern w:val="0"/>
                <w:sz w:val="21"/>
                <w:szCs w:val="21"/>
              </w:rPr>
              <w:t>non exposed</w:t>
            </w:r>
            <w:proofErr w:type="spellEnd"/>
            <w:r w:rsidRPr="00094A3F"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 cohort</w:t>
            </w:r>
            <w:bookmarkEnd w:id="0"/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 (or </w:t>
            </w:r>
            <w:r w:rsidRPr="00BF3614">
              <w:rPr>
                <w:rFonts w:ascii="Times New Roman" w:hAnsi="Times New Roman" w:cs="Times New Roman"/>
                <w:kern w:val="0"/>
                <w:sz w:val="21"/>
                <w:szCs w:val="21"/>
              </w:rPr>
              <w:t>Representativeness of the cases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559" w:type="dxa"/>
          </w:tcPr>
          <w:p w14:paraId="756AC15E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/</w:t>
            </w:r>
          </w:p>
        </w:tc>
        <w:tc>
          <w:tcPr>
            <w:tcW w:w="1417" w:type="dxa"/>
          </w:tcPr>
          <w:p w14:paraId="1B892A5D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/</w:t>
            </w:r>
          </w:p>
        </w:tc>
      </w:tr>
      <w:tr w:rsidR="00CB1DAA" w14:paraId="5180E5DA" w14:textId="77777777" w:rsidTr="000908B3">
        <w:tc>
          <w:tcPr>
            <w:tcW w:w="4962" w:type="dxa"/>
          </w:tcPr>
          <w:p w14:paraId="209E8D88" w14:textId="77777777" w:rsidR="00CB1DAA" w:rsidRPr="00094A3F" w:rsidRDefault="00CB1DAA" w:rsidP="00CB1DAA">
            <w:pPr>
              <w:pStyle w:val="a3"/>
              <w:numPr>
                <w:ilvl w:val="0"/>
                <w:numId w:val="1"/>
              </w:numPr>
              <w:tabs>
                <w:tab w:val="left" w:pos="2796"/>
              </w:tabs>
              <w:ind w:leftChars="0"/>
              <w:rPr>
                <w:b/>
                <w:bCs/>
              </w:rPr>
            </w:pPr>
            <w:r w:rsidRPr="00094A3F">
              <w:rPr>
                <w:rFonts w:ascii="Times New Roman" w:hAnsi="Times New Roman" w:cs="Times New Roman"/>
                <w:kern w:val="0"/>
                <w:sz w:val="21"/>
                <w:szCs w:val="21"/>
              </w:rPr>
              <w:t>Ascertainment of exposure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 (or </w:t>
            </w:r>
            <w:r w:rsidRPr="00BF3614">
              <w:rPr>
                <w:rFonts w:ascii="Times New Roman" w:hAnsi="Times New Roman" w:cs="Times New Roman"/>
                <w:kern w:val="0"/>
                <w:sz w:val="21"/>
                <w:szCs w:val="21"/>
              </w:rPr>
              <w:t>Selection of Controls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559" w:type="dxa"/>
          </w:tcPr>
          <w:p w14:paraId="7DA85E10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/</w:t>
            </w:r>
          </w:p>
        </w:tc>
        <w:tc>
          <w:tcPr>
            <w:tcW w:w="1417" w:type="dxa"/>
          </w:tcPr>
          <w:p w14:paraId="3F2D8CD7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proofErr w:type="gramStart"/>
            <w:r>
              <w:rPr>
                <w:rFonts w:asciiTheme="minorEastAsia" w:hAnsiTheme="minorEastAsia" w:hint="eastAsia"/>
                <w:b/>
                <w:bCs/>
              </w:rPr>
              <w:t>＊</w:t>
            </w:r>
            <w:proofErr w:type="gramEnd"/>
          </w:p>
        </w:tc>
      </w:tr>
      <w:tr w:rsidR="00CB1DAA" w14:paraId="25B8136B" w14:textId="77777777" w:rsidTr="000908B3">
        <w:tc>
          <w:tcPr>
            <w:tcW w:w="4962" w:type="dxa"/>
          </w:tcPr>
          <w:p w14:paraId="58FEBC8D" w14:textId="77777777" w:rsidR="00CB1DAA" w:rsidRPr="00094A3F" w:rsidRDefault="00CB1DAA" w:rsidP="00CB1DAA">
            <w:pPr>
              <w:pStyle w:val="a3"/>
              <w:numPr>
                <w:ilvl w:val="0"/>
                <w:numId w:val="1"/>
              </w:numPr>
              <w:tabs>
                <w:tab w:val="left" w:pos="2796"/>
              </w:tabs>
              <w:ind w:leftChars="0"/>
              <w:rPr>
                <w:b/>
                <w:bCs/>
              </w:rPr>
            </w:pPr>
            <w:r w:rsidRPr="00094A3F">
              <w:rPr>
                <w:rFonts w:ascii="Times New Roman" w:hAnsi="Times New Roman" w:cs="Times New Roman"/>
                <w:kern w:val="0"/>
                <w:sz w:val="21"/>
                <w:szCs w:val="21"/>
              </w:rPr>
              <w:t>Demonstration that outcome of interest was not present at start of study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 (or </w:t>
            </w:r>
            <w:r w:rsidRPr="00BF3614">
              <w:rPr>
                <w:rFonts w:ascii="Times New Roman" w:hAnsi="Times New Roman" w:cs="Times New Roman"/>
                <w:kern w:val="0"/>
                <w:sz w:val="21"/>
                <w:szCs w:val="21"/>
              </w:rPr>
              <w:t>Definition of Controls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559" w:type="dxa"/>
          </w:tcPr>
          <w:p w14:paraId="3F945DB1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proofErr w:type="gramStart"/>
            <w:r>
              <w:rPr>
                <w:rFonts w:asciiTheme="minorEastAsia" w:hAnsiTheme="minorEastAsia" w:hint="eastAsia"/>
                <w:b/>
                <w:bCs/>
              </w:rPr>
              <w:t>＊</w:t>
            </w:r>
            <w:proofErr w:type="gramEnd"/>
          </w:p>
        </w:tc>
        <w:tc>
          <w:tcPr>
            <w:tcW w:w="1417" w:type="dxa"/>
          </w:tcPr>
          <w:p w14:paraId="39DB1B6E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proofErr w:type="gramStart"/>
            <w:r>
              <w:rPr>
                <w:rFonts w:asciiTheme="minorEastAsia" w:hAnsiTheme="minorEastAsia" w:hint="eastAsia"/>
                <w:b/>
                <w:bCs/>
              </w:rPr>
              <w:t>＊</w:t>
            </w:r>
            <w:proofErr w:type="gramEnd"/>
          </w:p>
        </w:tc>
      </w:tr>
      <w:tr w:rsidR="00CB1DAA" w14:paraId="38D5A774" w14:textId="77777777" w:rsidTr="000908B3">
        <w:tc>
          <w:tcPr>
            <w:tcW w:w="4962" w:type="dxa"/>
          </w:tcPr>
          <w:p w14:paraId="21CDBC26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Comparability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B7D432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63546C8F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</w:p>
        </w:tc>
      </w:tr>
      <w:tr w:rsidR="00CB1DAA" w14:paraId="3DE5B1BE" w14:textId="77777777" w:rsidTr="000908B3">
        <w:tc>
          <w:tcPr>
            <w:tcW w:w="4962" w:type="dxa"/>
          </w:tcPr>
          <w:p w14:paraId="7785F07E" w14:textId="77777777" w:rsidR="00CB1DAA" w:rsidRPr="00094A3F" w:rsidRDefault="00CB1DAA" w:rsidP="00CB1DAA">
            <w:pPr>
              <w:pStyle w:val="a3"/>
              <w:numPr>
                <w:ilvl w:val="0"/>
                <w:numId w:val="2"/>
              </w:numPr>
              <w:tabs>
                <w:tab w:val="left" w:pos="2796"/>
              </w:tabs>
              <w:ind w:leftChars="0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Comparability of cohorts on the basis of the design or analysis (or </w:t>
            </w:r>
            <w:r w:rsidRPr="00F7432A">
              <w:rPr>
                <w:rFonts w:ascii="Times New Roman" w:hAnsi="Times New Roman" w:cs="Times New Roman"/>
                <w:kern w:val="0"/>
                <w:sz w:val="21"/>
                <w:szCs w:val="21"/>
              </w:rPr>
              <w:t>Comparability of cases and controls on the basis of the design or analysis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559" w:type="dxa"/>
          </w:tcPr>
          <w:p w14:paraId="68680C6E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proofErr w:type="gramStart"/>
            <w:r>
              <w:rPr>
                <w:rFonts w:asciiTheme="minorEastAsia" w:hAnsiTheme="minorEastAsia" w:hint="eastAsia"/>
                <w:b/>
                <w:bCs/>
              </w:rPr>
              <w:t>＊</w:t>
            </w:r>
            <w:proofErr w:type="gramEnd"/>
          </w:p>
          <w:p w14:paraId="7AB1BF22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proofErr w:type="gramStart"/>
            <w:r>
              <w:rPr>
                <w:rFonts w:asciiTheme="minorEastAsia" w:hAnsiTheme="minorEastAsia" w:hint="eastAsia"/>
                <w:b/>
                <w:bCs/>
              </w:rPr>
              <w:t>＊</w:t>
            </w:r>
            <w:proofErr w:type="gramEnd"/>
          </w:p>
          <w:p w14:paraId="0FFE8021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3186205F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proofErr w:type="gramStart"/>
            <w:r>
              <w:rPr>
                <w:rFonts w:asciiTheme="minorEastAsia" w:hAnsiTheme="minorEastAsia" w:hint="eastAsia"/>
                <w:b/>
                <w:bCs/>
              </w:rPr>
              <w:t>＊</w:t>
            </w:r>
            <w:proofErr w:type="gramEnd"/>
          </w:p>
          <w:p w14:paraId="0194A0B3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</w:p>
        </w:tc>
      </w:tr>
      <w:tr w:rsidR="00CB1DAA" w14:paraId="01C29FA4" w14:textId="77777777" w:rsidTr="000908B3">
        <w:tc>
          <w:tcPr>
            <w:tcW w:w="4962" w:type="dxa"/>
          </w:tcPr>
          <w:p w14:paraId="2FE0A124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Outcome</w:t>
            </w:r>
          </w:p>
        </w:tc>
        <w:tc>
          <w:tcPr>
            <w:tcW w:w="1559" w:type="dxa"/>
          </w:tcPr>
          <w:p w14:paraId="57929C39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2E800EC0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</w:p>
        </w:tc>
      </w:tr>
      <w:tr w:rsidR="00CB1DAA" w14:paraId="7B164927" w14:textId="77777777" w:rsidTr="000908B3">
        <w:tc>
          <w:tcPr>
            <w:tcW w:w="4962" w:type="dxa"/>
          </w:tcPr>
          <w:p w14:paraId="2272F96C" w14:textId="77777777" w:rsidR="00CB1DAA" w:rsidRPr="00094A3F" w:rsidRDefault="00CB1DAA" w:rsidP="00CB1DAA">
            <w:pPr>
              <w:pStyle w:val="a3"/>
              <w:numPr>
                <w:ilvl w:val="0"/>
                <w:numId w:val="2"/>
              </w:numPr>
              <w:tabs>
                <w:tab w:val="left" w:pos="2796"/>
              </w:tabs>
              <w:ind w:leftChars="0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Assessment of outcome (or exposure)</w:t>
            </w:r>
          </w:p>
        </w:tc>
        <w:tc>
          <w:tcPr>
            <w:tcW w:w="1559" w:type="dxa"/>
          </w:tcPr>
          <w:p w14:paraId="2FD76979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proofErr w:type="gramStart"/>
            <w:r>
              <w:rPr>
                <w:rFonts w:asciiTheme="minorEastAsia" w:hAnsiTheme="minorEastAsia" w:hint="eastAsia"/>
                <w:b/>
                <w:bCs/>
              </w:rPr>
              <w:t>＊</w:t>
            </w:r>
            <w:proofErr w:type="gramEnd"/>
          </w:p>
        </w:tc>
        <w:tc>
          <w:tcPr>
            <w:tcW w:w="1417" w:type="dxa"/>
          </w:tcPr>
          <w:p w14:paraId="75F60B24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proofErr w:type="gramStart"/>
            <w:r>
              <w:rPr>
                <w:rFonts w:asciiTheme="minorEastAsia" w:hAnsiTheme="minorEastAsia" w:hint="eastAsia"/>
                <w:b/>
                <w:bCs/>
              </w:rPr>
              <w:t>＊</w:t>
            </w:r>
            <w:proofErr w:type="gramEnd"/>
          </w:p>
        </w:tc>
      </w:tr>
      <w:tr w:rsidR="00CB1DAA" w14:paraId="1F175400" w14:textId="77777777" w:rsidTr="000908B3">
        <w:tc>
          <w:tcPr>
            <w:tcW w:w="4962" w:type="dxa"/>
          </w:tcPr>
          <w:p w14:paraId="21015EB9" w14:textId="77777777" w:rsidR="00CB1DAA" w:rsidRPr="00094A3F" w:rsidRDefault="00CB1DAA" w:rsidP="00CB1DAA">
            <w:pPr>
              <w:pStyle w:val="a3"/>
              <w:numPr>
                <w:ilvl w:val="0"/>
                <w:numId w:val="2"/>
              </w:numPr>
              <w:tabs>
                <w:tab w:val="left" w:pos="2796"/>
              </w:tabs>
              <w:ind w:leftChars="0"/>
              <w:rPr>
                <w:b/>
                <w:bCs/>
              </w:rPr>
            </w:pPr>
            <w:r w:rsidRPr="00094A3F">
              <w:rPr>
                <w:rFonts w:ascii="Times New Roman" w:hAnsi="Times New Roman" w:cs="Times New Roman"/>
                <w:kern w:val="0"/>
                <w:sz w:val="21"/>
                <w:szCs w:val="21"/>
              </w:rPr>
              <w:t>Was follow-up long enough for outcomes to occur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( or</w:t>
            </w:r>
            <w:proofErr w:type="gramEnd"/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 s</w:t>
            </w:r>
            <w:r w:rsidRPr="00F7432A">
              <w:rPr>
                <w:rFonts w:ascii="Times New Roman" w:hAnsi="Times New Roman" w:cs="Times New Roman"/>
                <w:kern w:val="0"/>
                <w:sz w:val="21"/>
                <w:szCs w:val="21"/>
              </w:rPr>
              <w:t>ame method of ascertainment for cases and controls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559" w:type="dxa"/>
          </w:tcPr>
          <w:p w14:paraId="4C9B94EE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proofErr w:type="gramStart"/>
            <w:r>
              <w:rPr>
                <w:rFonts w:asciiTheme="minorEastAsia" w:hAnsiTheme="minorEastAsia" w:hint="eastAsia"/>
                <w:b/>
                <w:bCs/>
              </w:rPr>
              <w:t>＊</w:t>
            </w:r>
            <w:proofErr w:type="gramEnd"/>
          </w:p>
        </w:tc>
        <w:tc>
          <w:tcPr>
            <w:tcW w:w="1417" w:type="dxa"/>
          </w:tcPr>
          <w:p w14:paraId="07AD515F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proofErr w:type="gramStart"/>
            <w:r>
              <w:rPr>
                <w:rFonts w:asciiTheme="minorEastAsia" w:hAnsiTheme="minorEastAsia" w:hint="eastAsia"/>
                <w:b/>
                <w:bCs/>
              </w:rPr>
              <w:t>＊</w:t>
            </w:r>
            <w:proofErr w:type="gramEnd"/>
          </w:p>
        </w:tc>
      </w:tr>
      <w:tr w:rsidR="00CB1DAA" w14:paraId="238C0FF9" w14:textId="77777777" w:rsidTr="000908B3">
        <w:tc>
          <w:tcPr>
            <w:tcW w:w="4962" w:type="dxa"/>
          </w:tcPr>
          <w:p w14:paraId="5CFE371A" w14:textId="77777777" w:rsidR="00CB1DAA" w:rsidRPr="00F7432A" w:rsidRDefault="00CB1DAA" w:rsidP="00CB1DAA">
            <w:pPr>
              <w:pStyle w:val="a3"/>
              <w:numPr>
                <w:ilvl w:val="0"/>
                <w:numId w:val="2"/>
              </w:numPr>
              <w:tabs>
                <w:tab w:val="left" w:pos="2796"/>
              </w:tabs>
              <w:ind w:leftChars="0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Adequacy of follow up of cohorts</w:t>
            </w:r>
            <w:r>
              <w:rPr>
                <w:rFonts w:ascii="Times New Roman" w:hAnsi="Times New Roman" w:cs="Times New Roman" w:hint="eastAsia"/>
                <w:kern w:val="0"/>
                <w:sz w:val="21"/>
                <w:szCs w:val="21"/>
              </w:rPr>
              <w:t xml:space="preserve"> (o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r </w:t>
            </w:r>
            <w:proofErr w:type="gramStart"/>
            <w:r w:rsidRPr="00F7432A">
              <w:rPr>
                <w:rFonts w:ascii="Times New Roman" w:hAnsi="Times New Roman" w:cs="Times New Roman"/>
                <w:kern w:val="0"/>
                <w:sz w:val="21"/>
                <w:szCs w:val="21"/>
              </w:rPr>
              <w:t>Non-Response</w:t>
            </w:r>
            <w:proofErr w:type="gramEnd"/>
            <w:r w:rsidRPr="00F7432A"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 rate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559" w:type="dxa"/>
          </w:tcPr>
          <w:p w14:paraId="1F94B5A4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proofErr w:type="gramStart"/>
            <w:r>
              <w:rPr>
                <w:rFonts w:asciiTheme="minorEastAsia" w:hAnsiTheme="minorEastAsia" w:hint="eastAsia"/>
                <w:b/>
                <w:bCs/>
              </w:rPr>
              <w:t>＊</w:t>
            </w:r>
            <w:proofErr w:type="gramEnd"/>
          </w:p>
        </w:tc>
        <w:tc>
          <w:tcPr>
            <w:tcW w:w="1417" w:type="dxa"/>
          </w:tcPr>
          <w:p w14:paraId="27091C36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proofErr w:type="gramStart"/>
            <w:r>
              <w:rPr>
                <w:rFonts w:asciiTheme="minorEastAsia" w:hAnsiTheme="minorEastAsia" w:hint="eastAsia"/>
                <w:b/>
                <w:bCs/>
              </w:rPr>
              <w:t>＊</w:t>
            </w:r>
            <w:proofErr w:type="gramEnd"/>
          </w:p>
        </w:tc>
      </w:tr>
      <w:tr w:rsidR="00CB1DAA" w14:paraId="3D9AFFCC" w14:textId="77777777" w:rsidTr="000908B3">
        <w:tc>
          <w:tcPr>
            <w:tcW w:w="4962" w:type="dxa"/>
          </w:tcPr>
          <w:p w14:paraId="4F4D7A74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T</w:t>
            </w:r>
            <w:r>
              <w:rPr>
                <w:b/>
                <w:bCs/>
              </w:rPr>
              <w:t>otal score</w:t>
            </w:r>
          </w:p>
        </w:tc>
        <w:tc>
          <w:tcPr>
            <w:tcW w:w="1559" w:type="dxa"/>
          </w:tcPr>
          <w:p w14:paraId="6A5F9A6A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7" w:type="dxa"/>
          </w:tcPr>
          <w:p w14:paraId="70B3D262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CB1DAA" w14:paraId="4CB17F6A" w14:textId="77777777" w:rsidTr="000908B3">
        <w:tc>
          <w:tcPr>
            <w:tcW w:w="4962" w:type="dxa"/>
          </w:tcPr>
          <w:p w14:paraId="7E541B3C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t>Quality</w:t>
            </w:r>
          </w:p>
        </w:tc>
        <w:tc>
          <w:tcPr>
            <w:tcW w:w="1559" w:type="dxa"/>
          </w:tcPr>
          <w:p w14:paraId="7BA5BCBD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f</w:t>
            </w:r>
            <w:r>
              <w:rPr>
                <w:b/>
                <w:bCs/>
              </w:rPr>
              <w:t>air</w:t>
            </w:r>
          </w:p>
        </w:tc>
        <w:tc>
          <w:tcPr>
            <w:tcW w:w="1417" w:type="dxa"/>
          </w:tcPr>
          <w:p w14:paraId="204686E3" w14:textId="77777777" w:rsidR="00CB1DAA" w:rsidRDefault="00CB1DAA" w:rsidP="000908B3">
            <w:pPr>
              <w:tabs>
                <w:tab w:val="left" w:pos="27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</w:t>
            </w:r>
          </w:p>
        </w:tc>
      </w:tr>
    </w:tbl>
    <w:p w14:paraId="695D68CD" w14:textId="44BAF867" w:rsidR="00CB1DAA" w:rsidRDefault="00CB1DAA"/>
    <w:p w14:paraId="2CB5A8E7" w14:textId="780CB442" w:rsidR="00CB1DAA" w:rsidRDefault="00CB1DAA">
      <w:r>
        <w:rPr>
          <w:rFonts w:hint="eastAsia"/>
        </w:rPr>
        <w:t>(</w:t>
      </w:r>
      <w:r>
        <w:t>B) Risk of bias assessment for RCT</w:t>
      </w: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1171"/>
        <w:gridCol w:w="1153"/>
        <w:gridCol w:w="1340"/>
        <w:gridCol w:w="1394"/>
        <w:gridCol w:w="1274"/>
        <w:gridCol w:w="1186"/>
        <w:gridCol w:w="1064"/>
        <w:gridCol w:w="712"/>
      </w:tblGrid>
      <w:tr w:rsidR="00CB1DAA" w14:paraId="42F945B1" w14:textId="77777777" w:rsidTr="00CB1DAA">
        <w:tc>
          <w:tcPr>
            <w:tcW w:w="1171" w:type="dxa"/>
          </w:tcPr>
          <w:p w14:paraId="6578627F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</w:p>
        </w:tc>
        <w:tc>
          <w:tcPr>
            <w:tcW w:w="1153" w:type="dxa"/>
          </w:tcPr>
          <w:p w14:paraId="56679394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Random sequence generation (selection bias)</w:t>
            </w:r>
          </w:p>
        </w:tc>
        <w:tc>
          <w:tcPr>
            <w:tcW w:w="1340" w:type="dxa"/>
          </w:tcPr>
          <w:p w14:paraId="5E956EC1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Allocation concealment (selection bias)</w:t>
            </w:r>
          </w:p>
        </w:tc>
        <w:tc>
          <w:tcPr>
            <w:tcW w:w="1394" w:type="dxa"/>
          </w:tcPr>
          <w:p w14:paraId="25C6C1B9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Blinding of participants and personnel (performance bias)</w:t>
            </w:r>
          </w:p>
        </w:tc>
        <w:tc>
          <w:tcPr>
            <w:tcW w:w="1274" w:type="dxa"/>
          </w:tcPr>
          <w:p w14:paraId="5502A75A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Blinding of outcome assessment (detection bias)</w:t>
            </w:r>
          </w:p>
        </w:tc>
        <w:tc>
          <w:tcPr>
            <w:tcW w:w="1186" w:type="dxa"/>
          </w:tcPr>
          <w:p w14:paraId="61DB1D08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Incomplete outcome data (</w:t>
            </w:r>
            <w:bookmarkStart w:id="1" w:name="_Hlk123732761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attrition bias</w:t>
            </w:r>
            <w:bookmarkEnd w:id="1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064" w:type="dxa"/>
          </w:tcPr>
          <w:p w14:paraId="2DF5A6FB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Selective reporting (reporting bias)</w:t>
            </w:r>
          </w:p>
        </w:tc>
        <w:tc>
          <w:tcPr>
            <w:tcW w:w="712" w:type="dxa"/>
          </w:tcPr>
          <w:p w14:paraId="4413B450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Other bias</w:t>
            </w:r>
          </w:p>
        </w:tc>
      </w:tr>
      <w:tr w:rsidR="00CB1DAA" w14:paraId="27AE0416" w14:textId="77777777" w:rsidTr="00CB1DAA">
        <w:tc>
          <w:tcPr>
            <w:tcW w:w="1171" w:type="dxa"/>
          </w:tcPr>
          <w:p w14:paraId="6FF36EF7" w14:textId="77777777" w:rsidR="00CB1DAA" w:rsidRPr="0060507A" w:rsidRDefault="00CB1DAA" w:rsidP="000908B3">
            <w:pPr>
              <w:rPr>
                <w:rFonts w:ascii="Segoe UI" w:hAnsi="Segoe UI" w:cs="Segoe UI"/>
                <w:kern w:val="0"/>
                <w:sz w:val="22"/>
              </w:rPr>
            </w:pPr>
            <w:proofErr w:type="spellStart"/>
            <w:r>
              <w:rPr>
                <w:rFonts w:ascii="Segoe UI" w:hAnsi="Segoe UI" w:cs="Segoe UI" w:hint="eastAsia"/>
                <w:kern w:val="0"/>
                <w:sz w:val="22"/>
              </w:rPr>
              <w:t>C</w:t>
            </w:r>
            <w:r>
              <w:rPr>
                <w:rFonts w:ascii="Segoe UI" w:hAnsi="Segoe UI" w:cs="Segoe UI"/>
                <w:kern w:val="0"/>
                <w:sz w:val="22"/>
              </w:rPr>
              <w:t>ompbell</w:t>
            </w:r>
            <w:proofErr w:type="spellEnd"/>
            <w:r>
              <w:rPr>
                <w:rFonts w:ascii="Segoe UI" w:hAnsi="Segoe UI" w:cs="Segoe UI"/>
                <w:kern w:val="0"/>
                <w:sz w:val="22"/>
              </w:rPr>
              <w:t xml:space="preserve"> 2021</w:t>
            </w:r>
          </w:p>
        </w:tc>
        <w:tc>
          <w:tcPr>
            <w:tcW w:w="1153" w:type="dxa"/>
          </w:tcPr>
          <w:p w14:paraId="68F4E780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1340" w:type="dxa"/>
          </w:tcPr>
          <w:p w14:paraId="1661F763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△</w:t>
            </w:r>
          </w:p>
        </w:tc>
        <w:tc>
          <w:tcPr>
            <w:tcW w:w="1394" w:type="dxa"/>
          </w:tcPr>
          <w:p w14:paraId="475C5B4B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ⅹ</w:t>
            </w:r>
          </w:p>
        </w:tc>
        <w:tc>
          <w:tcPr>
            <w:tcW w:w="1274" w:type="dxa"/>
          </w:tcPr>
          <w:p w14:paraId="3D272D47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1186" w:type="dxa"/>
          </w:tcPr>
          <w:p w14:paraId="2300DF40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ⅹ</w:t>
            </w:r>
          </w:p>
        </w:tc>
        <w:tc>
          <w:tcPr>
            <w:tcW w:w="1064" w:type="dxa"/>
          </w:tcPr>
          <w:p w14:paraId="738167A6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712" w:type="dxa"/>
          </w:tcPr>
          <w:p w14:paraId="46723D7F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△</w:t>
            </w:r>
          </w:p>
        </w:tc>
      </w:tr>
      <w:tr w:rsidR="00CB1DAA" w14:paraId="66774569" w14:textId="77777777" w:rsidTr="00CB1DAA">
        <w:tc>
          <w:tcPr>
            <w:tcW w:w="1171" w:type="dxa"/>
          </w:tcPr>
          <w:p w14:paraId="59DF7664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 w:rsidRPr="00D72588">
              <w:t>Johnson</w:t>
            </w:r>
            <w:r>
              <w:t xml:space="preserve"> 2001</w:t>
            </w:r>
          </w:p>
        </w:tc>
        <w:tc>
          <w:tcPr>
            <w:tcW w:w="1153" w:type="dxa"/>
          </w:tcPr>
          <w:p w14:paraId="6CCDAF38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△</w:t>
            </w:r>
          </w:p>
        </w:tc>
        <w:tc>
          <w:tcPr>
            <w:tcW w:w="1340" w:type="dxa"/>
          </w:tcPr>
          <w:p w14:paraId="29C7EFD5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1394" w:type="dxa"/>
          </w:tcPr>
          <w:p w14:paraId="764874D9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ⅹ</w:t>
            </w:r>
          </w:p>
        </w:tc>
        <w:tc>
          <w:tcPr>
            <w:tcW w:w="1274" w:type="dxa"/>
          </w:tcPr>
          <w:p w14:paraId="54B7AB0E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1186" w:type="dxa"/>
          </w:tcPr>
          <w:p w14:paraId="252A2C9A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ⅹ</w:t>
            </w:r>
          </w:p>
        </w:tc>
        <w:tc>
          <w:tcPr>
            <w:tcW w:w="1064" w:type="dxa"/>
          </w:tcPr>
          <w:p w14:paraId="5DFDD4BA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712" w:type="dxa"/>
          </w:tcPr>
          <w:p w14:paraId="6DD6DA08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△</w:t>
            </w:r>
          </w:p>
        </w:tc>
      </w:tr>
      <w:tr w:rsidR="00CB1DAA" w14:paraId="43787640" w14:textId="77777777" w:rsidTr="00CB1DAA">
        <w:tc>
          <w:tcPr>
            <w:tcW w:w="1171" w:type="dxa"/>
          </w:tcPr>
          <w:p w14:paraId="08AECB8D" w14:textId="77777777" w:rsidR="00CB1DAA" w:rsidRDefault="00CB1DAA" w:rsidP="000908B3">
            <w:pPr>
              <w:rPr>
                <w:b/>
                <w:bCs/>
              </w:rPr>
            </w:pPr>
            <w:r w:rsidRPr="00FB1418">
              <w:t>Martinso</w:t>
            </w:r>
            <w:r w:rsidRPr="00FB1418">
              <w:lastRenderedPageBreak/>
              <w:t>n</w:t>
            </w:r>
            <w:r>
              <w:t xml:space="preserve"> 2011</w:t>
            </w:r>
          </w:p>
        </w:tc>
        <w:tc>
          <w:tcPr>
            <w:tcW w:w="1153" w:type="dxa"/>
          </w:tcPr>
          <w:p w14:paraId="34C3A41C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lastRenderedPageBreak/>
              <w:t>○</w:t>
            </w:r>
          </w:p>
        </w:tc>
        <w:tc>
          <w:tcPr>
            <w:tcW w:w="1340" w:type="dxa"/>
          </w:tcPr>
          <w:p w14:paraId="507B8F60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1394" w:type="dxa"/>
          </w:tcPr>
          <w:p w14:paraId="2F384179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ⅹ</w:t>
            </w:r>
          </w:p>
        </w:tc>
        <w:tc>
          <w:tcPr>
            <w:tcW w:w="1274" w:type="dxa"/>
          </w:tcPr>
          <w:p w14:paraId="1C349281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△</w:t>
            </w:r>
          </w:p>
        </w:tc>
        <w:tc>
          <w:tcPr>
            <w:tcW w:w="1186" w:type="dxa"/>
          </w:tcPr>
          <w:p w14:paraId="27E526A5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ⅹ</w:t>
            </w:r>
          </w:p>
        </w:tc>
        <w:tc>
          <w:tcPr>
            <w:tcW w:w="1064" w:type="dxa"/>
          </w:tcPr>
          <w:p w14:paraId="1D08623C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712" w:type="dxa"/>
          </w:tcPr>
          <w:p w14:paraId="65AD468D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△</w:t>
            </w:r>
          </w:p>
        </w:tc>
      </w:tr>
      <w:tr w:rsidR="00CB1DAA" w14:paraId="7CB94918" w14:textId="77777777" w:rsidTr="00CB1DAA">
        <w:tc>
          <w:tcPr>
            <w:tcW w:w="1171" w:type="dxa"/>
          </w:tcPr>
          <w:p w14:paraId="7F5D45B8" w14:textId="77777777" w:rsidR="00CB1DAA" w:rsidRDefault="00CB1DAA" w:rsidP="000908B3">
            <w:pPr>
              <w:rPr>
                <w:b/>
                <w:bCs/>
              </w:rPr>
            </w:pPr>
            <w:r w:rsidRPr="000646C2">
              <w:t>Rivero</w:t>
            </w:r>
            <w:r>
              <w:t xml:space="preserve"> 2007 </w:t>
            </w:r>
          </w:p>
        </w:tc>
        <w:tc>
          <w:tcPr>
            <w:tcW w:w="1153" w:type="dxa"/>
          </w:tcPr>
          <w:p w14:paraId="3848A732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△</w:t>
            </w:r>
          </w:p>
        </w:tc>
        <w:tc>
          <w:tcPr>
            <w:tcW w:w="1340" w:type="dxa"/>
          </w:tcPr>
          <w:p w14:paraId="5642ECAC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△</w:t>
            </w:r>
          </w:p>
        </w:tc>
        <w:tc>
          <w:tcPr>
            <w:tcW w:w="1394" w:type="dxa"/>
          </w:tcPr>
          <w:p w14:paraId="607E7593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ⅹ</w:t>
            </w:r>
          </w:p>
        </w:tc>
        <w:tc>
          <w:tcPr>
            <w:tcW w:w="1274" w:type="dxa"/>
          </w:tcPr>
          <w:p w14:paraId="6E71623D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△</w:t>
            </w:r>
          </w:p>
        </w:tc>
        <w:tc>
          <w:tcPr>
            <w:tcW w:w="1186" w:type="dxa"/>
          </w:tcPr>
          <w:p w14:paraId="0ED2B633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ⅹ</w:t>
            </w:r>
          </w:p>
        </w:tc>
        <w:tc>
          <w:tcPr>
            <w:tcW w:w="1064" w:type="dxa"/>
          </w:tcPr>
          <w:p w14:paraId="44A475B4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△</w:t>
            </w:r>
          </w:p>
        </w:tc>
        <w:tc>
          <w:tcPr>
            <w:tcW w:w="712" w:type="dxa"/>
          </w:tcPr>
          <w:p w14:paraId="7444568D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△</w:t>
            </w:r>
          </w:p>
        </w:tc>
      </w:tr>
      <w:tr w:rsidR="00CB1DAA" w14:paraId="3661D1F9" w14:textId="77777777" w:rsidTr="00CB1DAA">
        <w:tc>
          <w:tcPr>
            <w:tcW w:w="1171" w:type="dxa"/>
          </w:tcPr>
          <w:p w14:paraId="6B3610E2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 w:rsidRPr="00C0087B">
              <w:t>Swindells 2019</w:t>
            </w:r>
          </w:p>
        </w:tc>
        <w:tc>
          <w:tcPr>
            <w:tcW w:w="1153" w:type="dxa"/>
          </w:tcPr>
          <w:p w14:paraId="14328EFD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1340" w:type="dxa"/>
          </w:tcPr>
          <w:p w14:paraId="72A42E23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1394" w:type="dxa"/>
          </w:tcPr>
          <w:p w14:paraId="1F8AF7B1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ⅹ</w:t>
            </w:r>
          </w:p>
        </w:tc>
        <w:tc>
          <w:tcPr>
            <w:tcW w:w="1274" w:type="dxa"/>
          </w:tcPr>
          <w:p w14:paraId="314D0842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△</w:t>
            </w:r>
          </w:p>
        </w:tc>
        <w:tc>
          <w:tcPr>
            <w:tcW w:w="1186" w:type="dxa"/>
          </w:tcPr>
          <w:p w14:paraId="7342A656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1064" w:type="dxa"/>
          </w:tcPr>
          <w:p w14:paraId="5EF433B1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712" w:type="dxa"/>
          </w:tcPr>
          <w:p w14:paraId="596FF048" w14:textId="77777777" w:rsidR="00CB1DAA" w:rsidRDefault="00CB1DAA" w:rsidP="000908B3">
            <w:pPr>
              <w:tabs>
                <w:tab w:val="left" w:pos="2796"/>
              </w:tabs>
              <w:rPr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△</w:t>
            </w:r>
          </w:p>
        </w:tc>
      </w:tr>
      <w:tr w:rsidR="00CB1DAA" w14:paraId="6BC8AF59" w14:textId="77777777" w:rsidTr="00CB1DAA">
        <w:tc>
          <w:tcPr>
            <w:tcW w:w="1171" w:type="dxa"/>
          </w:tcPr>
          <w:p w14:paraId="61C112CC" w14:textId="77777777" w:rsidR="00CB1DAA" w:rsidRPr="0060507A" w:rsidRDefault="00CB1DAA" w:rsidP="000908B3">
            <w:pPr>
              <w:rPr>
                <w:rFonts w:ascii="Segoe UI" w:hAnsi="Segoe UI" w:cs="Segoe UI"/>
                <w:b/>
                <w:bCs/>
                <w:kern w:val="0"/>
                <w:sz w:val="22"/>
              </w:rPr>
            </w:pPr>
            <w:r w:rsidRPr="0060507A">
              <w:rPr>
                <w:rFonts w:ascii="Segoe UI" w:hAnsi="Segoe UI" w:cs="Segoe UI"/>
                <w:kern w:val="0"/>
                <w:sz w:val="22"/>
              </w:rPr>
              <w:t>Mwinga 1998</w:t>
            </w:r>
          </w:p>
        </w:tc>
        <w:tc>
          <w:tcPr>
            <w:tcW w:w="1153" w:type="dxa"/>
          </w:tcPr>
          <w:p w14:paraId="46FB180A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1340" w:type="dxa"/>
          </w:tcPr>
          <w:p w14:paraId="29D6221C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1394" w:type="dxa"/>
          </w:tcPr>
          <w:p w14:paraId="16E743EC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△</w:t>
            </w:r>
          </w:p>
        </w:tc>
        <w:tc>
          <w:tcPr>
            <w:tcW w:w="1274" w:type="dxa"/>
          </w:tcPr>
          <w:p w14:paraId="41256D9B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△</w:t>
            </w:r>
          </w:p>
        </w:tc>
        <w:tc>
          <w:tcPr>
            <w:tcW w:w="1186" w:type="dxa"/>
          </w:tcPr>
          <w:p w14:paraId="53EAA7FA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ⅹ</w:t>
            </w:r>
          </w:p>
        </w:tc>
        <w:tc>
          <w:tcPr>
            <w:tcW w:w="1064" w:type="dxa"/>
          </w:tcPr>
          <w:p w14:paraId="6C3B0566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712" w:type="dxa"/>
          </w:tcPr>
          <w:p w14:paraId="2F4B0341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△</w:t>
            </w:r>
          </w:p>
        </w:tc>
      </w:tr>
      <w:tr w:rsidR="00CB1DAA" w14:paraId="535FBCC2" w14:textId="77777777" w:rsidTr="00CB1DAA">
        <w:tc>
          <w:tcPr>
            <w:tcW w:w="1171" w:type="dxa"/>
          </w:tcPr>
          <w:p w14:paraId="0CFBE844" w14:textId="77777777" w:rsidR="00CB1DAA" w:rsidRPr="0060507A" w:rsidRDefault="00CB1DAA" w:rsidP="000908B3">
            <w:pPr>
              <w:rPr>
                <w:rFonts w:ascii="Segoe UI" w:hAnsi="Segoe UI" w:cs="Segoe UI"/>
                <w:kern w:val="0"/>
                <w:sz w:val="22"/>
              </w:rPr>
            </w:pPr>
            <w:r>
              <w:rPr>
                <w:rFonts w:hint="eastAsia"/>
              </w:rPr>
              <w:t>H</w:t>
            </w:r>
            <w:r>
              <w:t>awken 1997</w:t>
            </w:r>
          </w:p>
        </w:tc>
        <w:tc>
          <w:tcPr>
            <w:tcW w:w="1153" w:type="dxa"/>
          </w:tcPr>
          <w:p w14:paraId="370A20CA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1340" w:type="dxa"/>
          </w:tcPr>
          <w:p w14:paraId="1A98C60B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1394" w:type="dxa"/>
          </w:tcPr>
          <w:p w14:paraId="71F2539C" w14:textId="690F9794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△</w:t>
            </w:r>
          </w:p>
        </w:tc>
        <w:tc>
          <w:tcPr>
            <w:tcW w:w="1274" w:type="dxa"/>
          </w:tcPr>
          <w:p w14:paraId="787E69AD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1186" w:type="dxa"/>
          </w:tcPr>
          <w:p w14:paraId="24A9022B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ⅹ</w:t>
            </w:r>
          </w:p>
        </w:tc>
        <w:tc>
          <w:tcPr>
            <w:tcW w:w="1064" w:type="dxa"/>
          </w:tcPr>
          <w:p w14:paraId="02C4E9E4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○</w:t>
            </w:r>
          </w:p>
        </w:tc>
        <w:tc>
          <w:tcPr>
            <w:tcW w:w="712" w:type="dxa"/>
          </w:tcPr>
          <w:p w14:paraId="574D8121" w14:textId="77777777" w:rsidR="00CB1DAA" w:rsidRDefault="00CB1DAA" w:rsidP="000908B3">
            <w:pPr>
              <w:tabs>
                <w:tab w:val="left" w:pos="2796"/>
              </w:tabs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△</w:t>
            </w:r>
          </w:p>
        </w:tc>
      </w:tr>
    </w:tbl>
    <w:p w14:paraId="5F01DC96" w14:textId="4A811CEF" w:rsidR="00CB1DAA" w:rsidRDefault="00CB1DAA">
      <w:pPr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○:</w:t>
      </w:r>
      <w:r>
        <w:rPr>
          <w:rFonts w:asciiTheme="minorEastAsia" w:hAnsiTheme="minorEastAsia"/>
          <w:b/>
          <w:bCs/>
        </w:rPr>
        <w:t xml:space="preserve"> low risk of bias; </w:t>
      </w:r>
      <w:r>
        <w:rPr>
          <w:rFonts w:asciiTheme="minorEastAsia" w:hAnsiTheme="minorEastAsia" w:hint="eastAsia"/>
          <w:b/>
          <w:bCs/>
        </w:rPr>
        <w:t>ⅹ:</w:t>
      </w:r>
      <w:r>
        <w:rPr>
          <w:rFonts w:asciiTheme="minorEastAsia" w:hAnsiTheme="minorEastAsia"/>
          <w:b/>
          <w:bCs/>
        </w:rPr>
        <w:t xml:space="preserve"> high risk of bias; </w:t>
      </w:r>
      <w:r>
        <w:rPr>
          <w:rFonts w:asciiTheme="minorEastAsia" w:hAnsiTheme="minorEastAsia" w:hint="eastAsia"/>
          <w:b/>
          <w:bCs/>
        </w:rPr>
        <w:t>△:</w:t>
      </w:r>
      <w:r>
        <w:rPr>
          <w:rFonts w:asciiTheme="minorEastAsia" w:hAnsiTheme="minorEastAsia"/>
          <w:b/>
          <w:bCs/>
        </w:rPr>
        <w:t xml:space="preserve"> unclear risk of bias</w:t>
      </w:r>
    </w:p>
    <w:p w14:paraId="563FEC51" w14:textId="6D59C40D" w:rsidR="00CB1DAA" w:rsidRDefault="00CB1DAA">
      <w:pPr>
        <w:rPr>
          <w:rFonts w:asciiTheme="minorEastAsia" w:hAnsiTheme="minorEastAsia"/>
          <w:b/>
          <w:bCs/>
        </w:rPr>
      </w:pPr>
    </w:p>
    <w:p w14:paraId="27C324C1" w14:textId="17CDD355" w:rsidR="00CB1DAA" w:rsidRDefault="00CB1DAA">
      <w:pPr>
        <w:rPr>
          <w:rFonts w:asciiTheme="minorEastAsia" w:hAnsiTheme="minorEastAsia"/>
          <w:b/>
          <w:bCs/>
        </w:rPr>
      </w:pPr>
    </w:p>
    <w:p w14:paraId="4E31175B" w14:textId="4C59CFBB" w:rsidR="00ED2FF7" w:rsidRDefault="00ED2FF7">
      <w:pPr>
        <w:rPr>
          <w:rFonts w:asciiTheme="minorEastAsia" w:hAnsiTheme="minorEastAsia"/>
          <w:b/>
          <w:bCs/>
        </w:rPr>
      </w:pPr>
    </w:p>
    <w:p w14:paraId="2C831253" w14:textId="3B62C861" w:rsidR="00ED2FF7" w:rsidRDefault="00ED2FF7">
      <w:pPr>
        <w:rPr>
          <w:rFonts w:asciiTheme="minorEastAsia" w:hAnsiTheme="minorEastAsia"/>
          <w:b/>
          <w:bCs/>
        </w:rPr>
      </w:pPr>
    </w:p>
    <w:p w14:paraId="57ADFCFD" w14:textId="48CF6840" w:rsidR="00ED2FF7" w:rsidRDefault="00ED2FF7">
      <w:pPr>
        <w:rPr>
          <w:rFonts w:asciiTheme="minorEastAsia" w:hAnsiTheme="minorEastAsia"/>
          <w:b/>
          <w:bCs/>
        </w:rPr>
      </w:pPr>
    </w:p>
    <w:p w14:paraId="57DF4022" w14:textId="2AAC2CDF" w:rsidR="00ED2FF7" w:rsidRDefault="00ED2FF7">
      <w:pPr>
        <w:rPr>
          <w:rFonts w:asciiTheme="minorEastAsia" w:hAnsiTheme="minorEastAsia"/>
          <w:b/>
          <w:bCs/>
        </w:rPr>
      </w:pPr>
    </w:p>
    <w:p w14:paraId="2A423CA8" w14:textId="4A1DC41C" w:rsidR="00ED2FF7" w:rsidRDefault="00ED2FF7">
      <w:pPr>
        <w:rPr>
          <w:rFonts w:asciiTheme="minorEastAsia" w:hAnsiTheme="minorEastAsia"/>
          <w:b/>
          <w:bCs/>
        </w:rPr>
      </w:pPr>
    </w:p>
    <w:p w14:paraId="72F94028" w14:textId="5F1F4480" w:rsidR="00ED2FF7" w:rsidRDefault="00ED2FF7">
      <w:pPr>
        <w:rPr>
          <w:rFonts w:asciiTheme="minorEastAsia" w:hAnsiTheme="minorEastAsia"/>
          <w:b/>
          <w:bCs/>
        </w:rPr>
      </w:pPr>
    </w:p>
    <w:p w14:paraId="4D93DA03" w14:textId="3C1F7411" w:rsidR="00ED2FF7" w:rsidRDefault="00ED2FF7">
      <w:pPr>
        <w:rPr>
          <w:rFonts w:asciiTheme="minorEastAsia" w:hAnsiTheme="minorEastAsia"/>
          <w:b/>
          <w:bCs/>
        </w:rPr>
      </w:pPr>
    </w:p>
    <w:p w14:paraId="1DB474E3" w14:textId="2EF4F199" w:rsidR="00ED2FF7" w:rsidRDefault="00ED2FF7">
      <w:pPr>
        <w:rPr>
          <w:rFonts w:asciiTheme="minorEastAsia" w:hAnsiTheme="minorEastAsia"/>
          <w:b/>
          <w:bCs/>
        </w:rPr>
      </w:pPr>
    </w:p>
    <w:p w14:paraId="05E538DA" w14:textId="45C2B480" w:rsidR="00ED2FF7" w:rsidRDefault="00ED2FF7">
      <w:pPr>
        <w:rPr>
          <w:rFonts w:asciiTheme="minorEastAsia" w:hAnsiTheme="minorEastAsia"/>
          <w:b/>
          <w:bCs/>
        </w:rPr>
      </w:pPr>
    </w:p>
    <w:p w14:paraId="599359E8" w14:textId="04ECF718" w:rsidR="00ED2FF7" w:rsidRDefault="00ED2FF7">
      <w:pPr>
        <w:rPr>
          <w:rFonts w:asciiTheme="minorEastAsia" w:hAnsiTheme="minorEastAsia"/>
          <w:b/>
          <w:bCs/>
        </w:rPr>
      </w:pPr>
    </w:p>
    <w:p w14:paraId="11D01715" w14:textId="77123F6A" w:rsidR="00ED2FF7" w:rsidRDefault="00ED2FF7">
      <w:pPr>
        <w:rPr>
          <w:rFonts w:asciiTheme="minorEastAsia" w:hAnsiTheme="minorEastAsia"/>
          <w:b/>
          <w:bCs/>
        </w:rPr>
      </w:pPr>
    </w:p>
    <w:p w14:paraId="1217CDF5" w14:textId="3644DAA4" w:rsidR="00ED2FF7" w:rsidRDefault="00ED2FF7">
      <w:pPr>
        <w:rPr>
          <w:rFonts w:asciiTheme="minorEastAsia" w:hAnsiTheme="minorEastAsia"/>
          <w:b/>
          <w:bCs/>
        </w:rPr>
      </w:pPr>
    </w:p>
    <w:p w14:paraId="0A84869F" w14:textId="192D285A" w:rsidR="00ED2FF7" w:rsidRDefault="00ED2FF7">
      <w:pPr>
        <w:rPr>
          <w:rFonts w:asciiTheme="minorEastAsia" w:hAnsiTheme="minorEastAsia"/>
          <w:b/>
          <w:bCs/>
        </w:rPr>
      </w:pPr>
    </w:p>
    <w:p w14:paraId="7471CD13" w14:textId="4CD53D93" w:rsidR="00ED2FF7" w:rsidRDefault="00ED2FF7">
      <w:pPr>
        <w:rPr>
          <w:rFonts w:asciiTheme="minorEastAsia" w:hAnsiTheme="minorEastAsia"/>
          <w:b/>
          <w:bCs/>
        </w:rPr>
      </w:pPr>
    </w:p>
    <w:p w14:paraId="2BA80AFE" w14:textId="68BA7CE6" w:rsidR="00ED2FF7" w:rsidRDefault="00ED2FF7">
      <w:pPr>
        <w:rPr>
          <w:rFonts w:asciiTheme="minorEastAsia" w:hAnsiTheme="minorEastAsia"/>
          <w:b/>
          <w:bCs/>
        </w:rPr>
      </w:pPr>
    </w:p>
    <w:p w14:paraId="55568076" w14:textId="728B00D6" w:rsidR="00ED2FF7" w:rsidRDefault="00ED2FF7">
      <w:pPr>
        <w:rPr>
          <w:rFonts w:asciiTheme="minorEastAsia" w:hAnsiTheme="minorEastAsia"/>
          <w:b/>
          <w:bCs/>
        </w:rPr>
      </w:pPr>
    </w:p>
    <w:p w14:paraId="59AC0701" w14:textId="3795958B" w:rsidR="00ED2FF7" w:rsidRDefault="00ED2FF7">
      <w:pPr>
        <w:rPr>
          <w:rFonts w:asciiTheme="minorEastAsia" w:hAnsiTheme="minorEastAsia"/>
          <w:b/>
          <w:bCs/>
        </w:rPr>
      </w:pPr>
    </w:p>
    <w:p w14:paraId="0096C9B8" w14:textId="33C5519D" w:rsidR="00ED2FF7" w:rsidRDefault="00ED2FF7">
      <w:pPr>
        <w:rPr>
          <w:rFonts w:asciiTheme="minorEastAsia" w:hAnsiTheme="minorEastAsia"/>
          <w:b/>
          <w:bCs/>
        </w:rPr>
      </w:pPr>
    </w:p>
    <w:p w14:paraId="33D8CF9A" w14:textId="1FA10493" w:rsidR="00ED2FF7" w:rsidRDefault="00ED2FF7">
      <w:pPr>
        <w:rPr>
          <w:rFonts w:asciiTheme="minorEastAsia" w:hAnsiTheme="minorEastAsia"/>
          <w:b/>
          <w:bCs/>
        </w:rPr>
      </w:pPr>
    </w:p>
    <w:p w14:paraId="7F395161" w14:textId="54F3F3DB" w:rsidR="00ED2FF7" w:rsidRDefault="00ED2FF7">
      <w:pPr>
        <w:rPr>
          <w:rFonts w:asciiTheme="minorEastAsia" w:hAnsiTheme="minorEastAsia"/>
          <w:b/>
          <w:bCs/>
        </w:rPr>
      </w:pPr>
    </w:p>
    <w:p w14:paraId="2DDEF34C" w14:textId="5D28832C" w:rsidR="00ED2FF7" w:rsidRDefault="00ED2FF7">
      <w:pPr>
        <w:rPr>
          <w:rFonts w:asciiTheme="minorEastAsia" w:hAnsiTheme="minorEastAsia"/>
          <w:b/>
          <w:bCs/>
        </w:rPr>
      </w:pPr>
    </w:p>
    <w:p w14:paraId="763D23A5" w14:textId="228D6A07" w:rsidR="00ED2FF7" w:rsidRDefault="00ED2FF7">
      <w:pPr>
        <w:rPr>
          <w:rFonts w:asciiTheme="minorEastAsia" w:hAnsiTheme="minorEastAsia"/>
          <w:b/>
          <w:bCs/>
        </w:rPr>
      </w:pPr>
    </w:p>
    <w:p w14:paraId="26295667" w14:textId="1AE46850" w:rsidR="00ED2FF7" w:rsidRDefault="00ED2FF7">
      <w:pPr>
        <w:rPr>
          <w:rFonts w:asciiTheme="minorEastAsia" w:hAnsiTheme="minorEastAsia"/>
          <w:b/>
          <w:bCs/>
        </w:rPr>
      </w:pPr>
    </w:p>
    <w:p w14:paraId="4782960F" w14:textId="77C3A4D9" w:rsidR="00ED2FF7" w:rsidRDefault="00ED2FF7">
      <w:pPr>
        <w:rPr>
          <w:rFonts w:asciiTheme="minorEastAsia" w:hAnsiTheme="minorEastAsia"/>
          <w:b/>
          <w:bCs/>
        </w:rPr>
      </w:pPr>
    </w:p>
    <w:p w14:paraId="27980C26" w14:textId="0F16D643" w:rsidR="00ED2FF7" w:rsidRDefault="00ED2FF7">
      <w:pPr>
        <w:rPr>
          <w:rFonts w:asciiTheme="minorEastAsia" w:hAnsiTheme="minorEastAsia"/>
          <w:b/>
          <w:bCs/>
        </w:rPr>
      </w:pPr>
    </w:p>
    <w:p w14:paraId="7A26949D" w14:textId="352047CB" w:rsidR="00ED2FF7" w:rsidRDefault="00ED2FF7">
      <w:pPr>
        <w:rPr>
          <w:rFonts w:asciiTheme="minorEastAsia" w:hAnsiTheme="minorEastAsia"/>
          <w:b/>
          <w:bCs/>
        </w:rPr>
      </w:pPr>
    </w:p>
    <w:p w14:paraId="4FA9D6DE" w14:textId="6CA3C686" w:rsidR="00CB1DAA" w:rsidRDefault="00CB1DAA">
      <w:pPr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lastRenderedPageBreak/>
        <w:t>T</w:t>
      </w:r>
      <w:r>
        <w:rPr>
          <w:rFonts w:asciiTheme="minorEastAsia" w:hAnsiTheme="minorEastAsia"/>
          <w:b/>
          <w:bCs/>
        </w:rPr>
        <w:t xml:space="preserve">able 2 The efficacy </w:t>
      </w:r>
      <w:r w:rsidR="00AE6DC1">
        <w:rPr>
          <w:rFonts w:asciiTheme="minorEastAsia" w:hAnsiTheme="minorEastAsia"/>
          <w:b/>
          <w:bCs/>
        </w:rPr>
        <w:t>for</w:t>
      </w:r>
      <w:r>
        <w:rPr>
          <w:rFonts w:asciiTheme="minorEastAsia" w:hAnsiTheme="minorEastAsia"/>
          <w:b/>
          <w:bCs/>
        </w:rPr>
        <w:t xml:space="preserve"> LTBI therapy</w:t>
      </w:r>
    </w:p>
    <w:p w14:paraId="3A902755" w14:textId="4F7F8EDF" w:rsidR="00CB1DAA" w:rsidRDefault="00CB1DAA" w:rsidP="00CB1DAA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I</w:t>
      </w:r>
      <w:r>
        <w:t>soniazid versus Placebo or non-treatment</w:t>
      </w:r>
    </w:p>
    <w:p w14:paraId="6B98E603" w14:textId="2EA83B56" w:rsidR="00CB1DAA" w:rsidRDefault="00531975" w:rsidP="00531975">
      <w:pPr>
        <w:pStyle w:val="a3"/>
        <w:numPr>
          <w:ilvl w:val="0"/>
          <w:numId w:val="5"/>
        </w:numPr>
        <w:ind w:leftChars="0"/>
      </w:pPr>
      <w:r>
        <w:t xml:space="preserve">The efficacy for </w:t>
      </w:r>
      <w:r>
        <w:rPr>
          <w:rFonts w:hint="eastAsia"/>
        </w:rPr>
        <w:t>N</w:t>
      </w:r>
      <w:r>
        <w:t>RSs</w:t>
      </w:r>
    </w:p>
    <w:p w14:paraId="6F64AC6D" w14:textId="506D5FDB" w:rsidR="00531975" w:rsidRDefault="0031534D" w:rsidP="0031534D">
      <w:r w:rsidRPr="0031534D">
        <w:rPr>
          <w:noProof/>
        </w:rPr>
        <w:drawing>
          <wp:inline distT="0" distB="0" distL="0" distR="0" wp14:anchorId="0F03452E" wp14:editId="594283C6">
            <wp:extent cx="5021580" cy="987267"/>
            <wp:effectExtent l="0" t="0" r="0" b="381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0026" cy="99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397C9" w14:textId="07A9A780" w:rsidR="00531975" w:rsidRDefault="00531975" w:rsidP="00531975">
      <w:pPr>
        <w:pStyle w:val="a3"/>
        <w:numPr>
          <w:ilvl w:val="0"/>
          <w:numId w:val="5"/>
        </w:numPr>
        <w:ind w:leftChars="0"/>
      </w:pPr>
      <w:r>
        <w:t xml:space="preserve">The efficacy for </w:t>
      </w:r>
      <w:r>
        <w:rPr>
          <w:rFonts w:hint="eastAsia"/>
        </w:rPr>
        <w:t>R</w:t>
      </w:r>
      <w:r>
        <w:t>CTs</w:t>
      </w:r>
    </w:p>
    <w:p w14:paraId="39AB8D87" w14:textId="6E28451A" w:rsidR="00531975" w:rsidRDefault="0031534D" w:rsidP="0031534D">
      <w:r w:rsidRPr="0031534D">
        <w:rPr>
          <w:noProof/>
        </w:rPr>
        <w:drawing>
          <wp:inline distT="0" distB="0" distL="0" distR="0" wp14:anchorId="19EFE139" wp14:editId="20A4BA79">
            <wp:extent cx="5097780" cy="1177166"/>
            <wp:effectExtent l="0" t="0" r="0" b="444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7217" cy="118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8BFE1" w14:textId="64B2F35A" w:rsidR="00CB1DAA" w:rsidRDefault="00CB1DAA" w:rsidP="00CB1DAA">
      <w:pPr>
        <w:pStyle w:val="a3"/>
        <w:numPr>
          <w:ilvl w:val="0"/>
          <w:numId w:val="3"/>
        </w:numPr>
        <w:ind w:leftChars="0"/>
      </w:pPr>
      <w:r>
        <w:t>Rifamycin-base regimens versus placebo or non-treatment</w:t>
      </w:r>
    </w:p>
    <w:p w14:paraId="402EAF11" w14:textId="17866975" w:rsidR="00406250" w:rsidRDefault="004679E8" w:rsidP="004679E8">
      <w:r w:rsidRPr="004679E8">
        <w:rPr>
          <w:noProof/>
        </w:rPr>
        <w:drawing>
          <wp:inline distT="0" distB="0" distL="0" distR="0" wp14:anchorId="1A886FAB" wp14:editId="1005502C">
            <wp:extent cx="5113020" cy="881513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3698" cy="888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0EA48" w14:textId="231454AC" w:rsidR="00406250" w:rsidRDefault="00406250" w:rsidP="00406250">
      <w:pPr>
        <w:pStyle w:val="a3"/>
        <w:numPr>
          <w:ilvl w:val="0"/>
          <w:numId w:val="3"/>
        </w:numPr>
        <w:ind w:leftChars="0"/>
      </w:pPr>
      <w:r>
        <w:t>Rifamycin-base regimens</w:t>
      </w:r>
      <w:r w:rsidR="00CB1DAA">
        <w:t xml:space="preserve"> vers</w:t>
      </w:r>
      <w:r w:rsidR="00ED2FF7">
        <w:t>us isoniazid</w:t>
      </w:r>
    </w:p>
    <w:p w14:paraId="5F01CC70" w14:textId="3A72574B" w:rsidR="00ED2FF7" w:rsidRPr="00ED2FF7" w:rsidRDefault="004679E8" w:rsidP="00406250">
      <w:pPr>
        <w:pStyle w:val="a3"/>
        <w:ind w:leftChars="0" w:left="360"/>
      </w:pPr>
      <w:r>
        <w:rPr>
          <w:noProof/>
        </w:rPr>
        <w:drawing>
          <wp:inline distT="0" distB="0" distL="0" distR="0" wp14:anchorId="07A6DD92" wp14:editId="7A48159E">
            <wp:extent cx="5273040" cy="3863340"/>
            <wp:effectExtent l="0" t="0" r="3810" b="381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46183" w14:textId="0E450B0F" w:rsidR="00ED2FF7" w:rsidRPr="00AE6DC1" w:rsidRDefault="00ED2FF7" w:rsidP="00AE6DC1">
      <w:pPr>
        <w:rPr>
          <w:rFonts w:asciiTheme="minorEastAsia" w:hAnsiTheme="minorEastAsia"/>
          <w:b/>
          <w:bCs/>
        </w:rPr>
      </w:pPr>
      <w:r>
        <w:rPr>
          <w:rFonts w:hint="eastAsia"/>
        </w:rPr>
        <w:lastRenderedPageBreak/>
        <w:t>T</w:t>
      </w:r>
      <w:r>
        <w:t xml:space="preserve">able 3 The adhesion rate of </w:t>
      </w:r>
      <w:r w:rsidRPr="00AE6DC1">
        <w:rPr>
          <w:rFonts w:asciiTheme="minorEastAsia" w:hAnsiTheme="minorEastAsia"/>
          <w:b/>
          <w:bCs/>
        </w:rPr>
        <w:t>LTBI therapy</w:t>
      </w:r>
    </w:p>
    <w:p w14:paraId="09C601F7" w14:textId="427535A3" w:rsidR="00407BF4" w:rsidRDefault="00407BF4" w:rsidP="00AE6DC1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Is</w:t>
      </w:r>
      <w:r>
        <w:t>oniazid versus placebo or non-treatment</w:t>
      </w:r>
    </w:p>
    <w:p w14:paraId="7DA15449" w14:textId="7186B9A8" w:rsidR="00407BF4" w:rsidRDefault="00407BF4" w:rsidP="00AE6DC1">
      <w:pPr>
        <w:pStyle w:val="a3"/>
        <w:numPr>
          <w:ilvl w:val="0"/>
          <w:numId w:val="10"/>
        </w:numPr>
        <w:ind w:leftChars="0"/>
      </w:pPr>
      <w:r>
        <w:t>The adhesion rate of NRS</w:t>
      </w:r>
    </w:p>
    <w:p w14:paraId="687C25D8" w14:textId="3E681D69" w:rsidR="00407BF4" w:rsidRDefault="006C5BA1" w:rsidP="006C5BA1">
      <w:r>
        <w:rPr>
          <w:rFonts w:hint="eastAsia"/>
        </w:rPr>
        <w:t xml:space="preserve"> </w:t>
      </w:r>
      <w:r w:rsidR="0031534D" w:rsidRPr="0031534D">
        <w:rPr>
          <w:noProof/>
        </w:rPr>
        <w:drawing>
          <wp:inline distT="0" distB="0" distL="0" distR="0" wp14:anchorId="3B3D24E7" wp14:editId="1DD47496">
            <wp:extent cx="5274310" cy="1036955"/>
            <wp:effectExtent l="0" t="0" r="254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3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14122" w14:textId="40A9149E" w:rsidR="00407BF4" w:rsidRDefault="00407BF4" w:rsidP="006C5BA1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>T</w:t>
      </w:r>
      <w:r>
        <w:t>he adhesion rate of RCT</w:t>
      </w:r>
    </w:p>
    <w:p w14:paraId="0D9C1CA7" w14:textId="3E7C2A0A" w:rsidR="006C5BA1" w:rsidRDefault="0031534D" w:rsidP="006C5BA1">
      <w:r w:rsidRPr="0031534D">
        <w:rPr>
          <w:noProof/>
        </w:rPr>
        <w:drawing>
          <wp:inline distT="0" distB="0" distL="0" distR="0" wp14:anchorId="3C6592C8" wp14:editId="539454AE">
            <wp:extent cx="5274310" cy="994410"/>
            <wp:effectExtent l="0" t="0" r="254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259BE" w14:textId="032E63FB" w:rsidR="00407BF4" w:rsidRDefault="00407BF4" w:rsidP="00AE6DC1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R</w:t>
      </w:r>
      <w:r>
        <w:t>ifamycin-base regimens versus isoniazid</w:t>
      </w:r>
    </w:p>
    <w:p w14:paraId="4B90069D" w14:textId="7E2B8CFE" w:rsidR="00AE6DC1" w:rsidRDefault="006C5BA1" w:rsidP="006C5BA1">
      <w:r>
        <w:rPr>
          <w:noProof/>
        </w:rPr>
        <w:drawing>
          <wp:inline distT="0" distB="0" distL="0" distR="0" wp14:anchorId="67CCF28B" wp14:editId="3C81AB84">
            <wp:extent cx="5265420" cy="3154680"/>
            <wp:effectExtent l="0" t="0" r="0" b="762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0BC95" w14:textId="2A3F75A0" w:rsidR="00AE6DC1" w:rsidRDefault="00AE6DC1" w:rsidP="00AE6DC1">
      <w:pPr>
        <w:pStyle w:val="a3"/>
        <w:ind w:leftChars="0" w:left="1080"/>
      </w:pPr>
    </w:p>
    <w:p w14:paraId="5F903844" w14:textId="3ACB6AEF" w:rsidR="00AE6DC1" w:rsidRDefault="00AE6DC1" w:rsidP="00AE6DC1">
      <w:pPr>
        <w:pStyle w:val="a3"/>
        <w:ind w:leftChars="0" w:left="1080"/>
      </w:pPr>
    </w:p>
    <w:p w14:paraId="28D231AF" w14:textId="22C8DEC4" w:rsidR="00AE6DC1" w:rsidRDefault="00AE6DC1" w:rsidP="00AE6DC1">
      <w:pPr>
        <w:pStyle w:val="a3"/>
        <w:ind w:leftChars="0" w:left="1080"/>
      </w:pPr>
    </w:p>
    <w:p w14:paraId="0F16D707" w14:textId="7A43E881" w:rsidR="00AE6DC1" w:rsidRDefault="00AE6DC1" w:rsidP="00AE6DC1">
      <w:pPr>
        <w:pStyle w:val="a3"/>
        <w:ind w:leftChars="0" w:left="1080"/>
      </w:pPr>
    </w:p>
    <w:p w14:paraId="1A3B8936" w14:textId="790BA944" w:rsidR="00AE6DC1" w:rsidRDefault="00AE6DC1" w:rsidP="00AE6DC1">
      <w:pPr>
        <w:pStyle w:val="a3"/>
        <w:ind w:leftChars="0" w:left="1080"/>
      </w:pPr>
    </w:p>
    <w:p w14:paraId="4F698EF0" w14:textId="1F9D6322" w:rsidR="00AE6DC1" w:rsidRDefault="00AE6DC1" w:rsidP="00AE6DC1">
      <w:pPr>
        <w:pStyle w:val="a3"/>
        <w:ind w:leftChars="0" w:left="1080"/>
      </w:pPr>
    </w:p>
    <w:p w14:paraId="73F0CFF0" w14:textId="78661A0D" w:rsidR="00AE6DC1" w:rsidRDefault="00AE6DC1" w:rsidP="00AE6DC1">
      <w:pPr>
        <w:pStyle w:val="a3"/>
        <w:ind w:leftChars="0" w:left="1080"/>
      </w:pPr>
    </w:p>
    <w:p w14:paraId="41032D1D" w14:textId="31E687EE" w:rsidR="00AE6DC1" w:rsidRDefault="00AE6DC1" w:rsidP="00DF2952"/>
    <w:p w14:paraId="73F9797E" w14:textId="7161EE47" w:rsidR="00AE6DC1" w:rsidRDefault="00AE6DC1" w:rsidP="00AE6DC1">
      <w:r>
        <w:rPr>
          <w:rFonts w:hint="eastAsia"/>
        </w:rPr>
        <w:lastRenderedPageBreak/>
        <w:t>T</w:t>
      </w:r>
      <w:r>
        <w:t>able 4 The severe adverse events for LTBI therapy</w:t>
      </w:r>
    </w:p>
    <w:p w14:paraId="54FF14E6" w14:textId="30C4765B" w:rsidR="00AE6DC1" w:rsidRDefault="00AE6DC1" w:rsidP="00AE6DC1">
      <w:r>
        <w:t xml:space="preserve"> Rifamycin-base regimens versus isoniazid</w:t>
      </w:r>
    </w:p>
    <w:p w14:paraId="7BFD5413" w14:textId="60D38744" w:rsidR="00AE6DC1" w:rsidRDefault="00026866" w:rsidP="00AE6DC1">
      <w:r>
        <w:rPr>
          <w:rFonts w:hint="eastAsia"/>
          <w:noProof/>
        </w:rPr>
        <w:drawing>
          <wp:inline distT="0" distB="0" distL="0" distR="0" wp14:anchorId="3971A553" wp14:editId="0B9DE07F">
            <wp:extent cx="5265420" cy="3246120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6D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CE7CB" w14:textId="77777777" w:rsidR="001F73BC" w:rsidRDefault="001F73BC" w:rsidP="001F73BC">
      <w:r>
        <w:separator/>
      </w:r>
    </w:p>
  </w:endnote>
  <w:endnote w:type="continuationSeparator" w:id="0">
    <w:p w14:paraId="12C6AC65" w14:textId="77777777" w:rsidR="001F73BC" w:rsidRDefault="001F73BC" w:rsidP="001F7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17937" w14:textId="77777777" w:rsidR="001F73BC" w:rsidRDefault="001F73BC" w:rsidP="001F73BC">
      <w:r>
        <w:separator/>
      </w:r>
    </w:p>
  </w:footnote>
  <w:footnote w:type="continuationSeparator" w:id="0">
    <w:p w14:paraId="5B7E1552" w14:textId="77777777" w:rsidR="001F73BC" w:rsidRDefault="001F73BC" w:rsidP="001F7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429"/>
    <w:multiLevelType w:val="hybridMultilevel"/>
    <w:tmpl w:val="84624526"/>
    <w:lvl w:ilvl="0" w:tplc="6A48BE70">
      <w:start w:val="5"/>
      <w:numFmt w:val="upp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F71661"/>
    <w:multiLevelType w:val="hybridMultilevel"/>
    <w:tmpl w:val="759C6D08"/>
    <w:lvl w:ilvl="0" w:tplc="EDE2A6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8CE5F64"/>
    <w:multiLevelType w:val="hybridMultilevel"/>
    <w:tmpl w:val="841242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B1E0038"/>
    <w:multiLevelType w:val="hybridMultilevel"/>
    <w:tmpl w:val="9BFEC6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0AA4715"/>
    <w:multiLevelType w:val="hybridMultilevel"/>
    <w:tmpl w:val="BC161100"/>
    <w:lvl w:ilvl="0" w:tplc="FE50E3A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5" w15:restartNumberingAfterBreak="0">
    <w:nsid w:val="4B3B5D90"/>
    <w:multiLevelType w:val="hybridMultilevel"/>
    <w:tmpl w:val="3C0C23B2"/>
    <w:lvl w:ilvl="0" w:tplc="114252A0">
      <w:start w:val="1"/>
      <w:numFmt w:val="upperLetter"/>
      <w:lvlText w:val="(%1)"/>
      <w:lvlJc w:val="left"/>
      <w:pPr>
        <w:ind w:left="360" w:hanging="360"/>
      </w:pPr>
      <w:rPr>
        <w:rFonts w:asciiTheme="minorEastAsia" w:hAnsiTheme="minorEastAsia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042290C"/>
    <w:multiLevelType w:val="hybridMultilevel"/>
    <w:tmpl w:val="F8F4520C"/>
    <w:lvl w:ilvl="0" w:tplc="833E4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09B0413"/>
    <w:multiLevelType w:val="hybridMultilevel"/>
    <w:tmpl w:val="B84850AC"/>
    <w:lvl w:ilvl="0" w:tplc="D320226C">
      <w:start w:val="1"/>
      <w:numFmt w:val="upperLetter"/>
      <w:lvlText w:val="(%1)"/>
      <w:lvlJc w:val="left"/>
      <w:pPr>
        <w:ind w:left="1080" w:hanging="360"/>
      </w:pPr>
      <w:rPr>
        <w:rFonts w:asciiTheme="minorEastAsia" w:hAnsiTheme="minorEastAsia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53C61BBF"/>
    <w:multiLevelType w:val="hybridMultilevel"/>
    <w:tmpl w:val="1F6262DC"/>
    <w:lvl w:ilvl="0" w:tplc="EBC6AA5C">
      <w:start w:val="1"/>
      <w:numFmt w:val="upp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542D11E2"/>
    <w:multiLevelType w:val="hybridMultilevel"/>
    <w:tmpl w:val="596856A0"/>
    <w:lvl w:ilvl="0" w:tplc="1650400C">
      <w:start w:val="1"/>
      <w:numFmt w:val="lowerRoman"/>
      <w:lvlText w:val="(%1)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0" w15:restartNumberingAfterBreak="0">
    <w:nsid w:val="57E82A38"/>
    <w:multiLevelType w:val="hybridMultilevel"/>
    <w:tmpl w:val="049C559A"/>
    <w:lvl w:ilvl="0" w:tplc="D320226C">
      <w:start w:val="1"/>
      <w:numFmt w:val="upperLetter"/>
      <w:lvlText w:val="(%1)"/>
      <w:lvlJc w:val="left"/>
      <w:pPr>
        <w:ind w:left="720" w:hanging="360"/>
      </w:pPr>
      <w:rPr>
        <w:rFonts w:asciiTheme="minorEastAsia" w:hAnsiTheme="minorEastAsia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585755FF"/>
    <w:multiLevelType w:val="hybridMultilevel"/>
    <w:tmpl w:val="4A9CCDDE"/>
    <w:lvl w:ilvl="0" w:tplc="1C404A7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5A5400AD"/>
    <w:multiLevelType w:val="hybridMultilevel"/>
    <w:tmpl w:val="538E0182"/>
    <w:lvl w:ilvl="0" w:tplc="F59ADD3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D2E5DB6"/>
    <w:multiLevelType w:val="hybridMultilevel"/>
    <w:tmpl w:val="9C8C3014"/>
    <w:lvl w:ilvl="0" w:tplc="2564E1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F6F2C0B"/>
    <w:multiLevelType w:val="hybridMultilevel"/>
    <w:tmpl w:val="CB620DFC"/>
    <w:lvl w:ilvl="0" w:tplc="E8EC2A7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40398963">
    <w:abstractNumId w:val="2"/>
  </w:num>
  <w:num w:numId="2" w16cid:durableId="1730571496">
    <w:abstractNumId w:val="3"/>
  </w:num>
  <w:num w:numId="3" w16cid:durableId="464084120">
    <w:abstractNumId w:val="5"/>
  </w:num>
  <w:num w:numId="4" w16cid:durableId="1310130929">
    <w:abstractNumId w:val="1"/>
  </w:num>
  <w:num w:numId="5" w16cid:durableId="1132599414">
    <w:abstractNumId w:val="9"/>
  </w:num>
  <w:num w:numId="6" w16cid:durableId="1667708476">
    <w:abstractNumId w:val="10"/>
  </w:num>
  <w:num w:numId="7" w16cid:durableId="1159004842">
    <w:abstractNumId w:val="7"/>
  </w:num>
  <w:num w:numId="8" w16cid:durableId="1928926358">
    <w:abstractNumId w:val="4"/>
  </w:num>
  <w:num w:numId="9" w16cid:durableId="1395348905">
    <w:abstractNumId w:val="8"/>
  </w:num>
  <w:num w:numId="10" w16cid:durableId="1212838272">
    <w:abstractNumId w:val="11"/>
  </w:num>
  <w:num w:numId="11" w16cid:durableId="597064345">
    <w:abstractNumId w:val="6"/>
  </w:num>
  <w:num w:numId="12" w16cid:durableId="987827403">
    <w:abstractNumId w:val="14"/>
  </w:num>
  <w:num w:numId="13" w16cid:durableId="1284538034">
    <w:abstractNumId w:val="0"/>
  </w:num>
  <w:num w:numId="14" w16cid:durableId="1539778858">
    <w:abstractNumId w:val="12"/>
  </w:num>
  <w:num w:numId="15" w16cid:durableId="4530631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67"/>
    <w:rsid w:val="00003627"/>
    <w:rsid w:val="00026866"/>
    <w:rsid w:val="00167036"/>
    <w:rsid w:val="001F73BC"/>
    <w:rsid w:val="0031534D"/>
    <w:rsid w:val="003D2C91"/>
    <w:rsid w:val="00406250"/>
    <w:rsid w:val="00407BF4"/>
    <w:rsid w:val="004652E9"/>
    <w:rsid w:val="004679E8"/>
    <w:rsid w:val="00531975"/>
    <w:rsid w:val="00602C3F"/>
    <w:rsid w:val="006C5BA1"/>
    <w:rsid w:val="007F6692"/>
    <w:rsid w:val="00AE6DC1"/>
    <w:rsid w:val="00B3794D"/>
    <w:rsid w:val="00BE4E42"/>
    <w:rsid w:val="00C3551C"/>
    <w:rsid w:val="00C42867"/>
    <w:rsid w:val="00CB1DAA"/>
    <w:rsid w:val="00D009AA"/>
    <w:rsid w:val="00D23D5B"/>
    <w:rsid w:val="00DF2952"/>
    <w:rsid w:val="00ED2FF7"/>
    <w:rsid w:val="00FA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1D4E2E9"/>
  <w15:chartTrackingRefBased/>
  <w15:docId w15:val="{4242559C-03D6-4E9F-AABF-C1112EA3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DAA"/>
    <w:pPr>
      <w:ind w:leftChars="200" w:left="480"/>
    </w:pPr>
    <w:rPr>
      <w:szCs w:val="22"/>
      <w:lang w:bidi="ar-SA"/>
    </w:rPr>
  </w:style>
  <w:style w:type="table" w:styleId="a4">
    <w:name w:val="Table Grid"/>
    <w:basedOn w:val="a1"/>
    <w:uiPriority w:val="39"/>
    <w:rsid w:val="00CB1DAA"/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F73BC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6">
    <w:name w:val="頁首 字元"/>
    <w:basedOn w:val="a0"/>
    <w:link w:val="a5"/>
    <w:uiPriority w:val="99"/>
    <w:rsid w:val="001F73BC"/>
    <w:rPr>
      <w:sz w:val="20"/>
      <w:szCs w:val="25"/>
    </w:rPr>
  </w:style>
  <w:style w:type="paragraph" w:styleId="a7">
    <w:name w:val="footer"/>
    <w:basedOn w:val="a"/>
    <w:link w:val="a8"/>
    <w:uiPriority w:val="99"/>
    <w:unhideWhenUsed/>
    <w:rsid w:val="001F73BC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8">
    <w:name w:val="頁尾 字元"/>
    <w:basedOn w:val="a0"/>
    <w:link w:val="a7"/>
    <w:uiPriority w:val="99"/>
    <w:rsid w:val="001F73BC"/>
    <w:rPr>
      <w:sz w:val="20"/>
      <w:szCs w:val="25"/>
    </w:rPr>
  </w:style>
  <w:style w:type="paragraph" w:customStyle="1" w:styleId="1">
    <w:name w:val="標題1"/>
    <w:basedOn w:val="a"/>
    <w:rsid w:val="001F73B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 L</dc:creator>
  <cp:keywords/>
  <dc:description/>
  <cp:lastModifiedBy>HS L</cp:lastModifiedBy>
  <cp:revision>2</cp:revision>
  <dcterms:created xsi:type="dcterms:W3CDTF">2023-03-03T08:43:00Z</dcterms:created>
  <dcterms:modified xsi:type="dcterms:W3CDTF">2023-03-03T08:43:00Z</dcterms:modified>
</cp:coreProperties>
</file>