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C1828" w14:textId="77777777" w:rsidR="00713C83" w:rsidRDefault="00713C83" w:rsidP="00F40018">
      <w:pPr>
        <w:spacing w:line="240" w:lineRule="auto"/>
        <w:rPr>
          <w:rFonts w:cstheme="minorHAnsi"/>
          <w:b/>
          <w:bCs/>
          <w:sz w:val="28"/>
          <w:szCs w:val="28"/>
        </w:rPr>
      </w:pPr>
      <w:bookmarkStart w:id="0" w:name="_Toc439859897"/>
      <w:bookmarkStart w:id="1" w:name="_Toc441675525"/>
      <w:r w:rsidRPr="00713C83">
        <w:rPr>
          <w:rFonts w:cstheme="minorHAnsi"/>
          <w:b/>
          <w:bCs/>
          <w:sz w:val="28"/>
          <w:szCs w:val="28"/>
        </w:rPr>
        <w:t>The Health and Economic Benefits Possible with Novel Tuberculosis Vaccines – A Modeling Study in India and Indonesia</w:t>
      </w:r>
      <w:r w:rsidRPr="00713C83">
        <w:rPr>
          <w:rFonts w:cstheme="minorHAnsi"/>
          <w:b/>
          <w:bCs/>
          <w:sz w:val="28"/>
          <w:szCs w:val="28"/>
        </w:rPr>
        <w:t xml:space="preserve"> </w:t>
      </w:r>
    </w:p>
    <w:p w14:paraId="0BA06465" w14:textId="77777777" w:rsidR="00713C83" w:rsidRDefault="00713C83" w:rsidP="00F40018">
      <w:pPr>
        <w:spacing w:line="240" w:lineRule="auto"/>
        <w:rPr>
          <w:rFonts w:cstheme="minorHAnsi"/>
          <w:b/>
          <w:bCs/>
          <w:sz w:val="28"/>
          <w:szCs w:val="28"/>
        </w:rPr>
      </w:pPr>
    </w:p>
    <w:p w14:paraId="0CF7FC07" w14:textId="3BB78CC6" w:rsidR="00397315" w:rsidRDefault="00F40018" w:rsidP="00F40018">
      <w:pPr>
        <w:spacing w:line="240" w:lineRule="auto"/>
        <w:rPr>
          <w:rFonts w:cstheme="minorHAnsi"/>
          <w:b/>
          <w:bCs/>
          <w:color w:val="000000" w:themeColor="text1"/>
          <w:sz w:val="28"/>
          <w:szCs w:val="28"/>
          <w:vertAlign w:val="superscript"/>
        </w:rPr>
      </w:pPr>
      <w:r w:rsidRPr="004130AE">
        <w:rPr>
          <w:rFonts w:cstheme="minorHAnsi"/>
          <w:b/>
          <w:bCs/>
          <w:color w:val="000000" w:themeColor="text1"/>
          <w:sz w:val="28"/>
          <w:szCs w:val="28"/>
        </w:rPr>
        <w:t xml:space="preserve">Appendix </w:t>
      </w:r>
      <w:r>
        <w:rPr>
          <w:rFonts w:cstheme="minorHAnsi"/>
          <w:b/>
          <w:bCs/>
          <w:color w:val="000000" w:themeColor="text1"/>
          <w:sz w:val="28"/>
          <w:szCs w:val="28"/>
        </w:rPr>
        <w:t>1</w:t>
      </w:r>
    </w:p>
    <w:p w14:paraId="101EEB3D" w14:textId="77777777" w:rsidR="00EB3118" w:rsidRDefault="00EB3118" w:rsidP="00EB3118">
      <w:pPr>
        <w:rPr>
          <w:rFonts w:ascii="Arial" w:hAnsi="Arial" w:cs="Arial"/>
          <w:color w:val="000000" w:themeColor="text1"/>
        </w:rPr>
      </w:pPr>
    </w:p>
    <w:p w14:paraId="15A9C22B" w14:textId="278E1095" w:rsidR="00EB3118" w:rsidRPr="00483096" w:rsidRDefault="00EB3118" w:rsidP="00EB3118">
      <w:pPr>
        <w:rPr>
          <w:rFonts w:ascii="Arial" w:hAnsi="Arial" w:cs="Arial"/>
          <w:color w:val="000000" w:themeColor="text1"/>
          <w:vertAlign w:val="superscript"/>
        </w:rPr>
      </w:pPr>
      <w:r w:rsidRPr="00483096">
        <w:rPr>
          <w:rFonts w:ascii="Arial" w:hAnsi="Arial" w:cs="Arial"/>
          <w:color w:val="000000" w:themeColor="text1"/>
        </w:rPr>
        <w:t>Sachin Silva</w:t>
      </w:r>
      <w:r w:rsidRPr="00483096">
        <w:rPr>
          <w:rFonts w:ascii="Arial" w:hAnsi="Arial" w:cs="Arial"/>
          <w:color w:val="000000" w:themeColor="text1"/>
          <w:vertAlign w:val="superscript"/>
        </w:rPr>
        <w:t>1</w:t>
      </w:r>
      <w:r w:rsidRPr="00483096">
        <w:rPr>
          <w:rFonts w:ascii="Arial" w:hAnsi="Arial" w:cs="Arial"/>
          <w:color w:val="000000" w:themeColor="text1"/>
        </w:rPr>
        <w:t xml:space="preserve">, Susanne F </w:t>
      </w:r>
      <w:proofErr w:type="spellStart"/>
      <w:r w:rsidRPr="00483096">
        <w:rPr>
          <w:rFonts w:ascii="Arial" w:hAnsi="Arial" w:cs="Arial"/>
          <w:color w:val="000000" w:themeColor="text1"/>
        </w:rPr>
        <w:t>Awad</w:t>
      </w:r>
      <w:proofErr w:type="spellEnd"/>
      <w:r w:rsidRPr="00483096">
        <w:rPr>
          <w:rFonts w:ascii="Arial" w:hAnsi="Arial" w:cs="Arial"/>
          <w:color w:val="000000" w:themeColor="text1"/>
        </w:rPr>
        <w:t xml:space="preserve">, </w:t>
      </w:r>
      <w:r w:rsidRPr="00483096">
        <w:rPr>
          <w:rFonts w:ascii="Arial" w:hAnsi="Arial" w:cs="Arial"/>
          <w:color w:val="000000" w:themeColor="text1"/>
          <w:vertAlign w:val="superscript"/>
        </w:rPr>
        <w:t xml:space="preserve">2,3,4 </w:t>
      </w:r>
      <w:r w:rsidRPr="00483096">
        <w:rPr>
          <w:rFonts w:ascii="Arial" w:hAnsi="Arial" w:cs="Arial"/>
          <w:color w:val="000000" w:themeColor="text1"/>
        </w:rPr>
        <w:t xml:space="preserve">, Laith J Abu-Raddad </w:t>
      </w:r>
      <w:r w:rsidRPr="00483096">
        <w:rPr>
          <w:rFonts w:ascii="Arial" w:hAnsi="Arial" w:cs="Arial"/>
          <w:color w:val="000000" w:themeColor="text1"/>
          <w:vertAlign w:val="superscript"/>
        </w:rPr>
        <w:t>2,3,4</w:t>
      </w:r>
      <w:r w:rsidRPr="00483096">
        <w:rPr>
          <w:rFonts w:ascii="Arial" w:hAnsi="Arial" w:cs="Arial"/>
          <w:color w:val="000000" w:themeColor="text1"/>
        </w:rPr>
        <w:t>, Rifat Atun</w:t>
      </w:r>
      <w:r w:rsidRPr="00483096">
        <w:rPr>
          <w:rFonts w:ascii="Arial" w:hAnsi="Arial" w:cs="Arial"/>
          <w:color w:val="000000" w:themeColor="text1"/>
          <w:vertAlign w:val="superscript"/>
        </w:rPr>
        <w:t>1</w:t>
      </w:r>
      <w:r w:rsidRPr="00483096">
        <w:rPr>
          <w:rFonts w:ascii="Arial" w:hAnsi="Arial" w:cs="Arial"/>
          <w:color w:val="000000" w:themeColor="text1"/>
        </w:rPr>
        <w:t>, Eric Goosby</w:t>
      </w:r>
      <w:r w:rsidRPr="00483096">
        <w:rPr>
          <w:rFonts w:ascii="Arial" w:hAnsi="Arial" w:cs="Arial"/>
          <w:color w:val="000000" w:themeColor="text1"/>
          <w:vertAlign w:val="superscript"/>
        </w:rPr>
        <w:t>6,7</w:t>
      </w:r>
      <w:r w:rsidRPr="00483096">
        <w:rPr>
          <w:rFonts w:ascii="Arial" w:hAnsi="Arial" w:cs="Arial"/>
          <w:color w:val="000000" w:themeColor="text1"/>
        </w:rPr>
        <w:t>, Michael JA Reid</w:t>
      </w:r>
      <w:r w:rsidRPr="00483096">
        <w:rPr>
          <w:rFonts w:ascii="Arial" w:hAnsi="Arial" w:cs="Arial"/>
          <w:color w:val="000000" w:themeColor="text1"/>
          <w:vertAlign w:val="superscript"/>
        </w:rPr>
        <w:t>6,7</w:t>
      </w:r>
    </w:p>
    <w:p w14:paraId="3340DE26" w14:textId="77777777" w:rsidR="00F40018" w:rsidRPr="00F40018" w:rsidRDefault="00F40018" w:rsidP="00F40018">
      <w:pPr>
        <w:spacing w:line="240" w:lineRule="auto"/>
        <w:rPr>
          <w:rFonts w:cstheme="minorHAnsi"/>
          <w:b/>
          <w:bCs/>
          <w:color w:val="000000" w:themeColor="text1"/>
          <w:sz w:val="28"/>
          <w:szCs w:val="28"/>
          <w:vertAlign w:val="superscript"/>
        </w:rPr>
      </w:pPr>
    </w:p>
    <w:p w14:paraId="6C2882F0" w14:textId="77777777" w:rsidR="00F40018" w:rsidRPr="00C8660E" w:rsidRDefault="00F40018" w:rsidP="00F40018">
      <w:pPr>
        <w:pStyle w:val="ListParagraph"/>
        <w:numPr>
          <w:ilvl w:val="0"/>
          <w:numId w:val="19"/>
        </w:numPr>
        <w:spacing w:after="0"/>
        <w:ind w:left="360"/>
        <w:rPr>
          <w:rFonts w:cstheme="minorHAnsi"/>
          <w:color w:val="000000" w:themeColor="text1"/>
        </w:rPr>
      </w:pPr>
      <w:r w:rsidRPr="00C8660E">
        <w:rPr>
          <w:rFonts w:cstheme="minorHAnsi"/>
          <w:color w:val="000000" w:themeColor="text1"/>
        </w:rPr>
        <w:t>Harvard TH Chan School of Public Health, Harvard University</w:t>
      </w:r>
    </w:p>
    <w:p w14:paraId="693425D9" w14:textId="77777777" w:rsidR="00F40018" w:rsidRPr="00C8660E" w:rsidRDefault="00F40018" w:rsidP="00F40018">
      <w:pPr>
        <w:pStyle w:val="ListParagraph"/>
        <w:numPr>
          <w:ilvl w:val="0"/>
          <w:numId w:val="20"/>
        </w:numPr>
        <w:spacing w:after="0"/>
        <w:rPr>
          <w:rFonts w:cstheme="minorHAnsi"/>
          <w:color w:val="000000" w:themeColor="text1"/>
        </w:rPr>
      </w:pPr>
      <w:r w:rsidRPr="00C8660E">
        <w:rPr>
          <w:rFonts w:cstheme="minorHAnsi"/>
          <w:color w:val="000000" w:themeColor="text1"/>
        </w:rPr>
        <w:t>Huntington Avenue, Boston, MA 02115, USA.</w:t>
      </w:r>
    </w:p>
    <w:p w14:paraId="109CEEFF" w14:textId="77777777" w:rsidR="00F40018" w:rsidRPr="00C8660E" w:rsidRDefault="00F40018" w:rsidP="00F40018">
      <w:pPr>
        <w:pStyle w:val="ListParagraph"/>
        <w:numPr>
          <w:ilvl w:val="0"/>
          <w:numId w:val="19"/>
        </w:numPr>
        <w:spacing w:after="0" w:line="240" w:lineRule="auto"/>
        <w:ind w:left="360"/>
        <w:rPr>
          <w:rFonts w:cstheme="minorHAnsi"/>
          <w:color w:val="000000" w:themeColor="text1"/>
        </w:rPr>
      </w:pPr>
      <w:r w:rsidRPr="00C8660E">
        <w:rPr>
          <w:rFonts w:cstheme="minorHAnsi"/>
          <w:color w:val="000000" w:themeColor="text1"/>
        </w:rPr>
        <w:t xml:space="preserve">Infectious Diseases Epidemiology Group, Weill Cornell Medicine – Qatar, Cornell University </w:t>
      </w:r>
    </w:p>
    <w:p w14:paraId="6F895518" w14:textId="77777777" w:rsidR="00F40018" w:rsidRPr="00AF6E2E" w:rsidRDefault="00F40018" w:rsidP="00F40018">
      <w:pPr>
        <w:pStyle w:val="ListParagraph"/>
        <w:ind w:left="360"/>
        <w:rPr>
          <w:rFonts w:eastAsia="Times New Roman" w:cstheme="minorHAnsi"/>
          <w:lang w:val="fr-FR"/>
        </w:rPr>
      </w:pPr>
      <w:r w:rsidRPr="00AF6E2E">
        <w:rPr>
          <w:rFonts w:cstheme="minorHAnsi"/>
          <w:color w:val="000000" w:themeColor="text1"/>
          <w:lang w:val="fr-FR"/>
        </w:rPr>
        <w:t>Doha, Qatar, P. O. Box 24144, Doha, Qatar</w:t>
      </w:r>
    </w:p>
    <w:p w14:paraId="02927D39" w14:textId="77777777" w:rsidR="00F40018" w:rsidRPr="00086DA8" w:rsidRDefault="00F40018" w:rsidP="00F40018">
      <w:pPr>
        <w:pStyle w:val="ListParagraph"/>
        <w:numPr>
          <w:ilvl w:val="0"/>
          <w:numId w:val="19"/>
        </w:numPr>
        <w:spacing w:after="0" w:line="240" w:lineRule="auto"/>
        <w:ind w:left="360"/>
        <w:rPr>
          <w:rFonts w:cstheme="minorHAnsi"/>
        </w:rPr>
      </w:pPr>
      <w:r w:rsidRPr="00086DA8">
        <w:rPr>
          <w:rFonts w:cstheme="minorHAnsi"/>
        </w:rPr>
        <w:t>World Health Organization Collaborating Centre for Disease Epidemiology Analytics on HIV/AIDS, Sexually Transmitted Infections, and Viral Hepatitis, Weill Cornell Medicine – Qatar</w:t>
      </w:r>
    </w:p>
    <w:p w14:paraId="48DA9ECA" w14:textId="77777777" w:rsidR="00F40018" w:rsidRPr="00AF6E2E" w:rsidRDefault="00F40018" w:rsidP="00F40018">
      <w:pPr>
        <w:pStyle w:val="ListParagraph"/>
        <w:ind w:left="360"/>
        <w:rPr>
          <w:rFonts w:cstheme="minorHAnsi"/>
          <w:lang w:val="fr-FR"/>
        </w:rPr>
      </w:pPr>
      <w:r w:rsidRPr="00AF6E2E">
        <w:rPr>
          <w:rFonts w:cstheme="minorHAnsi"/>
          <w:lang w:val="fr-FR"/>
        </w:rPr>
        <w:t xml:space="preserve">Doha, Qatar, </w:t>
      </w:r>
      <w:r w:rsidRPr="00AF6E2E">
        <w:rPr>
          <w:rFonts w:cstheme="minorHAnsi"/>
          <w:color w:val="000000" w:themeColor="text1"/>
          <w:lang w:val="fr-FR"/>
        </w:rPr>
        <w:t>P. O. Box 24144, Doha, Qatar</w:t>
      </w:r>
    </w:p>
    <w:p w14:paraId="060A963D" w14:textId="77777777" w:rsidR="00F40018" w:rsidRPr="00086DA8" w:rsidRDefault="00F40018" w:rsidP="00F40018">
      <w:pPr>
        <w:pStyle w:val="ListParagraph"/>
        <w:numPr>
          <w:ilvl w:val="0"/>
          <w:numId w:val="19"/>
        </w:numPr>
        <w:spacing w:after="0" w:line="240" w:lineRule="auto"/>
        <w:ind w:left="360"/>
        <w:rPr>
          <w:rFonts w:cstheme="minorHAnsi"/>
        </w:rPr>
      </w:pPr>
      <w:r w:rsidRPr="00C8660E">
        <w:rPr>
          <w:rFonts w:cstheme="minorHAnsi"/>
          <w:color w:val="000000" w:themeColor="text1"/>
        </w:rPr>
        <w:t xml:space="preserve">Department of Population Health Sciences, Weill Cornell Medicine, Cornell University, </w:t>
      </w:r>
    </w:p>
    <w:p w14:paraId="5F324706" w14:textId="77777777" w:rsidR="00F40018" w:rsidRPr="00086DA8" w:rsidRDefault="00F40018" w:rsidP="00F40018">
      <w:pPr>
        <w:pStyle w:val="ListParagraph"/>
        <w:ind w:left="360"/>
        <w:rPr>
          <w:rFonts w:cstheme="minorHAnsi"/>
        </w:rPr>
      </w:pPr>
      <w:r w:rsidRPr="00C8660E">
        <w:rPr>
          <w:rFonts w:cstheme="minorHAnsi"/>
          <w:color w:val="000000" w:themeColor="text1"/>
        </w:rPr>
        <w:t>New York, NY 10065, USA</w:t>
      </w:r>
    </w:p>
    <w:p w14:paraId="26DB991B" w14:textId="77777777" w:rsidR="00F40018" w:rsidRPr="00C8660E" w:rsidRDefault="00F40018" w:rsidP="00F40018">
      <w:pPr>
        <w:pStyle w:val="ListParagraph"/>
        <w:numPr>
          <w:ilvl w:val="0"/>
          <w:numId w:val="19"/>
        </w:numPr>
        <w:spacing w:after="0" w:line="240" w:lineRule="auto"/>
        <w:ind w:left="360"/>
        <w:rPr>
          <w:rFonts w:cstheme="minorHAnsi"/>
          <w:color w:val="000000" w:themeColor="text1"/>
        </w:rPr>
      </w:pPr>
      <w:r w:rsidRPr="00C8660E">
        <w:rPr>
          <w:rFonts w:cstheme="minorHAnsi"/>
          <w:color w:val="000000" w:themeColor="text1"/>
        </w:rPr>
        <w:t>University of California, San Francisco, Institute for Global Health Sciences</w:t>
      </w:r>
    </w:p>
    <w:p w14:paraId="518D782D" w14:textId="77777777" w:rsidR="00F40018" w:rsidRPr="00C8660E" w:rsidRDefault="00F40018" w:rsidP="00F40018">
      <w:pPr>
        <w:pStyle w:val="ListParagraph"/>
        <w:ind w:left="360"/>
        <w:rPr>
          <w:rFonts w:cstheme="minorHAnsi"/>
          <w:color w:val="000000" w:themeColor="text1"/>
        </w:rPr>
      </w:pPr>
      <w:r w:rsidRPr="00C8660E">
        <w:rPr>
          <w:rFonts w:cstheme="minorHAnsi"/>
          <w:color w:val="000000" w:themeColor="text1"/>
        </w:rPr>
        <w:t>550 16th Street, Third Floor, San Francisco, CA 94158, USA</w:t>
      </w:r>
    </w:p>
    <w:p w14:paraId="3B48283F" w14:textId="77777777" w:rsidR="00F40018" w:rsidRPr="00C8660E" w:rsidRDefault="00F40018" w:rsidP="00F40018">
      <w:pPr>
        <w:pStyle w:val="ListParagraph"/>
        <w:numPr>
          <w:ilvl w:val="0"/>
          <w:numId w:val="19"/>
        </w:numPr>
        <w:spacing w:after="0"/>
        <w:ind w:left="360"/>
        <w:rPr>
          <w:rFonts w:cstheme="minorHAnsi"/>
          <w:color w:val="000000" w:themeColor="text1"/>
        </w:rPr>
      </w:pPr>
      <w:r w:rsidRPr="00C8660E">
        <w:rPr>
          <w:rFonts w:cstheme="minorHAnsi"/>
          <w:color w:val="000000" w:themeColor="text1"/>
        </w:rPr>
        <w:t>University of California, San Francisco, School of Medicine</w:t>
      </w:r>
    </w:p>
    <w:p w14:paraId="5A3CC0D1" w14:textId="77777777" w:rsidR="00F40018" w:rsidRPr="00C8660E" w:rsidRDefault="00F40018" w:rsidP="00F40018">
      <w:pPr>
        <w:pStyle w:val="ListParagraph"/>
        <w:numPr>
          <w:ilvl w:val="0"/>
          <w:numId w:val="21"/>
        </w:numPr>
        <w:spacing w:after="0"/>
        <w:rPr>
          <w:rFonts w:cstheme="minorHAnsi"/>
          <w:color w:val="000000" w:themeColor="text1"/>
        </w:rPr>
      </w:pPr>
      <w:r w:rsidRPr="00C8660E">
        <w:rPr>
          <w:rFonts w:cstheme="minorHAnsi"/>
          <w:color w:val="000000" w:themeColor="text1"/>
        </w:rPr>
        <w:t>Parnassus Avenue, San Francisco, CA 94143-0410, USA</w:t>
      </w:r>
    </w:p>
    <w:p w14:paraId="5C9D6E5E" w14:textId="77777777" w:rsidR="00701276" w:rsidRDefault="00701276" w:rsidP="00701276">
      <w:pPr>
        <w:spacing w:line="240" w:lineRule="auto"/>
        <w:rPr>
          <w:rFonts w:cstheme="minorHAnsi"/>
          <w:i/>
          <w:iCs/>
          <w:color w:val="000000" w:themeColor="text1"/>
          <w:sz w:val="20"/>
          <w:szCs w:val="20"/>
        </w:rPr>
      </w:pPr>
    </w:p>
    <w:p w14:paraId="4E33D39C" w14:textId="77777777" w:rsidR="00D05B9D" w:rsidRDefault="00D05B9D">
      <w:r>
        <w:br w:type="page"/>
      </w:r>
    </w:p>
    <w:p w14:paraId="3549D6B9" w14:textId="40E35ADF" w:rsidR="004E70A1" w:rsidRPr="008569EB" w:rsidRDefault="008569EB" w:rsidP="00D86B74">
      <w:pPr>
        <w:spacing w:before="120" w:after="0" w:line="360" w:lineRule="auto"/>
        <w:rPr>
          <w:rFonts w:ascii="Times New Roman" w:hAnsi="Times New Roman" w:cs="Times New Roman"/>
          <w:b/>
          <w:sz w:val="24"/>
          <w:szCs w:val="20"/>
          <w:lang w:val="en-GB"/>
        </w:rPr>
      </w:pPr>
      <w:r>
        <w:rPr>
          <w:rFonts w:ascii="Times New Roman" w:hAnsi="Times New Roman" w:cs="Times New Roman"/>
          <w:b/>
          <w:sz w:val="24"/>
          <w:szCs w:val="20"/>
          <w:lang w:val="en-GB"/>
        </w:rPr>
        <w:lastRenderedPageBreak/>
        <w:t xml:space="preserve">Section A: </w:t>
      </w:r>
      <w:bookmarkEnd w:id="0"/>
      <w:bookmarkEnd w:id="1"/>
      <w:r w:rsidR="00D92D8D">
        <w:rPr>
          <w:rFonts w:ascii="Times New Roman" w:hAnsi="Times New Roman" w:cs="Times New Roman"/>
          <w:b/>
          <w:sz w:val="24"/>
          <w:szCs w:val="20"/>
          <w:lang w:val="en-GB"/>
        </w:rPr>
        <w:t>Vaccine Impact Modelling</w:t>
      </w:r>
    </w:p>
    <w:p w14:paraId="5CB921D4" w14:textId="77777777" w:rsidR="00D92D8D" w:rsidRDefault="00D92D8D" w:rsidP="00D92D8D">
      <w:pPr>
        <w:pStyle w:val="p"/>
        <w:spacing w:after="0" w:line="360" w:lineRule="auto"/>
        <w:ind w:firstLine="0"/>
        <w:jc w:val="both"/>
        <w:rPr>
          <w:sz w:val="22"/>
          <w:szCs w:val="18"/>
        </w:rPr>
      </w:pPr>
    </w:p>
    <w:p w14:paraId="0075C37A" w14:textId="6E3A8AF2" w:rsidR="00CF47F9" w:rsidRPr="00D86B74" w:rsidRDefault="00714FBE" w:rsidP="00D86B74">
      <w:pPr>
        <w:pStyle w:val="p"/>
        <w:spacing w:after="0" w:line="360" w:lineRule="auto"/>
        <w:ind w:firstLine="0"/>
        <w:jc w:val="both"/>
        <w:rPr>
          <w:sz w:val="22"/>
          <w:szCs w:val="18"/>
        </w:rPr>
      </w:pPr>
      <w:r w:rsidRPr="00D86B74">
        <w:rPr>
          <w:sz w:val="22"/>
          <w:szCs w:val="18"/>
        </w:rPr>
        <w:t xml:space="preserve">The model was described by </w:t>
      </w:r>
      <w:r w:rsidRPr="00D86B74">
        <w:rPr>
          <w:sz w:val="22"/>
          <w:szCs w:val="22"/>
        </w:rPr>
        <w:t>sets of coupled nonlinear ordinary differential equations (Section 1.</w:t>
      </w:r>
      <w:r w:rsidR="00251C51" w:rsidRPr="00D86B74">
        <w:rPr>
          <w:sz w:val="22"/>
          <w:szCs w:val="22"/>
        </w:rPr>
        <w:t>2</w:t>
      </w:r>
      <w:r w:rsidRPr="00D86B74">
        <w:rPr>
          <w:sz w:val="22"/>
          <w:szCs w:val="22"/>
        </w:rPr>
        <w:t xml:space="preserve">) </w:t>
      </w:r>
      <w:r w:rsidR="00251C51" w:rsidRPr="00D86B74">
        <w:rPr>
          <w:sz w:val="22"/>
          <w:szCs w:val="22"/>
        </w:rPr>
        <w:t xml:space="preserve">and </w:t>
      </w:r>
      <w:r w:rsidRPr="00D86B74">
        <w:rPr>
          <w:sz w:val="22"/>
          <w:szCs w:val="22"/>
        </w:rPr>
        <w:t>coded in MATLAB 201</w:t>
      </w:r>
      <w:r w:rsidR="00AF0A3B" w:rsidRPr="00D86B74">
        <w:rPr>
          <w:sz w:val="22"/>
          <w:szCs w:val="22"/>
        </w:rPr>
        <w:t>9</w:t>
      </w:r>
      <w:r w:rsidRPr="00D86B74">
        <w:rPr>
          <w:sz w:val="22"/>
          <w:szCs w:val="22"/>
        </w:rPr>
        <w:t>a</w:t>
      </w:r>
      <w:r w:rsidR="00755233">
        <w:rPr>
          <w:sz w:val="22"/>
          <w:szCs w:val="22"/>
        </w:rPr>
        <w:fldChar w:fldCharType="begin"/>
      </w:r>
      <w:r w:rsidR="00755233">
        <w:rPr>
          <w:sz w:val="22"/>
          <w:szCs w:val="22"/>
        </w:rPr>
        <w:instrText xml:space="preserve"> ADDIN ZOTERO_ITEM CSL_CITATION {"citationID":"KqMfsTjL","properties":{"formattedCitation":"\\super 1\\nosupersub{}","plainCitation":"1","noteIndex":0},"citationItems":[{"id":28978,"uris":["http://zotero.org/users/local/p8g0WsVO/items/9IITAYPA"],"uri":["http://zotero.org/users/local/p8g0WsVO/items/9IITAYPA"],"itemData":{"id":28978,"type":"book","language":"en","note":"Google-Books-ID: CPhQAAAAMAAJ","number-of-pages":"198","publisher":"MathWorks, Incorporated","source":"Google Books","title":"MATLAB: The Language of Technical Computing. Getting started with MATLAB, version 7","title-short":"MATLAB","issued":{"date-parts":[["2005"]]}}}],"schema":"https://github.com/citation-style-language/schema/raw/master/csl-citation.json"} </w:instrText>
      </w:r>
      <w:r w:rsidR="00755233">
        <w:rPr>
          <w:sz w:val="22"/>
          <w:szCs w:val="22"/>
        </w:rPr>
        <w:fldChar w:fldCharType="separate"/>
      </w:r>
      <w:r w:rsidR="00755233" w:rsidRPr="00755233">
        <w:rPr>
          <w:sz w:val="22"/>
          <w:vertAlign w:val="superscript"/>
        </w:rPr>
        <w:t>1</w:t>
      </w:r>
      <w:r w:rsidR="00755233">
        <w:rPr>
          <w:sz w:val="22"/>
          <w:szCs w:val="22"/>
        </w:rPr>
        <w:fldChar w:fldCharType="end"/>
      </w:r>
      <w:r w:rsidR="009759E2" w:rsidRPr="00D86B74">
        <w:rPr>
          <w:sz w:val="22"/>
          <w:szCs w:val="22"/>
        </w:rPr>
        <w:t>.</w:t>
      </w:r>
      <w:r w:rsidRPr="00D86B74">
        <w:rPr>
          <w:sz w:val="22"/>
          <w:szCs w:val="18"/>
        </w:rPr>
        <w:t xml:space="preserve"> </w:t>
      </w:r>
      <w:r w:rsidRPr="00D86B74">
        <w:rPr>
          <w:sz w:val="22"/>
          <w:szCs w:val="22"/>
        </w:rPr>
        <w:t xml:space="preserve">We stratified the population </w:t>
      </w:r>
      <w:r w:rsidR="00251C51" w:rsidRPr="00D86B74">
        <w:rPr>
          <w:sz w:val="22"/>
          <w:szCs w:val="22"/>
        </w:rPr>
        <w:t xml:space="preserve">of interest (India or </w:t>
      </w:r>
      <w:r w:rsidR="00506592" w:rsidRPr="00506592">
        <w:rPr>
          <w:sz w:val="22"/>
          <w:szCs w:val="22"/>
        </w:rPr>
        <w:t>Indonesia</w:t>
      </w:r>
      <w:r w:rsidR="00251C51" w:rsidRPr="00D86B74">
        <w:rPr>
          <w:sz w:val="22"/>
          <w:szCs w:val="22"/>
        </w:rPr>
        <w:t>)</w:t>
      </w:r>
      <w:r w:rsidRPr="00D86B74">
        <w:rPr>
          <w:sz w:val="22"/>
          <w:szCs w:val="22"/>
        </w:rPr>
        <w:t xml:space="preserve"> into compartments according to five-year age groups (indexed </w:t>
      </w:r>
      <w:r w:rsidR="0083391B" w:rsidRPr="00CA6A29">
        <w:rPr>
          <w:noProof/>
          <w:position w:val="-8"/>
        </w:rPr>
        <w:object w:dxaOrig="1180" w:dyaOrig="279" w14:anchorId="7D755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alt="" style="width:59.45pt;height:14.85pt;mso-width-percent:0;mso-height-percent:0;mso-width-percent:0;mso-height-percent:0" o:ole="">
            <v:imagedata r:id="rId8" o:title=""/>
          </v:shape>
          <o:OLEObject Type="Embed" ProgID="Equation.DSMT4" ShapeID="_x0000_i1148" DrawAspect="Content" ObjectID="_1675249076" r:id="rId9"/>
        </w:object>
      </w:r>
      <w:r w:rsidRPr="00D86B74">
        <w:rPr>
          <w:sz w:val="22"/>
          <w:szCs w:val="22"/>
        </w:rPr>
        <w:t xml:space="preserve"> representing the 0—99 age cohort), and TB progression states of susceptible, latent TB infection, TB disease, treated TB disease, and recovered</w:t>
      </w:r>
      <w:r w:rsidRPr="00D86B74">
        <w:rPr>
          <w:sz w:val="22"/>
          <w:szCs w:val="18"/>
        </w:rPr>
        <w:t xml:space="preserve"> (</w:t>
      </w:r>
      <w:r w:rsidR="00B872D6" w:rsidRPr="00D86B74">
        <w:rPr>
          <w:sz w:val="22"/>
          <w:szCs w:val="18"/>
        </w:rPr>
        <w:t xml:space="preserve">Figure </w:t>
      </w:r>
      <w:r w:rsidR="00177AF9" w:rsidRPr="00D86B74">
        <w:rPr>
          <w:sz w:val="22"/>
          <w:szCs w:val="18"/>
        </w:rPr>
        <w:t>S1</w:t>
      </w:r>
      <w:r w:rsidRPr="00D86B74">
        <w:rPr>
          <w:sz w:val="22"/>
          <w:szCs w:val="18"/>
        </w:rPr>
        <w:t xml:space="preserve">). </w:t>
      </w:r>
    </w:p>
    <w:p w14:paraId="40D8DE09" w14:textId="77777777" w:rsidR="00330A2D" w:rsidRPr="009728D2" w:rsidRDefault="00B872D6" w:rsidP="00D86B74">
      <w:pPr>
        <w:spacing w:before="120" w:after="0" w:line="360" w:lineRule="auto"/>
        <w:rPr>
          <w:rFonts w:ascii="Times New Roman" w:eastAsia="Times New Roman" w:hAnsi="Times New Roman" w:cs="Times New Roman"/>
          <w:b/>
          <w:noProof/>
          <w:sz w:val="24"/>
          <w:szCs w:val="24"/>
        </w:rPr>
      </w:pPr>
      <w:r>
        <w:rPr>
          <w:rFonts w:ascii="Times New Roman" w:eastAsia="Times New Roman" w:hAnsi="Times New Roman" w:cs="Times New Roman"/>
          <w:b/>
          <w:sz w:val="24"/>
          <w:szCs w:val="24"/>
          <w:lang w:val="en-GB"/>
        </w:rPr>
        <w:t>Figure S</w:t>
      </w:r>
      <w:r w:rsidR="00330A2D" w:rsidRPr="009728D2">
        <w:rPr>
          <w:rFonts w:ascii="Times New Roman" w:eastAsia="Times New Roman" w:hAnsi="Times New Roman" w:cs="Times New Roman"/>
          <w:b/>
          <w:sz w:val="24"/>
          <w:szCs w:val="24"/>
          <w:lang w:val="en-GB"/>
        </w:rPr>
        <w:t xml:space="preserve">1. </w:t>
      </w:r>
      <w:r w:rsidR="009D55E3" w:rsidRPr="002F028E">
        <w:rPr>
          <w:rFonts w:ascii="Times New Roman" w:eastAsia="Times New Roman" w:hAnsi="Times New Roman" w:cs="Times New Roman"/>
          <w:b/>
          <w:bCs/>
          <w:sz w:val="24"/>
          <w:szCs w:val="24"/>
          <w:lang w:val="en-GB"/>
        </w:rPr>
        <w:t xml:space="preserve">A </w:t>
      </w:r>
      <w:r w:rsidR="000B2EF0" w:rsidRPr="002F028E">
        <w:rPr>
          <w:rFonts w:ascii="Times New Roman" w:eastAsia="Times New Roman" w:hAnsi="Times New Roman" w:cs="Times New Roman"/>
          <w:b/>
          <w:bCs/>
          <w:sz w:val="24"/>
          <w:szCs w:val="24"/>
          <w:lang w:val="en-GB"/>
        </w:rPr>
        <w:t>schematic diagram of the T</w:t>
      </w:r>
      <w:r w:rsidR="00AF0A3B">
        <w:rPr>
          <w:rFonts w:ascii="Times New Roman" w:eastAsia="Times New Roman" w:hAnsi="Times New Roman" w:cs="Times New Roman"/>
          <w:b/>
          <w:bCs/>
          <w:sz w:val="24"/>
          <w:szCs w:val="24"/>
          <w:lang w:val="en-GB"/>
        </w:rPr>
        <w:t xml:space="preserve">B </w:t>
      </w:r>
      <w:r w:rsidR="000B2EF0" w:rsidRPr="002F028E">
        <w:rPr>
          <w:rFonts w:ascii="Times New Roman" w:eastAsia="Times New Roman" w:hAnsi="Times New Roman" w:cs="Times New Roman"/>
          <w:b/>
          <w:bCs/>
          <w:sz w:val="24"/>
          <w:szCs w:val="24"/>
          <w:lang w:val="en-GB"/>
        </w:rPr>
        <w:t>model.</w:t>
      </w:r>
      <w:r w:rsidR="000B2EF0">
        <w:rPr>
          <w:rFonts w:ascii="Times New Roman" w:eastAsia="Times New Roman" w:hAnsi="Times New Roman" w:cs="Times New Roman"/>
          <w:sz w:val="24"/>
          <w:szCs w:val="24"/>
          <w:lang w:val="en-GB"/>
        </w:rPr>
        <w:t xml:space="preserve"> </w:t>
      </w:r>
    </w:p>
    <w:p w14:paraId="5ACADA62" w14:textId="77777777" w:rsidR="00506592" w:rsidRPr="002D127D" w:rsidRDefault="00506592" w:rsidP="00506592">
      <w:pPr>
        <w:spacing w:line="360" w:lineRule="auto"/>
        <w:jc w:val="center"/>
        <w:rPr>
          <w:rFonts w:asciiTheme="majorBidi" w:hAnsiTheme="majorBidi" w:cstheme="majorBidi"/>
        </w:rPr>
      </w:pPr>
      <w:r w:rsidRPr="002D127D">
        <w:rPr>
          <w:rFonts w:asciiTheme="majorBidi" w:hAnsiTheme="majorBidi" w:cstheme="majorBidi"/>
          <w:noProof/>
        </w:rPr>
        <w:drawing>
          <wp:inline distT="0" distB="0" distL="0" distR="0" wp14:anchorId="332406DE" wp14:editId="0828534F">
            <wp:extent cx="5669280" cy="4712208"/>
            <wp:effectExtent l="0" t="0" r="762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9280" cy="4712208"/>
                    </a:xfrm>
                    <a:prstGeom prst="rect">
                      <a:avLst/>
                    </a:prstGeom>
                    <a:noFill/>
                    <a:ln>
                      <a:noFill/>
                    </a:ln>
                  </pic:spPr>
                </pic:pic>
              </a:graphicData>
            </a:graphic>
          </wp:inline>
        </w:drawing>
      </w:r>
    </w:p>
    <w:p w14:paraId="3328C21C" w14:textId="77777777" w:rsidR="00F729A7" w:rsidRPr="009728D2" w:rsidRDefault="00F729A7" w:rsidP="00D86B74">
      <w:pPr>
        <w:spacing w:before="120" w:after="0" w:line="360" w:lineRule="auto"/>
        <w:rPr>
          <w:rFonts w:ascii="Times New Roman" w:eastAsia="Times New Roman" w:hAnsi="Times New Roman" w:cs="Times New Roman"/>
          <w:b/>
          <w:sz w:val="24"/>
          <w:szCs w:val="24"/>
          <w:lang w:val="en-GB"/>
        </w:rPr>
      </w:pPr>
      <w:r w:rsidRPr="009728D2">
        <w:rPr>
          <w:rFonts w:ascii="Times New Roman" w:eastAsia="Times New Roman" w:hAnsi="Times New Roman" w:cs="Times New Roman"/>
          <w:b/>
          <w:sz w:val="24"/>
          <w:szCs w:val="24"/>
          <w:lang w:val="en-GB"/>
        </w:rPr>
        <w:br w:type="page"/>
      </w:r>
    </w:p>
    <w:p w14:paraId="3DAB8437" w14:textId="77777777" w:rsidR="00185B58" w:rsidRPr="009728D2" w:rsidRDefault="00E307CF" w:rsidP="00D86B74">
      <w:pPr>
        <w:pStyle w:val="ListParagraph"/>
        <w:numPr>
          <w:ilvl w:val="1"/>
          <w:numId w:val="12"/>
        </w:numPr>
        <w:spacing w:before="120" w:after="0" w:line="360" w:lineRule="auto"/>
        <w:ind w:left="720" w:hanging="720"/>
        <w:contextualSpacing w:val="0"/>
        <w:rPr>
          <w:rFonts w:ascii="Times New Roman" w:eastAsia="Times New Roman" w:hAnsi="Times New Roman" w:cs="Times New Roman"/>
          <w:b/>
          <w:sz w:val="24"/>
          <w:szCs w:val="24"/>
          <w:lang w:val="en-GB"/>
        </w:rPr>
      </w:pPr>
      <w:r w:rsidRPr="009728D2">
        <w:rPr>
          <w:rFonts w:ascii="Times New Roman" w:eastAsia="Times New Roman" w:hAnsi="Times New Roman" w:cs="Times New Roman"/>
          <w:b/>
          <w:sz w:val="24"/>
          <w:szCs w:val="24"/>
          <w:lang w:val="en-GB"/>
        </w:rPr>
        <w:lastRenderedPageBreak/>
        <w:t xml:space="preserve">TB transmission dynamics </w:t>
      </w:r>
    </w:p>
    <w:p w14:paraId="77FBF5DD" w14:textId="5D062A3A" w:rsidR="00D137D6" w:rsidRPr="00D86B74" w:rsidRDefault="0050614A" w:rsidP="00D86B74">
      <w:pPr>
        <w:pStyle w:val="p"/>
        <w:spacing w:after="0" w:line="360" w:lineRule="auto"/>
        <w:ind w:firstLine="0"/>
        <w:jc w:val="both"/>
        <w:rPr>
          <w:sz w:val="22"/>
          <w:szCs w:val="22"/>
        </w:rPr>
      </w:pPr>
      <w:r w:rsidRPr="00D86B74">
        <w:rPr>
          <w:sz w:val="22"/>
          <w:szCs w:val="22"/>
        </w:rPr>
        <w:t>All i</w:t>
      </w:r>
      <w:r w:rsidR="004E70A1" w:rsidRPr="00D86B74">
        <w:rPr>
          <w:sz w:val="22"/>
          <w:szCs w:val="22"/>
        </w:rPr>
        <w:t xml:space="preserve">ndividuals </w:t>
      </w:r>
      <w:r w:rsidR="00E918EB" w:rsidRPr="00D86B74">
        <w:rPr>
          <w:sz w:val="22"/>
          <w:szCs w:val="22"/>
        </w:rPr>
        <w:t>were</w:t>
      </w:r>
      <w:r w:rsidR="00F62C57" w:rsidRPr="00D86B74">
        <w:rPr>
          <w:sz w:val="22"/>
          <w:szCs w:val="22"/>
        </w:rPr>
        <w:t xml:space="preserve"> born</w:t>
      </w:r>
      <w:r w:rsidR="00231F16" w:rsidRPr="00D86B74">
        <w:rPr>
          <w:sz w:val="22"/>
          <w:szCs w:val="22"/>
        </w:rPr>
        <w:t xml:space="preserve"> </w:t>
      </w:r>
      <w:r w:rsidR="00D137D6" w:rsidRPr="00D86B74">
        <w:rPr>
          <w:sz w:val="22"/>
          <w:szCs w:val="22"/>
        </w:rPr>
        <w:t>susceptible to TB (</w:t>
      </w:r>
      <w:bookmarkStart w:id="2" w:name="MTBlankEqn"/>
      <w:r w:rsidR="0083391B" w:rsidRPr="00CA6A29">
        <w:rPr>
          <w:noProof/>
          <w:position w:val="-6"/>
        </w:rPr>
        <w:object w:dxaOrig="180" w:dyaOrig="260" w14:anchorId="589DDE97">
          <v:shape id="_x0000_i1147" type="#_x0000_t75" alt="" style="width:9.7pt;height:12.55pt;mso-width-percent:0;mso-height-percent:0;mso-width-percent:0;mso-height-percent:0" o:ole="">
            <v:imagedata r:id="rId11" o:title=""/>
          </v:shape>
          <o:OLEObject Type="Embed" ProgID="Equation.DSMT4" ShapeID="_x0000_i1147" DrawAspect="Content" ObjectID="_1675249077" r:id="rId12"/>
        </w:object>
      </w:r>
      <w:bookmarkEnd w:id="2"/>
      <w:proofErr w:type="gramStart"/>
      <w:r w:rsidR="00D137D6" w:rsidRPr="00D86B74">
        <w:rPr>
          <w:sz w:val="22"/>
          <w:szCs w:val="22"/>
        </w:rPr>
        <w:t>), and</w:t>
      </w:r>
      <w:proofErr w:type="gramEnd"/>
      <w:r w:rsidR="00D137D6" w:rsidRPr="00D86B74">
        <w:rPr>
          <w:sz w:val="22"/>
          <w:szCs w:val="22"/>
        </w:rPr>
        <w:t xml:space="preserve"> aged </w:t>
      </w:r>
      <w:r w:rsidR="00251C51" w:rsidRPr="00D86B74">
        <w:rPr>
          <w:sz w:val="22"/>
          <w:szCs w:val="22"/>
        </w:rPr>
        <w:t xml:space="preserve">from one age group to the next age group </w:t>
      </w:r>
      <w:r w:rsidR="00D137D6" w:rsidRPr="00D86B74">
        <w:rPr>
          <w:sz w:val="22"/>
          <w:szCs w:val="22"/>
        </w:rPr>
        <w:t xml:space="preserve">at a transition rate </w:t>
      </w:r>
      <w:r w:rsidR="0083391B" w:rsidRPr="004B0916">
        <w:rPr>
          <w:noProof/>
          <w:position w:val="-10"/>
        </w:rPr>
        <w:object w:dxaOrig="200" w:dyaOrig="260" w14:anchorId="242DF479">
          <v:shape id="_x0000_i1146" type="#_x0000_t75" alt="" style="width:10.3pt;height:13.15pt;mso-width-percent:0;mso-height-percent:0;mso-width-percent:0;mso-height-percent:0" o:ole="">
            <v:imagedata r:id="rId13" o:title=""/>
          </v:shape>
          <o:OLEObject Type="Embed" ProgID="Equation.DSMT4" ShapeID="_x0000_i1146" DrawAspect="Content" ObjectID="_1675249078" r:id="rId14"/>
        </w:object>
      </w:r>
      <w:r w:rsidR="00D137D6" w:rsidRPr="00D86B74">
        <w:rPr>
          <w:sz w:val="22"/>
          <w:szCs w:val="22"/>
        </w:rPr>
        <w:t xml:space="preserve">. </w:t>
      </w:r>
      <w:r w:rsidR="00AF0A3B" w:rsidRPr="00D86B74">
        <w:rPr>
          <w:sz w:val="22"/>
          <w:szCs w:val="22"/>
        </w:rPr>
        <w:t>A</w:t>
      </w:r>
      <w:r w:rsidR="00D137D6" w:rsidRPr="00D86B74">
        <w:rPr>
          <w:sz w:val="22"/>
          <w:szCs w:val="22"/>
        </w:rPr>
        <w:t xml:space="preserve">ll individuals </w:t>
      </w:r>
      <w:r w:rsidR="00D137D6" w:rsidRPr="00D86B74">
        <w:rPr>
          <w:iCs/>
          <w:sz w:val="22"/>
          <w:szCs w:val="22"/>
        </w:rPr>
        <w:t xml:space="preserve">were </w:t>
      </w:r>
      <w:r w:rsidR="00D137D6" w:rsidRPr="00D86B74">
        <w:rPr>
          <w:sz w:val="22"/>
          <w:szCs w:val="22"/>
        </w:rPr>
        <w:t xml:space="preserve">at risk of natural mortality at a rate </w:t>
      </w:r>
      <w:r w:rsidR="0083391B" w:rsidRPr="000F3DFF">
        <w:rPr>
          <w:noProof/>
          <w:position w:val="-10"/>
        </w:rPr>
        <w:object w:dxaOrig="420" w:dyaOrig="300" w14:anchorId="276AC0E2">
          <v:shape id="_x0000_i1145" type="#_x0000_t75" alt="" style="width:22.3pt;height:14.85pt;mso-width-percent:0;mso-height-percent:0;mso-width-percent:0;mso-height-percent:0" o:ole="">
            <v:imagedata r:id="rId15" o:title=""/>
          </v:shape>
          <o:OLEObject Type="Embed" ProgID="Equation.DSMT4" ShapeID="_x0000_i1145" DrawAspect="Content" ObjectID="_1675249079" r:id="rId16"/>
        </w:object>
      </w:r>
      <w:r w:rsidR="00D137D6" w:rsidRPr="00D86B74">
        <w:rPr>
          <w:sz w:val="22"/>
          <w:szCs w:val="22"/>
        </w:rPr>
        <w:t xml:space="preserve">. TB susceptible individuals were at risk of TB infection at a rate </w:t>
      </w:r>
      <w:r w:rsidR="0083391B" w:rsidRPr="00803951">
        <w:rPr>
          <w:noProof/>
          <w:position w:val="-10"/>
          <w:sz w:val="22"/>
          <w:szCs w:val="22"/>
        </w:rPr>
        <w:object w:dxaOrig="460" w:dyaOrig="320" w14:anchorId="6930FAA6">
          <v:shape id="_x0000_i1144" type="#_x0000_t75" alt="" style="width:21.15pt;height:15.45pt;mso-width-percent:0;mso-height-percent:0;mso-width-percent:0;mso-height-percent:0" o:ole="">
            <v:imagedata r:id="rId17" o:title=""/>
          </v:shape>
          <o:OLEObject Type="Embed" ProgID="Equation.DSMT4" ShapeID="_x0000_i1144" DrawAspect="Content" ObjectID="_1675249080" r:id="rId18"/>
        </w:object>
      </w:r>
      <w:r w:rsidR="00D137D6" w:rsidRPr="00D86B74">
        <w:rPr>
          <w:sz w:val="22"/>
          <w:szCs w:val="22"/>
        </w:rPr>
        <w:t xml:space="preserve"> (force of infection). A proportion </w:t>
      </w:r>
      <w:r w:rsidR="0083391B" w:rsidRPr="00803951">
        <w:rPr>
          <w:noProof/>
          <w:position w:val="-10"/>
          <w:sz w:val="22"/>
          <w:szCs w:val="22"/>
        </w:rPr>
        <w:object w:dxaOrig="240" w:dyaOrig="260" w14:anchorId="4566A157">
          <v:shape id="_x0000_i1143" type="#_x0000_t75" alt="" style="width:14.3pt;height:13.15pt;mso-width-percent:0;mso-height-percent:0;mso-width-percent:0;mso-height-percent:0" o:ole="">
            <v:imagedata r:id="rId19" o:title=""/>
          </v:shape>
          <o:OLEObject Type="Embed" ProgID="Equation.DSMT4" ShapeID="_x0000_i1143" DrawAspect="Content" ObjectID="_1675249081" r:id="rId20"/>
        </w:object>
      </w:r>
      <w:r w:rsidR="00D137D6" w:rsidRPr="00D86B74">
        <w:rPr>
          <w:sz w:val="22"/>
          <w:szCs w:val="22"/>
        </w:rPr>
        <w:t xml:space="preserve"> and </w:t>
      </w:r>
      <w:r w:rsidR="0083391B" w:rsidRPr="00803951">
        <w:rPr>
          <w:noProof/>
          <w:position w:val="-10"/>
          <w:sz w:val="22"/>
          <w:szCs w:val="22"/>
        </w:rPr>
        <w:object w:dxaOrig="520" w:dyaOrig="320" w14:anchorId="24F3FD16">
          <v:shape id="_x0000_i1142" type="#_x0000_t75" alt="" style="width:26.3pt;height:15.45pt;mso-width-percent:0;mso-height-percent:0;mso-width-percent:0;mso-height-percent:0" o:ole="">
            <v:imagedata r:id="rId21" o:title=""/>
          </v:shape>
          <o:OLEObject Type="Embed" ProgID="Equation.DSMT4" ShapeID="_x0000_i1142" DrawAspect="Content" ObjectID="_1675249082" r:id="rId22"/>
        </w:object>
      </w:r>
      <w:r w:rsidR="00D137D6" w:rsidRPr="00D86B74">
        <w:rPr>
          <w:sz w:val="22"/>
          <w:szCs w:val="22"/>
        </w:rPr>
        <w:t xml:space="preserve"> of individuals move, upon TB infection, to the stage of TB latent fast progression (</w:t>
      </w:r>
      <w:r w:rsidR="0083391B" w:rsidRPr="00803951">
        <w:rPr>
          <w:noProof/>
          <w:position w:val="-4"/>
          <w:sz w:val="22"/>
          <w:szCs w:val="22"/>
        </w:rPr>
        <w:object w:dxaOrig="300" w:dyaOrig="300" w14:anchorId="20EF2355">
          <v:shape id="_x0000_i1141" type="#_x0000_t75" alt="" style="width:15.45pt;height:15.45pt;mso-width-percent:0;mso-height-percent:0;mso-width-percent:0;mso-height-percent:0" o:ole="">
            <v:imagedata r:id="rId23" o:title=""/>
          </v:shape>
          <o:OLEObject Type="Embed" ProgID="Equation.DSMT4" ShapeID="_x0000_i1141" DrawAspect="Content" ObjectID="_1675249083" r:id="rId24"/>
        </w:object>
      </w:r>
      <w:r w:rsidR="00D137D6" w:rsidRPr="00D86B74">
        <w:rPr>
          <w:sz w:val="22"/>
          <w:szCs w:val="22"/>
        </w:rPr>
        <w:t>) and</w:t>
      </w:r>
      <w:r w:rsidR="00D74528" w:rsidRPr="00D86B74">
        <w:rPr>
          <w:sz w:val="22"/>
          <w:szCs w:val="22"/>
        </w:rPr>
        <w:t xml:space="preserve"> the</w:t>
      </w:r>
      <w:r w:rsidR="00D137D6" w:rsidRPr="00D86B74">
        <w:rPr>
          <w:sz w:val="22"/>
          <w:szCs w:val="22"/>
        </w:rPr>
        <w:t xml:space="preserve"> </w:t>
      </w:r>
      <w:r w:rsidR="00D74528" w:rsidRPr="00D86B74">
        <w:rPr>
          <w:sz w:val="22"/>
          <w:szCs w:val="22"/>
        </w:rPr>
        <w:t xml:space="preserve">stage of </w:t>
      </w:r>
      <w:r w:rsidR="00D137D6" w:rsidRPr="00D86B74">
        <w:rPr>
          <w:sz w:val="22"/>
          <w:szCs w:val="22"/>
        </w:rPr>
        <w:t>latent slow progression (</w:t>
      </w:r>
      <w:r w:rsidR="0083391B" w:rsidRPr="00025957">
        <w:rPr>
          <w:noProof/>
          <w:position w:val="-4"/>
        </w:rPr>
        <w:object w:dxaOrig="200" w:dyaOrig="279" w14:anchorId="77C1625A">
          <v:shape id="_x0000_i1140" type="#_x0000_t75" alt="" style="width:10.3pt;height:14.85pt;mso-width-percent:0;mso-height-percent:0;mso-width-percent:0;mso-height-percent:0" o:ole="">
            <v:imagedata r:id="rId25" o:title=""/>
          </v:shape>
          <o:OLEObject Type="Embed" ProgID="Equation.DSMT4" ShapeID="_x0000_i1140" DrawAspect="Content" ObjectID="_1675249084" r:id="rId26"/>
        </w:object>
      </w:r>
      <w:r w:rsidR="00D137D6" w:rsidRPr="00D86B74">
        <w:rPr>
          <w:sz w:val="22"/>
          <w:szCs w:val="22"/>
        </w:rPr>
        <w:t xml:space="preserve">), respectively. The proportion </w:t>
      </w:r>
      <w:r w:rsidR="0083391B" w:rsidRPr="00CA6A29">
        <w:rPr>
          <w:noProof/>
          <w:position w:val="-10"/>
        </w:rPr>
        <w:object w:dxaOrig="420" w:dyaOrig="300" w14:anchorId="51D41EB9">
          <v:shape id="_x0000_i1139" type="#_x0000_t75" alt="" style="width:22.3pt;height:14.85pt;mso-width-percent:0;mso-height-percent:0;mso-width-percent:0;mso-height-percent:0" o:ole="">
            <v:imagedata r:id="rId27" o:title=""/>
          </v:shape>
          <o:OLEObject Type="Embed" ProgID="Equation.DSMT4" ShapeID="_x0000_i1139" DrawAspect="Content" ObjectID="_1675249085" r:id="rId28"/>
        </w:object>
      </w:r>
      <w:r w:rsidR="00D137D6" w:rsidRPr="00D86B74">
        <w:rPr>
          <w:sz w:val="22"/>
          <w:szCs w:val="22"/>
        </w:rPr>
        <w:t xml:space="preserve"> differed between children (</w:t>
      </w:r>
      <w:r w:rsidR="00251C51" w:rsidRPr="00D86B74">
        <w:rPr>
          <w:sz w:val="22"/>
          <w:szCs w:val="22"/>
        </w:rPr>
        <w:t>0-14</w:t>
      </w:r>
      <w:r w:rsidR="00D137D6" w:rsidRPr="00D86B74">
        <w:rPr>
          <w:sz w:val="22"/>
          <w:szCs w:val="22"/>
        </w:rPr>
        <w:t xml:space="preserve"> years old) and adults (≥15 years old). Individuals in </w:t>
      </w:r>
      <w:r w:rsidR="0083391B" w:rsidRPr="00025957">
        <w:rPr>
          <w:noProof/>
          <w:position w:val="-4"/>
        </w:rPr>
        <w:object w:dxaOrig="220" w:dyaOrig="279" w14:anchorId="32E1F248">
          <v:shape id="_x0000_i1138" type="#_x0000_t75" alt="" style="width:10.3pt;height:14.85pt;mso-width-percent:0;mso-height-percent:0;mso-width-percent:0;mso-height-percent:0" o:ole="">
            <v:imagedata r:id="rId29" o:title=""/>
          </v:shape>
          <o:OLEObject Type="Embed" ProgID="Equation.DSMT4" ShapeID="_x0000_i1138" DrawAspect="Content" ObjectID="_1675249086" r:id="rId30"/>
        </w:object>
      </w:r>
      <w:r w:rsidR="00D137D6" w:rsidRPr="00D86B74">
        <w:rPr>
          <w:sz w:val="22"/>
          <w:szCs w:val="22"/>
        </w:rPr>
        <w:t xml:space="preserve"> and </w:t>
      </w:r>
      <w:r w:rsidR="0083391B" w:rsidRPr="00025957">
        <w:rPr>
          <w:noProof/>
          <w:position w:val="-4"/>
        </w:rPr>
        <w:object w:dxaOrig="200" w:dyaOrig="279" w14:anchorId="135DA686">
          <v:shape id="_x0000_i1137" type="#_x0000_t75" alt="" style="width:10.3pt;height:14.85pt;mso-width-percent:0;mso-height-percent:0;mso-width-percent:0;mso-height-percent:0" o:ole="">
            <v:imagedata r:id="rId31" o:title=""/>
          </v:shape>
          <o:OLEObject Type="Embed" ProgID="Equation.DSMT4" ShapeID="_x0000_i1137" DrawAspect="Content" ObjectID="_1675249087" r:id="rId32"/>
        </w:object>
      </w:r>
      <w:r w:rsidR="00D137D6" w:rsidRPr="00D86B74">
        <w:rPr>
          <w:sz w:val="22"/>
          <w:szCs w:val="22"/>
        </w:rPr>
        <w:t xml:space="preserve"> were at risk of TB disease at a rate </w:t>
      </w:r>
      <w:r w:rsidR="0083391B" w:rsidRPr="00CA6A29">
        <w:rPr>
          <w:noProof/>
          <w:position w:val="-10"/>
        </w:rPr>
        <w:object w:dxaOrig="340" w:dyaOrig="320" w14:anchorId="38FB941A">
          <v:shape id="_x0000_i1136" type="#_x0000_t75" alt="" style="width:15.45pt;height:15.45pt;mso-width-percent:0;mso-height-percent:0;mso-width-percent:0;mso-height-percent:0" o:ole="">
            <v:imagedata r:id="rId33" o:title=""/>
          </v:shape>
          <o:OLEObject Type="Embed" ProgID="Equation.DSMT4" ShapeID="_x0000_i1136" DrawAspect="Content" ObjectID="_1675249088" r:id="rId34"/>
        </w:object>
      </w:r>
      <w:r w:rsidR="00511327" w:rsidRPr="00D86B74">
        <w:rPr>
          <w:sz w:val="22"/>
          <w:szCs w:val="22"/>
        </w:rPr>
        <w:t xml:space="preserve"> </w:t>
      </w:r>
      <w:r w:rsidR="00D137D6" w:rsidRPr="00D86B74">
        <w:rPr>
          <w:sz w:val="22"/>
          <w:szCs w:val="22"/>
        </w:rPr>
        <w:t xml:space="preserve">and </w:t>
      </w:r>
      <w:r w:rsidR="0083391B" w:rsidRPr="00CA6A29">
        <w:rPr>
          <w:noProof/>
          <w:position w:val="-10"/>
        </w:rPr>
        <w:object w:dxaOrig="340" w:dyaOrig="320" w14:anchorId="7A4DADFD">
          <v:shape id="_x0000_i1135" type="#_x0000_t75" alt="" style="width:15.45pt;height:15.45pt;mso-width-percent:0;mso-height-percent:0;mso-width-percent:0;mso-height-percent:0" o:ole="">
            <v:imagedata r:id="rId35" o:title=""/>
          </v:shape>
          <o:OLEObject Type="Embed" ProgID="Equation.DSMT4" ShapeID="_x0000_i1135" DrawAspect="Content" ObjectID="_1675249089" r:id="rId36"/>
        </w:object>
      </w:r>
      <w:r w:rsidR="00D137D6" w:rsidRPr="00D86B74">
        <w:rPr>
          <w:sz w:val="22"/>
          <w:szCs w:val="22"/>
        </w:rPr>
        <w:t xml:space="preserve">, respectively. Individuals in </w:t>
      </w:r>
      <w:r w:rsidR="0083391B" w:rsidRPr="00025957">
        <w:rPr>
          <w:noProof/>
          <w:position w:val="-4"/>
        </w:rPr>
        <w:object w:dxaOrig="200" w:dyaOrig="279" w14:anchorId="100CCF84">
          <v:shape id="_x0000_i1134" type="#_x0000_t75" alt="" style="width:10.3pt;height:14.85pt;mso-width-percent:0;mso-height-percent:0;mso-width-percent:0;mso-height-percent:0" o:ole="">
            <v:imagedata r:id="rId37" o:title=""/>
          </v:shape>
          <o:OLEObject Type="Embed" ProgID="Equation.DSMT4" ShapeID="_x0000_i1134" DrawAspect="Content" ObjectID="_1675249090" r:id="rId38"/>
        </w:object>
      </w:r>
      <w:r w:rsidR="00D137D6" w:rsidRPr="00D86B74">
        <w:rPr>
          <w:sz w:val="22"/>
          <w:szCs w:val="22"/>
        </w:rPr>
        <w:t xml:space="preserve"> were also at risk of reinfection (at a rate </w:t>
      </w:r>
      <w:r w:rsidR="0083391B" w:rsidRPr="00CA6A29">
        <w:rPr>
          <w:noProof/>
          <w:position w:val="-12"/>
        </w:rPr>
        <w:object w:dxaOrig="800" w:dyaOrig="360" w14:anchorId="54462F9B">
          <v:shape id="_x0000_i1133" type="#_x0000_t75" alt="" style="width:40pt;height:18.3pt;mso-width-percent:0;mso-height-percent:0;mso-width-percent:0;mso-height-percent:0" o:ole="">
            <v:imagedata r:id="rId39" o:title=""/>
          </v:shape>
          <o:OLEObject Type="Embed" ProgID="Equation.DSMT4" ShapeID="_x0000_i1133" DrawAspect="Content" ObjectID="_1675249091" r:id="rId40"/>
        </w:object>
      </w:r>
      <w:r w:rsidR="00D137D6" w:rsidRPr="00D86B74">
        <w:rPr>
          <w:sz w:val="22"/>
          <w:szCs w:val="22"/>
        </w:rPr>
        <w:t xml:space="preserve">), but due to prior TB exposure </w:t>
      </w:r>
      <w:r w:rsidR="007C7E0A" w:rsidRPr="00D86B74">
        <w:rPr>
          <w:sz w:val="22"/>
          <w:szCs w:val="22"/>
        </w:rPr>
        <w:t xml:space="preserve">and acquired immunity </w:t>
      </w:r>
      <w:r w:rsidR="00D137D6" w:rsidRPr="00D86B74">
        <w:rPr>
          <w:sz w:val="22"/>
          <w:szCs w:val="22"/>
        </w:rPr>
        <w:t>there was a proportional reduction (</w:t>
      </w:r>
      <w:r w:rsidR="00D137D6" w:rsidRPr="00D86B74">
        <w:rPr>
          <w:i/>
          <w:sz w:val="22"/>
          <w:szCs w:val="22"/>
        </w:rPr>
        <w:t>q</w:t>
      </w:r>
      <w:r w:rsidR="00D137D6" w:rsidRPr="00D86B74">
        <w:rPr>
          <w:sz w:val="22"/>
          <w:szCs w:val="22"/>
        </w:rPr>
        <w:t xml:space="preserve">) in </w:t>
      </w:r>
      <w:r w:rsidR="00441B6D" w:rsidRPr="00D86B74">
        <w:rPr>
          <w:sz w:val="22"/>
          <w:szCs w:val="22"/>
        </w:rPr>
        <w:t xml:space="preserve">the </w:t>
      </w:r>
      <w:r w:rsidR="00D137D6" w:rsidRPr="00D86B74">
        <w:rPr>
          <w:sz w:val="22"/>
          <w:szCs w:val="22"/>
        </w:rPr>
        <w:t xml:space="preserve">susceptibility to TB infection. </w:t>
      </w:r>
    </w:p>
    <w:p w14:paraId="18140EDB" w14:textId="23C563A3" w:rsidR="006740A1" w:rsidRPr="00D86B74" w:rsidRDefault="00D137D6" w:rsidP="00D86B74">
      <w:pPr>
        <w:pStyle w:val="p"/>
        <w:spacing w:before="120" w:after="0" w:line="360" w:lineRule="auto"/>
        <w:ind w:firstLine="0"/>
        <w:jc w:val="both"/>
        <w:rPr>
          <w:sz w:val="22"/>
          <w:szCs w:val="22"/>
        </w:rPr>
      </w:pPr>
      <w:r w:rsidRPr="00D86B74">
        <w:rPr>
          <w:sz w:val="22"/>
          <w:szCs w:val="22"/>
        </w:rPr>
        <w:t xml:space="preserve">TB disease individuals were characterized into </w:t>
      </w:r>
      <w:r w:rsidR="000A08ED" w:rsidRPr="00D86B74">
        <w:rPr>
          <w:sz w:val="22"/>
          <w:szCs w:val="22"/>
        </w:rPr>
        <w:t xml:space="preserve">the </w:t>
      </w:r>
      <w:r w:rsidRPr="00D86B74">
        <w:rPr>
          <w:sz w:val="22"/>
          <w:szCs w:val="22"/>
        </w:rPr>
        <w:t>three states of smear-positive pulmonary (</w:t>
      </w:r>
      <w:r w:rsidR="0083391B" w:rsidRPr="00025957">
        <w:rPr>
          <w:noProof/>
          <w:position w:val="-4"/>
        </w:rPr>
        <w:object w:dxaOrig="279" w:dyaOrig="279" w14:anchorId="29390A0E">
          <v:shape id="_x0000_i1132" type="#_x0000_t75" alt="" style="width:14.85pt;height:14.85pt;mso-width-percent:0;mso-height-percent:0;mso-width-percent:0;mso-height-percent:0" o:ole="">
            <v:imagedata r:id="rId41" o:title=""/>
          </v:shape>
          <o:OLEObject Type="Embed" ProgID="Equation.DSMT4" ShapeID="_x0000_i1132" DrawAspect="Content" ObjectID="_1675249092" r:id="rId42"/>
        </w:object>
      </w:r>
      <w:r w:rsidRPr="00D86B74">
        <w:rPr>
          <w:sz w:val="22"/>
          <w:szCs w:val="22"/>
        </w:rPr>
        <w:t>), smear-negative pulmonary (</w:t>
      </w:r>
      <w:r w:rsidR="0083391B" w:rsidRPr="00025957">
        <w:rPr>
          <w:noProof/>
          <w:position w:val="-4"/>
        </w:rPr>
        <w:object w:dxaOrig="300" w:dyaOrig="279" w14:anchorId="0A3FA874">
          <v:shape id="_x0000_i1131" type="#_x0000_t75" alt="" style="width:14.85pt;height:14.85pt;mso-width-percent:0;mso-height-percent:0;mso-width-percent:0;mso-height-percent:0" o:ole="">
            <v:imagedata r:id="rId43" o:title=""/>
          </v:shape>
          <o:OLEObject Type="Embed" ProgID="Equation.DSMT4" ShapeID="_x0000_i1131" DrawAspect="Content" ObjectID="_1675249093" r:id="rId44"/>
        </w:object>
      </w:r>
      <w:r w:rsidRPr="00D86B74">
        <w:rPr>
          <w:sz w:val="22"/>
          <w:szCs w:val="22"/>
        </w:rPr>
        <w:t>), and extra-pulmonary disease (</w:t>
      </w:r>
      <w:r w:rsidR="0083391B" w:rsidRPr="00025957">
        <w:rPr>
          <w:noProof/>
          <w:position w:val="-4"/>
        </w:rPr>
        <w:object w:dxaOrig="279" w:dyaOrig="279" w14:anchorId="3410A961">
          <v:shape id="_x0000_i1130" type="#_x0000_t75" alt="" style="width:14.85pt;height:14.85pt;mso-width-percent:0;mso-height-percent:0;mso-width-percent:0;mso-height-percent:0" o:ole="">
            <v:imagedata r:id="rId45" o:title=""/>
          </v:shape>
          <o:OLEObject Type="Embed" ProgID="Equation.DSMT4" ShapeID="_x0000_i1130" DrawAspect="Content" ObjectID="_1675249094" r:id="rId46"/>
        </w:object>
      </w:r>
      <w:r w:rsidRPr="00D86B74">
        <w:rPr>
          <w:sz w:val="22"/>
          <w:szCs w:val="22"/>
        </w:rPr>
        <w:t xml:space="preserve">). The parameter </w:t>
      </w:r>
      <w:r w:rsidR="0083391B" w:rsidRPr="00CA6A29">
        <w:rPr>
          <w:noProof/>
          <w:position w:val="-8"/>
        </w:rPr>
        <w:object w:dxaOrig="440" w:dyaOrig="279" w14:anchorId="586D430A">
          <v:shape id="_x0000_i1129" type="#_x0000_t75" alt="" style="width:22.85pt;height:14.85pt;mso-width-percent:0;mso-height-percent:0;mso-width-percent:0;mso-height-percent:0" o:ole="">
            <v:imagedata r:id="rId47" o:title=""/>
          </v:shape>
          <o:OLEObject Type="Embed" ProgID="Equation.DSMT4" ShapeID="_x0000_i1129" DrawAspect="Content" ObjectID="_1675249095" r:id="rId48"/>
        </w:object>
      </w:r>
      <w:r w:rsidRPr="00D86B74">
        <w:rPr>
          <w:sz w:val="22"/>
          <w:szCs w:val="22"/>
        </w:rPr>
        <w:t xml:space="preserve"> identified the fraction of individual</w:t>
      </w:r>
      <w:r w:rsidR="00141719" w:rsidRPr="00D86B74">
        <w:rPr>
          <w:sz w:val="22"/>
          <w:szCs w:val="22"/>
        </w:rPr>
        <w:t>s</w:t>
      </w:r>
      <w:r w:rsidRPr="00D86B74">
        <w:rPr>
          <w:sz w:val="22"/>
          <w:szCs w:val="22"/>
        </w:rPr>
        <w:t xml:space="preserve"> going into each of these disease </w:t>
      </w:r>
      <w:proofErr w:type="gramStart"/>
      <w:r w:rsidRPr="00D86B74">
        <w:rPr>
          <w:sz w:val="22"/>
          <w:szCs w:val="22"/>
        </w:rPr>
        <w:t>states, and</w:t>
      </w:r>
      <w:proofErr w:type="gramEnd"/>
      <w:r w:rsidRPr="00D86B74">
        <w:rPr>
          <w:sz w:val="22"/>
          <w:szCs w:val="22"/>
        </w:rPr>
        <w:t xml:space="preserve"> differed between children and adults</w:t>
      </w:r>
      <w:r w:rsidR="00F326CE" w:rsidRPr="00D86B74">
        <w:rPr>
          <w:sz w:val="22"/>
          <w:szCs w:val="22"/>
        </w:rPr>
        <w:t xml:space="preserve"> </w:t>
      </w:r>
      <w:r w:rsidRPr="00D86B74">
        <w:rPr>
          <w:sz w:val="22"/>
          <w:szCs w:val="22"/>
        </w:rPr>
        <w:fldChar w:fldCharType="begin">
          <w:fldData xml:space="preserve">PEVuZE5vdGU+PENpdGU+PEF1dGhvcj5BYnUtUmFkZGFkPC9BdXRob3I+PFllYXI+MjAwOTwvWWVh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cmljYTwvYWJici0xPjwvYWx0LXBlcmlvZGljYWw+PHBhZ2VzPjEzOTgwLTU8L3BhZ2VzPjx2b2x1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</w:fldData>
        </w:fldChar>
      </w:r>
      <w:r w:rsidR="00AF0A3B" w:rsidRPr="00D86B74">
        <w:rPr>
          <w:sz w:val="22"/>
          <w:szCs w:val="22"/>
        </w:rPr>
        <w:instrText xml:space="preserve"> ADDIN EN.CITE </w:instrText>
      </w:r>
      <w:r w:rsidR="00AF0A3B" w:rsidRPr="00D86B74">
        <w:rPr>
          <w:sz w:val="22"/>
          <w:szCs w:val="22"/>
        </w:rPr>
        <w:fldChar w:fldCharType="begin">
          <w:fldData xml:space="preserve">PEVuZE5vdGU+PENpdGU+PEF1dGhvcj5BYnUtUmFkZGFkPC9BdXRob3I+PFllYXI+MjAwOTwvWWVh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cmljYTwvYWJici0xPjwvYWx0LXBlcmlvZGljYWw+PHBhZ2VzPjEzOTgwLTU8L3BhZ2VzPjx2b2x1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</w:fldData>
        </w:fldChar>
      </w:r>
      <w:r w:rsidR="00AF0A3B" w:rsidRPr="00D86B74">
        <w:rPr>
          <w:sz w:val="22"/>
          <w:szCs w:val="22"/>
        </w:rPr>
        <w:instrText xml:space="preserve"> ADDIN EN.CITE.DATA </w:instrText>
      </w:r>
      <w:r w:rsidR="00AF0A3B" w:rsidRPr="00D86B74">
        <w:rPr>
          <w:sz w:val="22"/>
          <w:szCs w:val="22"/>
        </w:rPr>
      </w:r>
      <w:r w:rsidR="00AF0A3B" w:rsidRPr="00D86B74">
        <w:rPr>
          <w:sz w:val="22"/>
          <w:szCs w:val="22"/>
        </w:rPr>
        <w:fldChar w:fldCharType="end"/>
      </w:r>
      <w:r w:rsidRPr="00D86B74">
        <w:rPr>
          <w:sz w:val="22"/>
          <w:szCs w:val="22"/>
        </w:rPr>
      </w:r>
      <w:r w:rsidRPr="00D86B74">
        <w:rPr>
          <w:sz w:val="22"/>
          <w:szCs w:val="22"/>
        </w:rPr>
        <w:fldChar w:fldCharType="separate"/>
      </w:r>
      <w:r w:rsidR="00AF0A3B" w:rsidRPr="00D86B74">
        <w:rPr>
          <w:noProof/>
          <w:sz w:val="22"/>
          <w:szCs w:val="22"/>
        </w:rPr>
        <w:t>(2)</w:t>
      </w:r>
      <w:r w:rsidRPr="00D86B74">
        <w:rPr>
          <w:sz w:val="22"/>
          <w:szCs w:val="22"/>
        </w:rPr>
        <w:fldChar w:fldCharType="end"/>
      </w:r>
      <w:r w:rsidR="00F326CE" w:rsidRPr="00D86B74">
        <w:rPr>
          <w:sz w:val="22"/>
          <w:szCs w:val="22"/>
        </w:rPr>
        <w:t>.</w:t>
      </w:r>
      <w:r w:rsidRPr="00D86B74">
        <w:rPr>
          <w:sz w:val="22"/>
          <w:szCs w:val="22"/>
        </w:rPr>
        <w:t xml:space="preserve"> We considered individuals with the pulmonary TB disease </w:t>
      </w:r>
      <w:r w:rsidR="00141719" w:rsidRPr="00D86B74">
        <w:rPr>
          <w:sz w:val="22"/>
          <w:szCs w:val="22"/>
        </w:rPr>
        <w:t xml:space="preserve">types </w:t>
      </w:r>
      <w:r w:rsidRPr="00D86B74">
        <w:rPr>
          <w:sz w:val="22"/>
          <w:szCs w:val="22"/>
        </w:rPr>
        <w:t>(</w:t>
      </w:r>
      <w:r w:rsidR="0083391B" w:rsidRPr="00025957">
        <w:rPr>
          <w:noProof/>
          <w:position w:val="-4"/>
        </w:rPr>
        <w:object w:dxaOrig="279" w:dyaOrig="279" w14:anchorId="3589D733">
          <v:shape id="_x0000_i1128" type="#_x0000_t75" alt="" style="width:14.85pt;height:14.85pt;mso-width-percent:0;mso-height-percent:0;mso-width-percent:0;mso-height-percent:0" o:ole="">
            <v:imagedata r:id="rId49" o:title=""/>
          </v:shape>
          <o:OLEObject Type="Embed" ProgID="Equation.DSMT4" ShapeID="_x0000_i1128" DrawAspect="Content" ObjectID="_1675249096" r:id="rId50"/>
        </w:object>
      </w:r>
      <w:r w:rsidR="0099382E" w:rsidRPr="00D86B74">
        <w:rPr>
          <w:sz w:val="22"/>
          <w:szCs w:val="22"/>
        </w:rPr>
        <w:t xml:space="preserve"> </w:t>
      </w:r>
      <w:r w:rsidRPr="00D86B74">
        <w:rPr>
          <w:sz w:val="22"/>
          <w:szCs w:val="22"/>
        </w:rPr>
        <w:t xml:space="preserve">and </w:t>
      </w:r>
      <w:r w:rsidR="0083391B" w:rsidRPr="00025957">
        <w:rPr>
          <w:noProof/>
          <w:position w:val="-4"/>
        </w:rPr>
        <w:object w:dxaOrig="300" w:dyaOrig="279" w14:anchorId="4607BA3B">
          <v:shape id="_x0000_i1127" type="#_x0000_t75" alt="" style="width:14.85pt;height:14.85pt;mso-width-percent:0;mso-height-percent:0;mso-width-percent:0;mso-height-percent:0" o:ole="">
            <v:imagedata r:id="rId51" o:title=""/>
          </v:shape>
          <o:OLEObject Type="Embed" ProgID="Equation.DSMT4" ShapeID="_x0000_i1127" DrawAspect="Content" ObjectID="_1675249097" r:id="rId52"/>
        </w:object>
      </w:r>
      <w:r w:rsidRPr="00D86B74">
        <w:rPr>
          <w:sz w:val="22"/>
          <w:szCs w:val="22"/>
        </w:rPr>
        <w:t xml:space="preserve">) infectious, but at varying levels. Individuals in the TB disease states could leave their state by TB-related mortality at a rate </w:t>
      </w:r>
      <w:r w:rsidR="0083391B" w:rsidRPr="00CA6A29">
        <w:rPr>
          <w:noProof/>
          <w:position w:val="-10"/>
        </w:rPr>
        <w:object w:dxaOrig="200" w:dyaOrig="300" w14:anchorId="4C7CDC19">
          <v:shape id="_x0000_i1126" type="#_x0000_t75" alt="" style="width:10.3pt;height:14.85pt;mso-width-percent:0;mso-height-percent:0;mso-width-percent:0;mso-height-percent:0" o:ole="">
            <v:imagedata r:id="rId53" o:title=""/>
          </v:shape>
          <o:OLEObject Type="Embed" ProgID="Equation.DSMT4" ShapeID="_x0000_i1126" DrawAspect="Content" ObjectID="_1675249098" r:id="rId54"/>
        </w:object>
      </w:r>
      <w:r w:rsidRPr="00D86B74">
        <w:rPr>
          <w:sz w:val="22"/>
          <w:szCs w:val="22"/>
        </w:rPr>
        <w:t xml:space="preserve">, by spontaneous natural recovery at a rate </w:t>
      </w:r>
      <w:r w:rsidR="0083391B" w:rsidRPr="00CA6A29">
        <w:rPr>
          <w:noProof/>
          <w:position w:val="-6"/>
        </w:rPr>
        <w:object w:dxaOrig="200" w:dyaOrig="220" w14:anchorId="693BFCF1">
          <v:shape id="_x0000_i1125" type="#_x0000_t75" alt="" style="width:10.3pt;height:10.3pt;mso-width-percent:0;mso-height-percent:0;mso-width-percent:0;mso-height-percent:0" o:ole="">
            <v:imagedata r:id="rId55" o:title=""/>
          </v:shape>
          <o:OLEObject Type="Embed" ProgID="Equation.DSMT4" ShapeID="_x0000_i1125" DrawAspect="Content" ObjectID="_1675249099" r:id="rId56"/>
        </w:object>
      </w:r>
      <w:r w:rsidR="004775C0" w:rsidRPr="00D86B74">
        <w:rPr>
          <w:sz w:val="22"/>
          <w:szCs w:val="22"/>
        </w:rPr>
        <w:t xml:space="preserve"> </w:t>
      </w:r>
      <w:r w:rsidRPr="00D86B74">
        <w:rPr>
          <w:sz w:val="22"/>
          <w:szCs w:val="22"/>
        </w:rPr>
        <w:t>(</w:t>
      </w:r>
      <w:proofErr w:type="gramStart"/>
      <w:r w:rsidRPr="00D86B74">
        <w:rPr>
          <w:sz w:val="22"/>
          <w:szCs w:val="22"/>
        </w:rPr>
        <w:t>i.e.</w:t>
      </w:r>
      <w:proofErr w:type="gramEnd"/>
      <w:r w:rsidRPr="00D86B74">
        <w:rPr>
          <w:sz w:val="22"/>
          <w:szCs w:val="22"/>
        </w:rPr>
        <w:t xml:space="preserve"> can recover without medical treatment), or by diagnosis and effective treatment at a rate </w:t>
      </w:r>
      <w:r w:rsidR="0083391B" w:rsidRPr="00CA6A29">
        <w:rPr>
          <w:noProof/>
          <w:position w:val="-10"/>
        </w:rPr>
        <w:object w:dxaOrig="320" w:dyaOrig="300" w14:anchorId="31AC1CBE">
          <v:shape id="_x0000_i1124" type="#_x0000_t75" alt="" style="width:15.45pt;height:14.85pt;mso-width-percent:0;mso-height-percent:0;mso-width-percent:0;mso-height-percent:0" o:ole="">
            <v:imagedata r:id="rId57" o:title=""/>
          </v:shape>
          <o:OLEObject Type="Embed" ProgID="Equation.DSMT4" ShapeID="_x0000_i1124" DrawAspect="Content" ObjectID="_1675249100" r:id="rId58"/>
        </w:object>
      </w:r>
      <w:r w:rsidRPr="00D86B74">
        <w:rPr>
          <w:sz w:val="22"/>
          <w:szCs w:val="22"/>
        </w:rPr>
        <w:t xml:space="preserve">. Here, </w:t>
      </w:r>
      <w:r w:rsidR="0083391B" w:rsidRPr="00CA6A29">
        <w:rPr>
          <w:noProof/>
          <w:position w:val="-10"/>
        </w:rPr>
        <w:object w:dxaOrig="220" w:dyaOrig="300" w14:anchorId="61E270B3">
          <v:shape id="_x0000_i1123" type="#_x0000_t75" alt="" style="width:10.3pt;height:14.85pt;mso-width-percent:0;mso-height-percent:0;mso-width-percent:0;mso-height-percent:0" o:ole="">
            <v:imagedata r:id="rId59" o:title=""/>
          </v:shape>
          <o:OLEObject Type="Embed" ProgID="Equation.DSMT4" ShapeID="_x0000_i1123" DrawAspect="Content" ObjectID="_1675249101" r:id="rId60"/>
        </w:object>
      </w:r>
      <w:r w:rsidRPr="00D86B74">
        <w:rPr>
          <w:sz w:val="22"/>
          <w:szCs w:val="22"/>
        </w:rPr>
        <w:t xml:space="preserve"> is TB treatment rate, and </w:t>
      </w:r>
      <w:r w:rsidR="0083391B" w:rsidRPr="00025957">
        <w:rPr>
          <w:noProof/>
          <w:position w:val="-4"/>
        </w:rPr>
        <w:object w:dxaOrig="180" w:dyaOrig="200" w14:anchorId="56C6D727">
          <v:shape id="_x0000_i1122" type="#_x0000_t75" alt="" style="width:9.7pt;height:10.3pt;mso-width-percent:0;mso-height-percent:0;mso-width-percent:0;mso-height-percent:0" o:ole="">
            <v:imagedata r:id="rId61" o:title=""/>
          </v:shape>
          <o:OLEObject Type="Embed" ProgID="Equation.DSMT4" ShapeID="_x0000_i1122" DrawAspect="Content" ObjectID="_1675249102" r:id="rId62"/>
        </w:object>
      </w:r>
      <w:r w:rsidR="004775C0" w:rsidRPr="00D86B74">
        <w:rPr>
          <w:sz w:val="22"/>
          <w:szCs w:val="22"/>
        </w:rPr>
        <w:t xml:space="preserve"> </w:t>
      </w:r>
      <w:r w:rsidRPr="00D86B74">
        <w:rPr>
          <w:sz w:val="22"/>
          <w:szCs w:val="22"/>
        </w:rPr>
        <w:t xml:space="preserve">is the proportion of </w:t>
      </w:r>
      <w:r w:rsidR="006F589E" w:rsidRPr="00D86B74">
        <w:rPr>
          <w:sz w:val="22"/>
          <w:szCs w:val="22"/>
        </w:rPr>
        <w:t xml:space="preserve">new TB disease cases that successfully completed treatment </w:t>
      </w:r>
      <w:r w:rsidR="00463735" w:rsidRPr="00D86B74">
        <w:rPr>
          <w:sz w:val="22"/>
          <w:szCs w:val="22"/>
        </w:rPr>
        <w:t>(</w:t>
      </w:r>
      <w:r w:rsidR="006F589E" w:rsidRPr="00D86B74">
        <w:rPr>
          <w:sz w:val="22"/>
          <w:szCs w:val="22"/>
        </w:rPr>
        <w:t>with or without</w:t>
      </w:r>
      <w:r w:rsidR="00463735" w:rsidRPr="00D86B74">
        <w:rPr>
          <w:sz w:val="22"/>
          <w:szCs w:val="22"/>
        </w:rPr>
        <w:t>)</w:t>
      </w:r>
      <w:r w:rsidR="006F589E" w:rsidRPr="00D86B74">
        <w:rPr>
          <w:sz w:val="22"/>
          <w:szCs w:val="22"/>
        </w:rPr>
        <w:t xml:space="preserve"> </w:t>
      </w:r>
      <w:r w:rsidR="006F589E" w:rsidRPr="00D86B74">
        <w:rPr>
          <w:sz w:val="22"/>
          <w:szCs w:val="18"/>
        </w:rPr>
        <w:t xml:space="preserve">bacteriologic evidence of success (“cured” or “treatment completed”). </w:t>
      </w:r>
      <w:r w:rsidR="006740A1" w:rsidRPr="00D86B74">
        <w:rPr>
          <w:sz w:val="22"/>
          <w:szCs w:val="18"/>
        </w:rPr>
        <w:t xml:space="preserve">This proportion </w:t>
      </w:r>
      <w:r w:rsidR="009A3828" w:rsidRPr="00D86B74">
        <w:rPr>
          <w:sz w:val="22"/>
          <w:szCs w:val="18"/>
        </w:rPr>
        <w:t>was</w:t>
      </w:r>
      <w:r w:rsidR="006740A1" w:rsidRPr="00D86B74">
        <w:rPr>
          <w:sz w:val="22"/>
          <w:szCs w:val="18"/>
        </w:rPr>
        <w:t xml:space="preserve"> derived from </w:t>
      </w:r>
      <w:r w:rsidR="009A3828" w:rsidRPr="00D86B74">
        <w:rPr>
          <w:sz w:val="22"/>
          <w:szCs w:val="18"/>
        </w:rPr>
        <w:t xml:space="preserve">seven </w:t>
      </w:r>
      <w:r w:rsidR="003A316B" w:rsidRPr="00D86B74">
        <w:rPr>
          <w:sz w:val="22"/>
          <w:szCs w:val="18"/>
        </w:rPr>
        <w:t xml:space="preserve">treatment </w:t>
      </w:r>
      <w:r w:rsidR="009A3828" w:rsidRPr="00D86B74">
        <w:rPr>
          <w:sz w:val="22"/>
          <w:szCs w:val="18"/>
        </w:rPr>
        <w:t>outcome measures</w:t>
      </w:r>
      <w:r w:rsidR="007B011A" w:rsidRPr="00D86B74">
        <w:rPr>
          <w:sz w:val="22"/>
          <w:szCs w:val="18"/>
        </w:rPr>
        <w:t xml:space="preserve"> given by the World Health Organization (</w:t>
      </w:r>
      <w:r w:rsidR="006740A1" w:rsidRPr="00D86B74">
        <w:rPr>
          <w:sz w:val="22"/>
          <w:szCs w:val="18"/>
        </w:rPr>
        <w:t>WHO</w:t>
      </w:r>
      <w:r w:rsidR="007B011A" w:rsidRPr="00D86B74">
        <w:rPr>
          <w:sz w:val="22"/>
          <w:szCs w:val="18"/>
        </w:rPr>
        <w:t>)</w:t>
      </w:r>
      <w:r w:rsidR="00755233">
        <w:rPr>
          <w:sz w:val="22"/>
          <w:szCs w:val="18"/>
        </w:rPr>
        <w:fldChar w:fldCharType="begin"/>
      </w:r>
      <w:r w:rsidR="00755233">
        <w:rPr>
          <w:sz w:val="22"/>
          <w:szCs w:val="18"/>
        </w:rPr>
        <w:instrText xml:space="preserve"> ADDIN ZOTERO_ITEM CSL_CITATION {"citationID":"sKJs0Xrs","properties":{"formattedCitation":"\\super 2\\nosupersub{}","plainCitation":"2","noteIndex":0},"citationItems":[{"id":27297,"uris":["http://zotero.org/users/local/p8g0WsVO/items/Z2VPJ5CJ"],"uri":["http://zotero.org/users/local/p8g0WsVO/items/Z2VPJ5CJ"],"itemData":{"id":27297,"type":"webpage","abstract":"It provides a comprehensive and up-to-date assessment of the tuberculosis epidemic and progress","container-title":"WHO","title":"WHO | Global tuberculosis report 2019","URL":"http://www.who.int/tb/publications/global_report/en/","accessed":{"date-parts":[["2019",10,25]]}}}],"schema":"https://github.com/citation-style-language/schema/raw/master/csl-citation.json"} </w:instrText>
      </w:r>
      <w:r w:rsidR="00755233">
        <w:rPr>
          <w:sz w:val="22"/>
          <w:szCs w:val="18"/>
        </w:rPr>
        <w:fldChar w:fldCharType="separate"/>
      </w:r>
      <w:r w:rsidR="00755233" w:rsidRPr="00755233">
        <w:rPr>
          <w:sz w:val="22"/>
          <w:vertAlign w:val="superscript"/>
        </w:rPr>
        <w:t>2</w:t>
      </w:r>
      <w:r w:rsidR="00755233">
        <w:rPr>
          <w:sz w:val="22"/>
          <w:szCs w:val="18"/>
        </w:rPr>
        <w:fldChar w:fldCharType="end"/>
      </w:r>
      <w:r w:rsidR="007B011A" w:rsidRPr="00D86B74">
        <w:rPr>
          <w:sz w:val="22"/>
          <w:szCs w:val="18"/>
        </w:rPr>
        <w:t>:</w:t>
      </w:r>
      <w:r w:rsidR="0083391B" w:rsidRPr="00CA6A29">
        <w:rPr>
          <w:noProof/>
          <w:position w:val="-28"/>
        </w:rPr>
        <w:object w:dxaOrig="8180" w:dyaOrig="639" w14:anchorId="00DAB6BA">
          <v:shape id="_x0000_i1121" type="#_x0000_t75" alt="" style="width:409.15pt;height:32.55pt;mso-width-percent:0;mso-height-percent:0;mso-width-percent:0;mso-height-percent:0" o:ole="">
            <v:imagedata r:id="rId63" o:title=""/>
          </v:shape>
          <o:OLEObject Type="Embed" ProgID="Equation.DSMT4" ShapeID="_x0000_i1121" DrawAspect="Content" ObjectID="_1675249103" r:id="rId64"/>
        </w:object>
      </w:r>
      <w:r w:rsidR="00AE7E21" w:rsidRPr="00D86B74">
        <w:rPr>
          <w:sz w:val="22"/>
          <w:szCs w:val="18"/>
        </w:rPr>
        <w:t>.</w:t>
      </w:r>
    </w:p>
    <w:p w14:paraId="548AACDE" w14:textId="77777777" w:rsidR="00D137D6" w:rsidRPr="00D86B74" w:rsidRDefault="00D137D6" w:rsidP="00D86B74">
      <w:pPr>
        <w:spacing w:after="0" w:line="360" w:lineRule="auto"/>
        <w:jc w:val="both"/>
        <w:rPr>
          <w:rFonts w:ascii="Times New Roman" w:eastAsia="Times New Roman" w:hAnsi="Times New Roman" w:cs="Times New Roman"/>
          <w:lang w:val="en-GB"/>
        </w:rPr>
      </w:pPr>
      <w:r w:rsidRPr="00D86B74">
        <w:rPr>
          <w:rFonts w:ascii="Times New Roman" w:eastAsia="Times New Roman" w:hAnsi="Times New Roman" w:cs="Times New Roman"/>
          <w:lang w:val="en-GB"/>
        </w:rPr>
        <w:t xml:space="preserve">Treated individuals were characterized according to the three TB disease types: </w:t>
      </w:r>
      <w:r w:rsidR="0083391B" w:rsidRPr="00025957">
        <w:rPr>
          <w:noProof/>
          <w:position w:val="-4"/>
        </w:rPr>
        <w:object w:dxaOrig="340" w:dyaOrig="279" w14:anchorId="23AAE0A7">
          <v:shape id="_x0000_i1120" type="#_x0000_t75" alt="" style="width:15.45pt;height:14.85pt;mso-width-percent:0;mso-height-percent:0;mso-width-percent:0;mso-height-percent:0" o:ole="">
            <v:imagedata r:id="rId65" o:title=""/>
          </v:shape>
          <o:OLEObject Type="Embed" ProgID="Equation.DSMT4" ShapeID="_x0000_i1120" DrawAspect="Content" ObjectID="_1675249104" r:id="rId66"/>
        </w:object>
      </w:r>
      <w:r w:rsidRPr="00D86B74">
        <w:rPr>
          <w:rFonts w:ascii="Times New Roman" w:eastAsia="Times New Roman" w:hAnsi="Times New Roman" w:cs="Times New Roman"/>
          <w:lang w:val="en-GB"/>
        </w:rPr>
        <w:t xml:space="preserve">, </w:t>
      </w:r>
      <w:r w:rsidR="0083391B" w:rsidRPr="00025957">
        <w:rPr>
          <w:noProof/>
          <w:position w:val="-4"/>
        </w:rPr>
        <w:object w:dxaOrig="340" w:dyaOrig="279" w14:anchorId="1EB24F70">
          <v:shape id="_x0000_i1119" type="#_x0000_t75" alt="" style="width:15.45pt;height:14.85pt;mso-width-percent:0;mso-height-percent:0;mso-width-percent:0;mso-height-percent:0" o:ole="">
            <v:imagedata r:id="rId67" o:title=""/>
          </v:shape>
          <o:OLEObject Type="Embed" ProgID="Equation.DSMT4" ShapeID="_x0000_i1119" DrawAspect="Content" ObjectID="_1675249105" r:id="rId68"/>
        </w:object>
      </w:r>
      <w:r w:rsidRPr="00D86B74">
        <w:rPr>
          <w:rFonts w:ascii="Times New Roman" w:eastAsia="Times New Roman" w:hAnsi="Times New Roman" w:cs="Times New Roman"/>
          <w:lang w:val="en-GB"/>
        </w:rPr>
        <w:t xml:space="preserve">, and </w:t>
      </w:r>
      <w:r w:rsidR="0083391B" w:rsidRPr="00025957">
        <w:rPr>
          <w:noProof/>
          <w:position w:val="-4"/>
        </w:rPr>
        <w:object w:dxaOrig="340" w:dyaOrig="279" w14:anchorId="1D053B6E">
          <v:shape id="_x0000_i1118" type="#_x0000_t75" alt="" style="width:15.45pt;height:14.85pt;mso-width-percent:0;mso-height-percent:0;mso-width-percent:0;mso-height-percent:0" o:ole="">
            <v:imagedata r:id="rId69" o:title=""/>
          </v:shape>
          <o:OLEObject Type="Embed" ProgID="Equation.DSMT4" ShapeID="_x0000_i1118" DrawAspect="Content" ObjectID="_1675249106" r:id="rId70"/>
        </w:object>
      </w:r>
      <w:r w:rsidRPr="00D86B74">
        <w:rPr>
          <w:rFonts w:ascii="Times New Roman" w:eastAsia="Times New Roman" w:hAnsi="Times New Roman" w:cs="Times New Roman"/>
          <w:lang w:val="en-GB"/>
        </w:rPr>
        <w:t>. Individuals in the pulmonary treated states (</w:t>
      </w:r>
      <w:r w:rsidR="0083391B" w:rsidRPr="00025957">
        <w:rPr>
          <w:noProof/>
          <w:position w:val="-4"/>
        </w:rPr>
        <w:object w:dxaOrig="340" w:dyaOrig="279" w14:anchorId="71E9AD5C">
          <v:shape id="_x0000_i1117" type="#_x0000_t75" alt="" style="width:15.45pt;height:14.85pt;mso-width-percent:0;mso-height-percent:0;mso-width-percent:0;mso-height-percent:0" o:ole="">
            <v:imagedata r:id="rId71" o:title=""/>
          </v:shape>
          <o:OLEObject Type="Embed" ProgID="Equation.DSMT4" ShapeID="_x0000_i1117" DrawAspect="Content" ObjectID="_1675249107" r:id="rId72"/>
        </w:object>
      </w:r>
      <w:r w:rsidR="003A6F0B" w:rsidRPr="00D86B74">
        <w:rPr>
          <w:rFonts w:ascii="Times New Roman" w:eastAsia="Times New Roman" w:hAnsi="Times New Roman" w:cs="Times New Roman"/>
          <w:lang w:val="en-GB"/>
        </w:rPr>
        <w:t xml:space="preserve"> </w:t>
      </w:r>
      <w:r w:rsidRPr="00D86B74">
        <w:rPr>
          <w:rFonts w:ascii="Times New Roman" w:eastAsia="Times New Roman" w:hAnsi="Times New Roman" w:cs="Times New Roman"/>
          <w:lang w:val="en-GB"/>
        </w:rPr>
        <w:t xml:space="preserve">and </w:t>
      </w:r>
      <w:r w:rsidR="0083391B" w:rsidRPr="00025957">
        <w:rPr>
          <w:noProof/>
          <w:position w:val="-4"/>
        </w:rPr>
        <w:object w:dxaOrig="340" w:dyaOrig="279" w14:anchorId="76E0023A">
          <v:shape id="_x0000_i1116" type="#_x0000_t75" alt="" style="width:15.45pt;height:14.85pt;mso-width-percent:0;mso-height-percent:0;mso-width-percent:0;mso-height-percent:0" o:ole="">
            <v:imagedata r:id="rId73" o:title=""/>
          </v:shape>
          <o:OLEObject Type="Embed" ProgID="Equation.DSMT4" ShapeID="_x0000_i1116" DrawAspect="Content" ObjectID="_1675249108" r:id="rId74"/>
        </w:object>
      </w:r>
      <w:r w:rsidRPr="00D86B74">
        <w:rPr>
          <w:rFonts w:ascii="Times New Roman" w:eastAsia="Times New Roman" w:hAnsi="Times New Roman" w:cs="Times New Roman"/>
          <w:lang w:val="en-GB"/>
        </w:rPr>
        <w:t xml:space="preserve">) were considered infectious, but at varying levels. Individuals in the treated states were assumed at risk of TB reinfection at a rate </w:t>
      </w:r>
      <w:r w:rsidR="0083391B" w:rsidRPr="00CA6A29">
        <w:rPr>
          <w:noProof/>
          <w:position w:val="-12"/>
        </w:rPr>
        <w:object w:dxaOrig="800" w:dyaOrig="360" w14:anchorId="03DBAAA6">
          <v:shape id="_x0000_i1115" type="#_x0000_t75" alt="" style="width:40pt;height:18.3pt;mso-width-percent:0;mso-height-percent:0;mso-width-percent:0;mso-height-percent:0" o:ole="">
            <v:imagedata r:id="rId75" o:title=""/>
          </v:shape>
          <o:OLEObject Type="Embed" ProgID="Equation.DSMT4" ShapeID="_x0000_i1115" DrawAspect="Content" ObjectID="_1675249109" r:id="rId76"/>
        </w:object>
      </w:r>
      <w:r w:rsidRPr="00D86B74">
        <w:rPr>
          <w:rFonts w:ascii="Times New Roman" w:eastAsia="Times New Roman" w:hAnsi="Times New Roman" w:cs="Times New Roman"/>
          <w:lang w:val="en-GB"/>
        </w:rPr>
        <w:t xml:space="preserve">, TB-related mortality at a rate </w:t>
      </w:r>
      <w:r w:rsidR="0083391B" w:rsidRPr="00CA6A29">
        <w:rPr>
          <w:noProof/>
          <w:position w:val="-10"/>
        </w:rPr>
        <w:object w:dxaOrig="200" w:dyaOrig="300" w14:anchorId="673B0458">
          <v:shape id="_x0000_i1114" type="#_x0000_t75" alt="" style="width:10.3pt;height:14.85pt;mso-width-percent:0;mso-height-percent:0;mso-width-percent:0;mso-height-percent:0" o:ole="">
            <v:imagedata r:id="rId77" o:title=""/>
          </v:shape>
          <o:OLEObject Type="Embed" ProgID="Equation.DSMT4" ShapeID="_x0000_i1114" DrawAspect="Content" ObjectID="_1675249110" r:id="rId78"/>
        </w:object>
      </w:r>
      <w:r w:rsidRPr="00D86B74">
        <w:rPr>
          <w:rFonts w:ascii="Times New Roman" w:eastAsia="Times New Roman" w:hAnsi="Times New Roman" w:cs="Times New Roman"/>
          <w:lang w:val="en-GB"/>
        </w:rPr>
        <w:t xml:space="preserve">, spontaneous recovery at a rate </w:t>
      </w:r>
      <w:r w:rsidR="0083391B" w:rsidRPr="00CA6A29">
        <w:rPr>
          <w:noProof/>
          <w:position w:val="-6"/>
        </w:rPr>
        <w:object w:dxaOrig="200" w:dyaOrig="220" w14:anchorId="199FCE1F">
          <v:shape id="_x0000_i1113" type="#_x0000_t75" alt="" style="width:10.3pt;height:10.3pt;mso-width-percent:0;mso-height-percent:0;mso-width-percent:0;mso-height-percent:0" o:ole="">
            <v:imagedata r:id="rId79" o:title=""/>
          </v:shape>
          <o:OLEObject Type="Embed" ProgID="Equation.DSMT4" ShapeID="_x0000_i1113" DrawAspect="Content" ObjectID="_1675249111" r:id="rId80"/>
        </w:object>
      </w:r>
      <w:r w:rsidRPr="00D86B74">
        <w:rPr>
          <w:rFonts w:ascii="Times New Roman" w:eastAsia="Times New Roman" w:hAnsi="Times New Roman" w:cs="Times New Roman"/>
          <w:lang w:val="en-GB"/>
        </w:rPr>
        <w:t xml:space="preserve">, or successful treatment completion at a rate </w:t>
      </w:r>
      <w:r w:rsidR="0083391B" w:rsidRPr="00CA6A29">
        <w:rPr>
          <w:noProof/>
          <w:position w:val="-10"/>
        </w:rPr>
        <w:object w:dxaOrig="240" w:dyaOrig="260" w14:anchorId="680BD4B8">
          <v:shape id="_x0000_i1112" type="#_x0000_t75" alt="" style="width:11.45pt;height:12.55pt;mso-width-percent:0;mso-height-percent:0;mso-width-percent:0;mso-height-percent:0" o:ole="">
            <v:imagedata r:id="rId81" o:title=""/>
          </v:shape>
          <o:OLEObject Type="Embed" ProgID="Equation.DSMT4" ShapeID="_x0000_i1112" DrawAspect="Content" ObjectID="_1675249112" r:id="rId82"/>
        </w:object>
      </w:r>
      <w:r w:rsidRPr="00D86B74">
        <w:rPr>
          <w:rFonts w:ascii="Times New Roman" w:eastAsia="Times New Roman" w:hAnsi="Times New Roman" w:cs="Times New Roman"/>
          <w:lang w:val="en-GB"/>
        </w:rPr>
        <w:t>.</w:t>
      </w:r>
    </w:p>
    <w:p w14:paraId="67169B29" w14:textId="2364E84D" w:rsidR="00D137D6" w:rsidRDefault="00D137D6" w:rsidP="00986EAF">
      <w:pPr>
        <w:spacing w:after="0" w:line="360" w:lineRule="auto"/>
        <w:jc w:val="both"/>
        <w:rPr>
          <w:rFonts w:ascii="Times New Roman" w:eastAsia="Times New Roman" w:hAnsi="Times New Roman" w:cs="Times New Roman"/>
          <w:lang w:val="en-GB"/>
        </w:rPr>
      </w:pPr>
      <w:r w:rsidRPr="00D86B74">
        <w:rPr>
          <w:rFonts w:ascii="Times New Roman" w:eastAsia="Times New Roman" w:hAnsi="Times New Roman" w:cs="Times New Roman"/>
          <w:lang w:val="en-GB"/>
        </w:rPr>
        <w:t xml:space="preserve">Individuals who </w:t>
      </w:r>
      <w:r w:rsidR="00AB271E" w:rsidRPr="00D86B74">
        <w:rPr>
          <w:rFonts w:ascii="Times New Roman" w:eastAsia="Times New Roman" w:hAnsi="Times New Roman" w:cs="Times New Roman"/>
          <w:lang w:val="en-GB"/>
        </w:rPr>
        <w:t xml:space="preserve">are </w:t>
      </w:r>
      <w:r w:rsidRPr="00D86B74">
        <w:rPr>
          <w:rFonts w:ascii="Times New Roman" w:eastAsia="Times New Roman" w:hAnsi="Times New Roman" w:cs="Times New Roman"/>
          <w:lang w:val="en-GB"/>
        </w:rPr>
        <w:t>successfully treated</w:t>
      </w:r>
      <w:r w:rsidR="00AB271E" w:rsidRPr="00D86B74">
        <w:rPr>
          <w:rFonts w:ascii="Times New Roman" w:eastAsia="Times New Roman" w:hAnsi="Times New Roman" w:cs="Times New Roman"/>
          <w:lang w:val="en-GB"/>
        </w:rPr>
        <w:t>,</w:t>
      </w:r>
      <w:r w:rsidRPr="00D86B74">
        <w:rPr>
          <w:rFonts w:ascii="Times New Roman" w:eastAsia="Times New Roman" w:hAnsi="Times New Roman" w:cs="Times New Roman"/>
          <w:lang w:val="en-GB"/>
        </w:rPr>
        <w:t xml:space="preserve"> or those who spontaneously recover</w:t>
      </w:r>
      <w:r w:rsidR="000E2F0D" w:rsidRPr="00D86B74">
        <w:rPr>
          <w:rFonts w:ascii="Times New Roman" w:eastAsia="Times New Roman" w:hAnsi="Times New Roman" w:cs="Times New Roman"/>
          <w:lang w:val="en-GB"/>
        </w:rPr>
        <w:t>,</w:t>
      </w:r>
      <w:r w:rsidRPr="00D86B74">
        <w:rPr>
          <w:rFonts w:ascii="Times New Roman" w:eastAsia="Times New Roman" w:hAnsi="Times New Roman" w:cs="Times New Roman"/>
          <w:lang w:val="en-GB"/>
        </w:rPr>
        <w:t xml:space="preserve"> enter the recovery stage (</w:t>
      </w:r>
      <w:r w:rsidR="0083391B" w:rsidRPr="00025957">
        <w:rPr>
          <w:noProof/>
          <w:position w:val="-4"/>
        </w:rPr>
        <w:object w:dxaOrig="200" w:dyaOrig="220" w14:anchorId="5E4FBAE0">
          <v:shape id="_x0000_i1111" type="#_x0000_t75" alt="" style="width:10.3pt;height:10.3pt;mso-width-percent:0;mso-height-percent:0;mso-width-percent:0;mso-height-percent:0" o:ole="">
            <v:imagedata r:id="rId83" o:title=""/>
          </v:shape>
          <o:OLEObject Type="Embed" ProgID="Equation.DSMT4" ShapeID="_x0000_i1111" DrawAspect="Content" ObjectID="_1675249113" r:id="rId84"/>
        </w:object>
      </w:r>
      <w:r w:rsidRPr="00D86B74">
        <w:rPr>
          <w:rFonts w:ascii="Times New Roman" w:eastAsia="Times New Roman" w:hAnsi="Times New Roman" w:cs="Times New Roman"/>
          <w:lang w:val="en-GB"/>
        </w:rPr>
        <w:t xml:space="preserve">). Recovered TB individuals were assumed at risk of TB reinfection at a rate </w:t>
      </w:r>
      <w:r w:rsidR="0083391B" w:rsidRPr="00CA6A29">
        <w:rPr>
          <w:noProof/>
          <w:position w:val="-12"/>
        </w:rPr>
        <w:object w:dxaOrig="800" w:dyaOrig="360" w14:anchorId="21723A73">
          <v:shape id="_x0000_i1110" type="#_x0000_t75" alt="" style="width:40pt;height:18.3pt;mso-width-percent:0;mso-height-percent:0;mso-width-percent:0;mso-height-percent:0" o:ole="">
            <v:imagedata r:id="rId85" o:title=""/>
          </v:shape>
          <o:OLEObject Type="Embed" ProgID="Equation.DSMT4" ShapeID="_x0000_i1110" DrawAspect="Content" ObjectID="_1675249114" r:id="rId86"/>
        </w:object>
      </w:r>
      <w:r w:rsidRPr="00D86B74">
        <w:rPr>
          <w:rFonts w:ascii="Times New Roman" w:eastAsia="Times New Roman" w:hAnsi="Times New Roman" w:cs="Times New Roman"/>
          <w:lang w:val="en-GB"/>
        </w:rPr>
        <w:t>.</w:t>
      </w:r>
    </w:p>
    <w:p w14:paraId="71309EB2" w14:textId="70A2D909" w:rsidR="00986EAF" w:rsidRDefault="00986EAF" w:rsidP="00986EAF">
      <w:pPr>
        <w:spacing w:after="0" w:line="360" w:lineRule="auto"/>
        <w:jc w:val="both"/>
        <w:rPr>
          <w:rFonts w:ascii="Times New Roman" w:eastAsia="Times New Roman" w:hAnsi="Times New Roman" w:cs="Times New Roman"/>
          <w:lang w:val="en-GB"/>
        </w:rPr>
      </w:pPr>
    </w:p>
    <w:p w14:paraId="326D1466" w14:textId="77777777" w:rsidR="00986EAF" w:rsidRPr="00D86B74" w:rsidRDefault="00986EAF" w:rsidP="00986EAF">
      <w:pPr>
        <w:spacing w:after="0" w:line="360" w:lineRule="auto"/>
        <w:jc w:val="both"/>
        <w:rPr>
          <w:rFonts w:ascii="Times New Roman" w:eastAsia="Times New Roman" w:hAnsi="Times New Roman" w:cs="Times New Roman"/>
          <w:lang w:val="en-GB"/>
        </w:rPr>
      </w:pPr>
    </w:p>
    <w:p w14:paraId="694B5DEA" w14:textId="77777777" w:rsidR="003447A3" w:rsidRPr="009728D2" w:rsidRDefault="004E70A1" w:rsidP="00D86B74">
      <w:pPr>
        <w:pStyle w:val="ListParagraph"/>
        <w:numPr>
          <w:ilvl w:val="1"/>
          <w:numId w:val="12"/>
        </w:numPr>
        <w:spacing w:before="120" w:after="0" w:line="360" w:lineRule="auto"/>
        <w:ind w:left="540" w:hanging="540"/>
        <w:contextualSpacing w:val="0"/>
        <w:rPr>
          <w:rFonts w:ascii="Times New Roman" w:eastAsia="Times New Roman" w:hAnsi="Times New Roman" w:cs="Times New Roman"/>
          <w:b/>
          <w:sz w:val="24"/>
          <w:szCs w:val="24"/>
          <w:lang w:val="en-GB"/>
        </w:rPr>
      </w:pPr>
      <w:bookmarkStart w:id="3" w:name="_Toc439859899"/>
      <w:bookmarkStart w:id="4" w:name="_Toc441675527"/>
      <w:r w:rsidRPr="009728D2">
        <w:rPr>
          <w:rFonts w:ascii="Times New Roman" w:eastAsia="Times New Roman" w:hAnsi="Times New Roman" w:cs="Times New Roman"/>
          <w:b/>
          <w:sz w:val="24"/>
          <w:szCs w:val="24"/>
          <w:lang w:val="en-GB"/>
        </w:rPr>
        <w:lastRenderedPageBreak/>
        <w:t xml:space="preserve">Model </w:t>
      </w:r>
      <w:r w:rsidR="005F65F8">
        <w:rPr>
          <w:rFonts w:ascii="Times New Roman" w:eastAsia="Times New Roman" w:hAnsi="Times New Roman" w:cs="Times New Roman"/>
          <w:b/>
          <w:sz w:val="24"/>
          <w:szCs w:val="24"/>
          <w:lang w:val="en-GB"/>
        </w:rPr>
        <w:t>s</w:t>
      </w:r>
      <w:r w:rsidR="008C0AA1" w:rsidRPr="009728D2">
        <w:rPr>
          <w:rFonts w:ascii="Times New Roman" w:eastAsia="Times New Roman" w:hAnsi="Times New Roman" w:cs="Times New Roman"/>
          <w:b/>
          <w:sz w:val="24"/>
          <w:szCs w:val="24"/>
          <w:lang w:val="en-GB"/>
        </w:rPr>
        <w:t xml:space="preserve">tructure </w:t>
      </w:r>
      <w:bookmarkEnd w:id="3"/>
      <w:bookmarkEnd w:id="4"/>
    </w:p>
    <w:p w14:paraId="5105B9DE" w14:textId="77777777" w:rsidR="008401BD" w:rsidRPr="00D86B74" w:rsidRDefault="00387878" w:rsidP="00D86B74">
      <w:pPr>
        <w:spacing w:before="120" w:after="0" w:line="360" w:lineRule="auto"/>
        <w:rPr>
          <w:rFonts w:ascii="Times New Roman" w:hAnsi="Times New Roman" w:cs="Times New Roman"/>
          <w:u w:val="single"/>
        </w:rPr>
      </w:pPr>
      <w:r w:rsidRPr="00D86B74">
        <w:rPr>
          <w:rFonts w:ascii="Times New Roman" w:hAnsi="Times New Roman" w:cs="Times New Roman"/>
          <w:u w:val="single"/>
        </w:rPr>
        <w:t>TB s</w:t>
      </w:r>
      <w:r w:rsidR="006A45A9" w:rsidRPr="00D86B74">
        <w:rPr>
          <w:rFonts w:ascii="Times New Roman" w:hAnsi="Times New Roman" w:cs="Times New Roman"/>
          <w:u w:val="single"/>
        </w:rPr>
        <w:t>usceptible</w:t>
      </w:r>
      <w:r w:rsidR="00F114C2" w:rsidRPr="00D86B74">
        <w:rPr>
          <w:rFonts w:ascii="Times New Roman" w:hAnsi="Times New Roman" w:cs="Times New Roman"/>
          <w:u w:val="single"/>
        </w:rPr>
        <w:t xml:space="preserve"> (i.e.</w:t>
      </w:r>
      <w:r w:rsidR="000F4EFF" w:rsidRPr="00D86B74">
        <w:rPr>
          <w:rFonts w:ascii="Times New Roman" w:hAnsi="Times New Roman" w:cs="Times New Roman"/>
          <w:u w:val="single"/>
        </w:rPr>
        <w:t>,</w:t>
      </w:r>
      <w:r w:rsidR="00F114C2" w:rsidRPr="00D86B74">
        <w:rPr>
          <w:rFonts w:ascii="Times New Roman" w:hAnsi="Times New Roman" w:cs="Times New Roman"/>
          <w:u w:val="single"/>
        </w:rPr>
        <w:t xml:space="preserve"> </w:t>
      </w:r>
      <w:r w:rsidR="002A5B83" w:rsidRPr="00D86B74">
        <w:rPr>
          <w:rFonts w:ascii="Times New Roman" w:hAnsi="Times New Roman" w:cs="Times New Roman"/>
          <w:u w:val="single"/>
        </w:rPr>
        <w:t xml:space="preserve">TB </w:t>
      </w:r>
      <w:r w:rsidR="00F114C2" w:rsidRPr="00D86B74">
        <w:rPr>
          <w:rFonts w:ascii="Times New Roman" w:hAnsi="Times New Roman" w:cs="Times New Roman"/>
          <w:u w:val="single"/>
        </w:rPr>
        <w:t xml:space="preserve">susceptible </w:t>
      </w:r>
      <w:r w:rsidR="002A5B83" w:rsidRPr="00D86B74">
        <w:rPr>
          <w:rFonts w:ascii="Times New Roman" w:hAnsi="Times New Roman" w:cs="Times New Roman"/>
          <w:u w:val="single"/>
        </w:rPr>
        <w:t>individuals</w:t>
      </w:r>
      <w:r w:rsidR="00F114C2" w:rsidRPr="00D86B74">
        <w:rPr>
          <w:rFonts w:ascii="Times New Roman" w:hAnsi="Times New Roman" w:cs="Times New Roman"/>
          <w:u w:val="single"/>
        </w:rPr>
        <w:t>)</w:t>
      </w:r>
      <w:r w:rsidR="006A45A9" w:rsidRPr="00D86B74">
        <w:rPr>
          <w:rFonts w:ascii="Times New Roman" w:hAnsi="Times New Roman" w:cs="Times New Roman"/>
          <w:u w:val="single"/>
        </w:rPr>
        <w:t>:</w:t>
      </w:r>
    </w:p>
    <w:p w14:paraId="63B84C11" w14:textId="2B305821" w:rsidR="007A7028" w:rsidRPr="00382793" w:rsidRDefault="0083391B" w:rsidP="00D86B74">
      <w:pPr>
        <w:spacing w:before="120" w:after="0" w:line="360" w:lineRule="auto"/>
        <w:rPr>
          <w:rFonts w:ascii="Times New Roman" w:hAnsi="Times New Roman" w:cs="Times New Roman"/>
        </w:rPr>
      </w:pPr>
      <w:r w:rsidRPr="00CA6A29">
        <w:rPr>
          <w:noProof/>
          <w:position w:val="-22"/>
        </w:rPr>
        <w:object w:dxaOrig="5640" w:dyaOrig="580" w14:anchorId="65CB8C97">
          <v:shape id="_x0000_i1109" type="#_x0000_t75" alt="" style="width:282.85pt;height:29.15pt;mso-width-percent:0;mso-height-percent:0;mso-width-percent:0;mso-height-percent:0" o:ole="">
            <v:imagedata r:id="rId87" o:title=""/>
          </v:shape>
          <o:OLEObject Type="Embed" ProgID="Equation.DSMT4" ShapeID="_x0000_i1109" DrawAspect="Content" ObjectID="_1675249115" r:id="rId88"/>
        </w:object>
      </w:r>
      <w:r w:rsidR="00ED4AE3" w:rsidRPr="00382793">
        <w:rPr>
          <w:rFonts w:ascii="Times New Roman" w:hAnsi="Times New Roman" w:cs="Times New Roman"/>
        </w:rPr>
        <w:t xml:space="preserve"> </w:t>
      </w:r>
    </w:p>
    <w:p w14:paraId="304B20E3" w14:textId="77777777" w:rsidR="007A7028" w:rsidRPr="00D86B74" w:rsidRDefault="00454330" w:rsidP="00D86B74">
      <w:pPr>
        <w:spacing w:before="120" w:after="0" w:line="360" w:lineRule="auto"/>
        <w:rPr>
          <w:rFonts w:ascii="Times New Roman" w:hAnsi="Times New Roman" w:cs="Times New Roman"/>
          <w:u w:val="single"/>
        </w:rPr>
      </w:pPr>
      <w:r w:rsidRPr="00D86B74">
        <w:rPr>
          <w:rFonts w:ascii="Times New Roman" w:hAnsi="Times New Roman" w:cs="Times New Roman"/>
          <w:u w:val="single"/>
        </w:rPr>
        <w:t>TB l</w:t>
      </w:r>
      <w:r w:rsidR="007A7028" w:rsidRPr="00D86B74">
        <w:rPr>
          <w:rFonts w:ascii="Times New Roman" w:hAnsi="Times New Roman" w:cs="Times New Roman"/>
          <w:u w:val="single"/>
        </w:rPr>
        <w:t>atent infection:</w:t>
      </w:r>
    </w:p>
    <w:p w14:paraId="4D396FD8" w14:textId="573440F2" w:rsidR="007A7028" w:rsidRPr="00382793" w:rsidRDefault="0083391B" w:rsidP="00D86B74">
      <w:pPr>
        <w:spacing w:before="120" w:after="0" w:line="360" w:lineRule="auto"/>
        <w:rPr>
          <w:rFonts w:ascii="Times New Roman" w:hAnsi="Times New Roman" w:cs="Times New Roman"/>
        </w:rPr>
      </w:pPr>
      <w:r w:rsidRPr="000F3DFF">
        <w:rPr>
          <w:noProof/>
          <w:position w:val="-94"/>
        </w:rPr>
        <w:object w:dxaOrig="9540" w:dyaOrig="2000" w14:anchorId="6B2BFF50">
          <v:shape id="_x0000_i1108" type="#_x0000_t75" alt="" style="width:476pt;height:100pt;mso-width-percent:0;mso-height-percent:0;mso-width-percent:0;mso-height-percent:0" o:ole="">
            <v:imagedata r:id="rId89" o:title=""/>
          </v:shape>
          <o:OLEObject Type="Embed" ProgID="Equation.DSMT4" ShapeID="_x0000_i1108" DrawAspect="Content" ObjectID="_1675249116" r:id="rId90"/>
        </w:object>
      </w:r>
      <w:r w:rsidR="00ED4AE3" w:rsidRPr="00382793">
        <w:rPr>
          <w:rFonts w:ascii="Times New Roman" w:hAnsi="Times New Roman" w:cs="Times New Roman"/>
        </w:rPr>
        <w:t xml:space="preserve"> </w:t>
      </w:r>
    </w:p>
    <w:p w14:paraId="2F8480F8" w14:textId="77777777" w:rsidR="007A7028" w:rsidRPr="00D86B74" w:rsidRDefault="007A7028" w:rsidP="00D86B74">
      <w:pPr>
        <w:spacing w:before="120" w:after="0" w:line="360" w:lineRule="auto"/>
        <w:rPr>
          <w:rFonts w:ascii="Times New Roman" w:hAnsi="Times New Roman" w:cs="Times New Roman"/>
          <w:u w:val="single"/>
        </w:rPr>
      </w:pPr>
      <w:r w:rsidRPr="00D86B74">
        <w:rPr>
          <w:rFonts w:ascii="Times New Roman" w:hAnsi="Times New Roman" w:cs="Times New Roman"/>
          <w:u w:val="single"/>
        </w:rPr>
        <w:t>TB disease</w:t>
      </w:r>
      <w:r w:rsidR="00C94618" w:rsidRPr="00D86B74">
        <w:rPr>
          <w:rFonts w:ascii="Times New Roman" w:hAnsi="Times New Roman" w:cs="Times New Roman"/>
          <w:u w:val="single"/>
        </w:rPr>
        <w:t>:</w:t>
      </w:r>
    </w:p>
    <w:p w14:paraId="09547939" w14:textId="33506924" w:rsidR="007A7028" w:rsidRPr="00382793" w:rsidRDefault="0083391B" w:rsidP="00D86B74">
      <w:pPr>
        <w:spacing w:before="120" w:after="0" w:line="360" w:lineRule="auto"/>
        <w:rPr>
          <w:rFonts w:ascii="Times New Roman" w:hAnsi="Times New Roman" w:cs="Times New Roman"/>
        </w:rPr>
      </w:pPr>
      <w:r w:rsidRPr="00CA6A29">
        <w:rPr>
          <w:noProof/>
          <w:position w:val="-84"/>
        </w:rPr>
        <w:object w:dxaOrig="9040" w:dyaOrig="1840" w14:anchorId="4FCF6F90">
          <v:shape id="_x0000_i1107" type="#_x0000_t75" alt="" style="width:450.85pt;height:93.15pt;mso-width-percent:0;mso-height-percent:0;mso-width-percent:0;mso-height-percent:0" o:ole="">
            <v:imagedata r:id="rId91" o:title=""/>
          </v:shape>
          <o:OLEObject Type="Embed" ProgID="Equation.DSMT4" ShapeID="_x0000_i1107" DrawAspect="Content" ObjectID="_1675249117" r:id="rId92"/>
        </w:object>
      </w:r>
    </w:p>
    <w:p w14:paraId="3F01C6BB" w14:textId="77777777" w:rsidR="000F3DFF" w:rsidRDefault="007A7028">
      <w:pPr>
        <w:spacing w:before="120" w:after="0" w:line="360" w:lineRule="auto"/>
        <w:rPr>
          <w:rFonts w:ascii="Times New Roman" w:hAnsi="Times New Roman" w:cs="Times New Roman"/>
          <w:u w:val="single"/>
        </w:rPr>
      </w:pPr>
      <w:r w:rsidRPr="00D86B74">
        <w:rPr>
          <w:rFonts w:ascii="Times New Roman" w:hAnsi="Times New Roman" w:cs="Times New Roman"/>
          <w:u w:val="single"/>
        </w:rPr>
        <w:t>Treated TB disease</w:t>
      </w:r>
      <w:r w:rsidR="00C94618" w:rsidRPr="00D86B74">
        <w:rPr>
          <w:rFonts w:ascii="Times New Roman" w:hAnsi="Times New Roman" w:cs="Times New Roman"/>
          <w:u w:val="single"/>
        </w:rPr>
        <w:t>:</w:t>
      </w:r>
    </w:p>
    <w:p w14:paraId="08BB2BFE" w14:textId="57082471" w:rsidR="008C7188" w:rsidRPr="00D86B74" w:rsidRDefault="0083391B" w:rsidP="000F3DFF">
      <w:pPr>
        <w:spacing w:before="120" w:after="0" w:line="360" w:lineRule="auto"/>
        <w:rPr>
          <w:rFonts w:ascii="Times New Roman" w:eastAsia="Times New Roman" w:hAnsi="Times New Roman" w:cs="Times New Roman"/>
          <w:i/>
          <w:lang w:val="en-GB"/>
        </w:rPr>
      </w:pPr>
      <w:r w:rsidRPr="00CA6A29">
        <w:rPr>
          <w:noProof/>
          <w:position w:val="-84"/>
        </w:rPr>
        <w:object w:dxaOrig="8199" w:dyaOrig="1840" w14:anchorId="389DA509">
          <v:shape id="_x0000_i1106" type="#_x0000_t75" alt="" style="width:408.55pt;height:93.15pt;mso-width-percent:0;mso-height-percent:0;mso-width-percent:0;mso-height-percent:0" o:ole="">
            <v:imagedata r:id="rId93" o:title=""/>
          </v:shape>
          <o:OLEObject Type="Embed" ProgID="Equation.DSMT4" ShapeID="_x0000_i1106" DrawAspect="Content" ObjectID="_1675249118" r:id="rId94"/>
        </w:object>
      </w:r>
    </w:p>
    <w:p w14:paraId="0F93702A" w14:textId="77777777" w:rsidR="007A7028" w:rsidRPr="00D86B74" w:rsidRDefault="00C94618" w:rsidP="00D86B74">
      <w:pPr>
        <w:spacing w:before="120" w:after="0" w:line="360" w:lineRule="auto"/>
        <w:rPr>
          <w:rFonts w:ascii="Times New Roman" w:hAnsi="Times New Roman" w:cs="Times New Roman"/>
          <w:u w:val="single"/>
        </w:rPr>
      </w:pPr>
      <w:r w:rsidRPr="00D86B74">
        <w:rPr>
          <w:rFonts w:ascii="Times New Roman" w:hAnsi="Times New Roman" w:cs="Times New Roman"/>
          <w:u w:val="single"/>
        </w:rPr>
        <w:t>Recovered</w:t>
      </w:r>
      <w:r w:rsidR="0040519B" w:rsidRPr="00D86B74">
        <w:rPr>
          <w:rFonts w:ascii="Times New Roman" w:hAnsi="Times New Roman" w:cs="Times New Roman"/>
          <w:u w:val="single"/>
        </w:rPr>
        <w:t>:</w:t>
      </w:r>
    </w:p>
    <w:p w14:paraId="2642BA46" w14:textId="76F2EF1F" w:rsidR="00C94618" w:rsidRDefault="0083391B" w:rsidP="00D86B74">
      <w:pPr>
        <w:spacing w:before="120" w:after="0" w:line="360" w:lineRule="auto"/>
        <w:rPr>
          <w:rFonts w:ascii="Times New Roman" w:eastAsia="Times New Roman" w:hAnsi="Times New Roman" w:cs="Times New Roman"/>
          <w:i/>
          <w:sz w:val="24"/>
          <w:szCs w:val="24"/>
          <w:lang w:val="en-GB"/>
        </w:rPr>
      </w:pPr>
      <w:r w:rsidRPr="000F3DFF">
        <w:rPr>
          <w:noProof/>
          <w:position w:val="-76"/>
        </w:rPr>
        <w:object w:dxaOrig="6300" w:dyaOrig="1740" w14:anchorId="79281A0C">
          <v:shape id="_x0000_i1105" type="#_x0000_t75" alt="" style="width:314.3pt;height:86.85pt;mso-width-percent:0;mso-height-percent:0;mso-width-percent:0;mso-height-percent:0" o:ole="">
            <v:imagedata r:id="rId95" o:title=""/>
          </v:shape>
          <o:OLEObject Type="Embed" ProgID="Equation.DSMT4" ShapeID="_x0000_i1105" DrawAspect="Content" ObjectID="_1675249119" r:id="rId96"/>
        </w:object>
      </w:r>
    </w:p>
    <w:p w14:paraId="574CEF37" w14:textId="77777777" w:rsidR="00986EAF" w:rsidRDefault="00986EAF" w:rsidP="00986EAF">
      <w:pPr>
        <w:pStyle w:val="ListParagraph"/>
        <w:tabs>
          <w:tab w:val="left" w:pos="720"/>
        </w:tabs>
        <w:spacing w:before="120" w:after="0" w:line="360" w:lineRule="auto"/>
        <w:contextualSpacing w:val="0"/>
        <w:rPr>
          <w:rFonts w:ascii="Times New Roman" w:eastAsia="Times New Roman" w:hAnsi="Times New Roman" w:cs="Times New Roman"/>
          <w:b/>
          <w:sz w:val="24"/>
          <w:szCs w:val="24"/>
          <w:lang w:val="en-GB"/>
        </w:rPr>
      </w:pPr>
    </w:p>
    <w:p w14:paraId="68F0E00D" w14:textId="256CBAF4" w:rsidR="008166A8" w:rsidRPr="009728D2" w:rsidRDefault="008166A8" w:rsidP="00D86B74">
      <w:pPr>
        <w:pStyle w:val="ListParagraph"/>
        <w:numPr>
          <w:ilvl w:val="1"/>
          <w:numId w:val="12"/>
        </w:numPr>
        <w:tabs>
          <w:tab w:val="left" w:pos="720"/>
        </w:tabs>
        <w:spacing w:before="120" w:after="0" w:line="360" w:lineRule="auto"/>
        <w:ind w:left="720" w:hanging="720"/>
        <w:contextualSpacing w:val="0"/>
        <w:rPr>
          <w:rFonts w:ascii="Times New Roman" w:eastAsia="Times New Roman" w:hAnsi="Times New Roman" w:cs="Times New Roman"/>
          <w:b/>
          <w:sz w:val="24"/>
          <w:szCs w:val="24"/>
          <w:lang w:val="en-GB"/>
        </w:rPr>
      </w:pPr>
      <w:r w:rsidRPr="009728D2">
        <w:rPr>
          <w:rFonts w:ascii="Times New Roman" w:eastAsia="Times New Roman" w:hAnsi="Times New Roman" w:cs="Times New Roman"/>
          <w:b/>
          <w:sz w:val="24"/>
          <w:szCs w:val="24"/>
          <w:lang w:val="en-GB"/>
        </w:rPr>
        <w:lastRenderedPageBreak/>
        <w:t>Demograph</w:t>
      </w:r>
      <w:r w:rsidR="0097162C">
        <w:rPr>
          <w:rFonts w:ascii="Times New Roman" w:eastAsia="Times New Roman" w:hAnsi="Times New Roman" w:cs="Times New Roman"/>
          <w:b/>
          <w:sz w:val="24"/>
          <w:szCs w:val="24"/>
          <w:lang w:val="en-GB"/>
        </w:rPr>
        <w:t>ic</w:t>
      </w:r>
      <w:r w:rsidR="0089257F">
        <w:rPr>
          <w:rFonts w:ascii="Times New Roman" w:eastAsia="Times New Roman" w:hAnsi="Times New Roman" w:cs="Times New Roman"/>
          <w:b/>
          <w:sz w:val="24"/>
          <w:szCs w:val="24"/>
          <w:lang w:val="en-GB"/>
        </w:rPr>
        <w:t xml:space="preserve"> </w:t>
      </w:r>
      <w:r w:rsidR="00475C6C">
        <w:rPr>
          <w:rFonts w:ascii="Times New Roman" w:eastAsia="Times New Roman" w:hAnsi="Times New Roman" w:cs="Times New Roman"/>
          <w:b/>
          <w:sz w:val="24"/>
          <w:szCs w:val="24"/>
          <w:lang w:val="en-GB"/>
        </w:rPr>
        <w:t>p</w:t>
      </w:r>
      <w:r w:rsidR="0089257F">
        <w:rPr>
          <w:rFonts w:ascii="Times New Roman" w:eastAsia="Times New Roman" w:hAnsi="Times New Roman" w:cs="Times New Roman"/>
          <w:b/>
          <w:sz w:val="24"/>
          <w:szCs w:val="24"/>
          <w:lang w:val="en-GB"/>
        </w:rPr>
        <w:t>arameters</w:t>
      </w:r>
    </w:p>
    <w:p w14:paraId="7BD03DA4" w14:textId="77777777" w:rsidR="008166A8" w:rsidRPr="00D86B74" w:rsidRDefault="00A434B2" w:rsidP="00D86B74">
      <w:pPr>
        <w:pStyle w:val="p"/>
        <w:spacing w:before="120" w:after="0" w:line="360" w:lineRule="auto"/>
        <w:ind w:firstLine="0"/>
        <w:rPr>
          <w:sz w:val="22"/>
          <w:szCs w:val="22"/>
        </w:rPr>
      </w:pPr>
      <w:r w:rsidRPr="00D86B74">
        <w:rPr>
          <w:sz w:val="22"/>
          <w:szCs w:val="22"/>
        </w:rPr>
        <w:t>Total number of individuals in the population,</w:t>
      </w:r>
      <w:r w:rsidRPr="00D86B74">
        <w:rPr>
          <w:sz w:val="22"/>
          <w:szCs w:val="22"/>
          <w:lang w:val="en-US"/>
        </w:rPr>
        <w:t xml:space="preserve"> </w:t>
      </w:r>
      <w:r w:rsidR="0083391B" w:rsidRPr="00CA6A29">
        <w:rPr>
          <w:noProof/>
          <w:position w:val="-10"/>
        </w:rPr>
        <w:object w:dxaOrig="460" w:dyaOrig="320" w14:anchorId="2D5AEB64">
          <v:shape id="_x0000_i1104" type="#_x0000_t75" alt="" style="width:22.85pt;height:15.45pt;mso-width-percent:0;mso-height-percent:0;mso-width-percent:0;mso-height-percent:0" o:ole="">
            <v:imagedata r:id="rId97" o:title=""/>
          </v:shape>
          <o:OLEObject Type="Embed" ProgID="Equation.DSMT4" ShapeID="_x0000_i1104" DrawAspect="Content" ObjectID="_1675249120" r:id="rId98"/>
        </w:object>
      </w:r>
      <w:r w:rsidRPr="00D86B74">
        <w:rPr>
          <w:sz w:val="22"/>
          <w:szCs w:val="22"/>
          <w:lang w:val="en-US"/>
        </w:rPr>
        <w:t>,</w:t>
      </w:r>
      <w:r w:rsidR="008166A8" w:rsidRPr="00D86B74">
        <w:rPr>
          <w:sz w:val="22"/>
          <w:szCs w:val="22"/>
          <w:lang w:val="en-US"/>
        </w:rPr>
        <w:t xml:space="preserve"> </w:t>
      </w:r>
      <w:r w:rsidR="00175075" w:rsidRPr="00D86B74">
        <w:rPr>
          <w:sz w:val="22"/>
          <w:szCs w:val="22"/>
        </w:rPr>
        <w:t xml:space="preserve">was </w:t>
      </w:r>
      <w:r w:rsidR="00DE3062" w:rsidRPr="00D86B74">
        <w:rPr>
          <w:sz w:val="22"/>
          <w:szCs w:val="22"/>
        </w:rPr>
        <w:t>given by</w:t>
      </w:r>
      <w:r w:rsidRPr="00D86B74">
        <w:rPr>
          <w:sz w:val="22"/>
          <w:szCs w:val="22"/>
        </w:rPr>
        <w:t>:</w:t>
      </w:r>
    </w:p>
    <w:p w14:paraId="7ED9C47F" w14:textId="7C44EC03" w:rsidR="008166A8" w:rsidRPr="00D86B74" w:rsidRDefault="0083391B" w:rsidP="00D86B74">
      <w:pPr>
        <w:spacing w:before="120" w:after="0" w:line="360" w:lineRule="auto"/>
        <w:rPr>
          <w:rFonts w:ascii="Times New Roman" w:hAnsi="Times New Roman" w:cs="Times New Roman"/>
        </w:rPr>
      </w:pPr>
      <w:r w:rsidRPr="00CA6A29">
        <w:rPr>
          <w:noProof/>
          <w:position w:val="-26"/>
        </w:rPr>
        <w:object w:dxaOrig="7140" w:dyaOrig="620" w14:anchorId="5288C6B6">
          <v:shape id="_x0000_i1103" type="#_x0000_t75" alt="" style="width:358.3pt;height:30.85pt;mso-width-percent:0;mso-height-percent:0;mso-width-percent:0;mso-height-percent:0" o:ole="">
            <v:imagedata r:id="rId99" o:title=""/>
          </v:shape>
          <o:OLEObject Type="Embed" ProgID="Equation.DSMT4" ShapeID="_x0000_i1103" DrawAspect="Content" ObjectID="_1675249121" r:id="rId100"/>
        </w:object>
      </w:r>
    </w:p>
    <w:p w14:paraId="03542929" w14:textId="4A23ADE0" w:rsidR="008166A8" w:rsidRPr="00D86B74" w:rsidRDefault="00E64FF3" w:rsidP="00D86B74">
      <w:pPr>
        <w:spacing w:before="120" w:after="0" w:line="360" w:lineRule="auto"/>
        <w:rPr>
          <w:rFonts w:ascii="Times New Roman" w:hAnsi="Times New Roman" w:cs="Times New Roman"/>
        </w:rPr>
      </w:pPr>
      <w:r w:rsidRPr="00D86B74">
        <w:rPr>
          <w:rFonts w:ascii="Times New Roman" w:hAnsi="Times New Roman" w:cs="Times New Roman"/>
        </w:rPr>
        <w:t>The population growth rate (</w:t>
      </w:r>
      <w:r w:rsidR="0083391B" w:rsidRPr="00CA6A29">
        <w:rPr>
          <w:noProof/>
          <w:position w:val="-10"/>
        </w:rPr>
        <w:object w:dxaOrig="400" w:dyaOrig="300" w14:anchorId="2F2EFE47">
          <v:shape id="_x0000_i1102" type="#_x0000_t75" alt="" style="width:21.15pt;height:14.85pt;mso-width-percent:0;mso-height-percent:0;mso-width-percent:0;mso-height-percent:0" o:ole="">
            <v:imagedata r:id="rId101" o:title=""/>
          </v:shape>
          <o:OLEObject Type="Embed" ProgID="Equation.DSMT4" ShapeID="_x0000_i1102" DrawAspect="Content" ObjectID="_1675249122" r:id="rId102"/>
        </w:object>
      </w:r>
      <w:r w:rsidRPr="00D86B74">
        <w:rPr>
          <w:rFonts w:ascii="Times New Roman" w:hAnsi="Times New Roman" w:cs="Times New Roman"/>
        </w:rPr>
        <w:t>) and the natural mortality rate (</w:t>
      </w:r>
      <w:r w:rsidR="0083391B" w:rsidRPr="00CA6A29">
        <w:rPr>
          <w:noProof/>
          <w:position w:val="-10"/>
        </w:rPr>
        <w:object w:dxaOrig="600" w:dyaOrig="300" w14:anchorId="094535E0">
          <v:shape id="_x0000_i1101" type="#_x0000_t75" alt="" style="width:29.15pt;height:14.85pt;mso-width-percent:0;mso-height-percent:0;mso-width-percent:0;mso-height-percent:0" o:ole="">
            <v:imagedata r:id="rId103" o:title=""/>
          </v:shape>
          <o:OLEObject Type="Embed" ProgID="Equation.DSMT4" ShapeID="_x0000_i1101" DrawAspect="Content" ObjectID="_1675249123" r:id="rId104"/>
        </w:object>
      </w:r>
      <w:r w:rsidRPr="00D86B74">
        <w:rPr>
          <w:rFonts w:ascii="Times New Roman" w:hAnsi="Times New Roman" w:cs="Times New Roman"/>
        </w:rPr>
        <w:t>) were described by the following functions, providing a robust fit of population growth and age structure:</w:t>
      </w:r>
    </w:p>
    <w:p w14:paraId="4EBBC876" w14:textId="77777777" w:rsidR="008166A8" w:rsidRPr="00D86B74" w:rsidRDefault="0083391B" w:rsidP="00D86B74">
      <w:pPr>
        <w:pStyle w:val="p"/>
        <w:spacing w:before="120" w:after="0" w:line="360" w:lineRule="auto"/>
        <w:ind w:firstLine="0"/>
        <w:rPr>
          <w:sz w:val="22"/>
          <w:szCs w:val="22"/>
        </w:rPr>
      </w:pPr>
      <w:r w:rsidRPr="00CA6A29">
        <w:rPr>
          <w:noProof/>
          <w:position w:val="-10"/>
        </w:rPr>
        <w:object w:dxaOrig="1420" w:dyaOrig="600" w14:anchorId="20CD497E">
          <v:shape id="_x0000_i1100" type="#_x0000_t75" alt="" style="width:71.45pt;height:29.15pt;mso-width-percent:0;mso-height-percent:0;mso-width-percent:0;mso-height-percent:0" o:ole="">
            <v:imagedata r:id="rId105" o:title=""/>
          </v:shape>
          <o:OLEObject Type="Embed" ProgID="Equation.DSMT4" ShapeID="_x0000_i1100" DrawAspect="Content" ObjectID="_1675249124" r:id="rId106"/>
        </w:object>
      </w:r>
      <w:r w:rsidR="008166A8" w:rsidRPr="00D86B74">
        <w:rPr>
          <w:sz w:val="22"/>
          <w:szCs w:val="22"/>
        </w:rPr>
        <w:t xml:space="preserve"> </w:t>
      </w:r>
      <w:r w:rsidR="00EE2114" w:rsidRPr="00D86B74">
        <w:rPr>
          <w:sz w:val="22"/>
          <w:szCs w:val="22"/>
        </w:rPr>
        <w:tab/>
      </w:r>
      <w:r w:rsidR="00EE2114" w:rsidRPr="00D86B74">
        <w:rPr>
          <w:sz w:val="22"/>
          <w:szCs w:val="22"/>
        </w:rPr>
        <w:tab/>
      </w:r>
      <w:r w:rsidR="00EE2114" w:rsidRPr="00D86B74">
        <w:rPr>
          <w:sz w:val="22"/>
          <w:szCs w:val="22"/>
        </w:rPr>
        <w:tab/>
      </w:r>
      <w:r w:rsidR="00EE2114" w:rsidRPr="00D86B74">
        <w:rPr>
          <w:sz w:val="22"/>
          <w:szCs w:val="22"/>
        </w:rPr>
        <w:tab/>
      </w:r>
      <w:r w:rsidR="00EE2114" w:rsidRPr="00D86B74">
        <w:rPr>
          <w:sz w:val="22"/>
          <w:szCs w:val="22"/>
        </w:rPr>
        <w:tab/>
      </w:r>
      <w:r w:rsidR="00EE2114" w:rsidRPr="00D86B74">
        <w:rPr>
          <w:sz w:val="22"/>
          <w:szCs w:val="22"/>
        </w:rPr>
        <w:tab/>
      </w:r>
      <w:r w:rsidR="00EE2114" w:rsidRPr="00D86B74">
        <w:rPr>
          <w:sz w:val="22"/>
          <w:szCs w:val="22"/>
        </w:rPr>
        <w:tab/>
      </w:r>
      <w:r w:rsidR="001538F8" w:rsidRPr="00D86B74">
        <w:rPr>
          <w:sz w:val="22"/>
          <w:szCs w:val="22"/>
        </w:rPr>
        <w:tab/>
      </w:r>
      <w:r w:rsidR="001538F8" w:rsidRPr="00D86B74">
        <w:rPr>
          <w:sz w:val="22"/>
          <w:szCs w:val="22"/>
        </w:rPr>
        <w:tab/>
      </w:r>
    </w:p>
    <w:p w14:paraId="1506240C" w14:textId="77777777" w:rsidR="008166A8" w:rsidRPr="00D86B74" w:rsidRDefault="008166A8" w:rsidP="00D86B74">
      <w:pPr>
        <w:pStyle w:val="p"/>
        <w:spacing w:before="120" w:after="0" w:line="360" w:lineRule="auto"/>
        <w:ind w:firstLine="0"/>
        <w:rPr>
          <w:sz w:val="22"/>
          <w:szCs w:val="22"/>
        </w:rPr>
      </w:pPr>
      <w:r w:rsidRPr="00D86B74">
        <w:rPr>
          <w:sz w:val="22"/>
          <w:szCs w:val="22"/>
        </w:rPr>
        <w:t xml:space="preserve">and </w:t>
      </w:r>
    </w:p>
    <w:p w14:paraId="27A1AE49" w14:textId="77777777" w:rsidR="008166A8" w:rsidRPr="00D86B74" w:rsidRDefault="0083391B" w:rsidP="00D86B74">
      <w:pPr>
        <w:pStyle w:val="p"/>
        <w:spacing w:before="120" w:after="0" w:line="360" w:lineRule="auto"/>
        <w:ind w:firstLine="0"/>
        <w:rPr>
          <w:sz w:val="22"/>
          <w:szCs w:val="22"/>
        </w:rPr>
      </w:pPr>
      <w:r w:rsidRPr="00CA6A29">
        <w:rPr>
          <w:noProof/>
          <w:position w:val="-38"/>
        </w:rPr>
        <w:object w:dxaOrig="2040" w:dyaOrig="1020" w14:anchorId="3BC5F8C2">
          <v:shape id="_x0000_i1099" type="#_x0000_t75" alt="" style="width:102.3pt;height:49.7pt;mso-width-percent:0;mso-height-percent:0;mso-width-percent:0;mso-height-percent:0" o:ole="">
            <v:imagedata r:id="rId107" o:title=""/>
          </v:shape>
          <o:OLEObject Type="Embed" ProgID="Equation.DSMT4" ShapeID="_x0000_i1099" DrawAspect="Content" ObjectID="_1675249125" r:id="rId108"/>
        </w:object>
      </w:r>
      <w:r w:rsidR="00EE2114" w:rsidRPr="00D86B74">
        <w:rPr>
          <w:sz w:val="22"/>
          <w:szCs w:val="22"/>
        </w:rPr>
        <w:tab/>
      </w:r>
      <w:r w:rsidR="001538F8" w:rsidRPr="00D86B74">
        <w:rPr>
          <w:sz w:val="22"/>
          <w:szCs w:val="22"/>
        </w:rPr>
        <w:tab/>
      </w:r>
      <w:r w:rsidR="001538F8" w:rsidRPr="00D86B74">
        <w:rPr>
          <w:sz w:val="22"/>
          <w:szCs w:val="22"/>
        </w:rPr>
        <w:tab/>
      </w:r>
    </w:p>
    <w:p w14:paraId="00A7FCC4" w14:textId="55D24676" w:rsidR="003E6A81" w:rsidRPr="00D86B74" w:rsidRDefault="00E64FF3" w:rsidP="00D86B74">
      <w:pPr>
        <w:pStyle w:val="PlainText"/>
        <w:spacing w:before="120" w:line="360" w:lineRule="auto"/>
        <w:jc w:val="both"/>
        <w:rPr>
          <w:rFonts w:ascii="Times New Roman" w:hAnsi="Times New Roman" w:cs="Times New Roman"/>
          <w:szCs w:val="22"/>
        </w:rPr>
      </w:pPr>
      <w:r w:rsidRPr="00D86B74">
        <w:rPr>
          <w:rFonts w:ascii="Times New Roman" w:hAnsi="Times New Roman" w:cs="Times New Roman"/>
          <w:szCs w:val="22"/>
        </w:rPr>
        <w:t xml:space="preserve">Here the parameters </w:t>
      </w:r>
      <w:r w:rsidR="0083391B" w:rsidRPr="00CA6A29">
        <w:rPr>
          <w:noProof/>
          <w:position w:val="-10"/>
        </w:rPr>
        <w:object w:dxaOrig="240" w:dyaOrig="320" w14:anchorId="7B570972">
          <v:shape id="_x0000_i1098" type="#_x0000_t75" alt="" style="width:11.45pt;height:15.45pt;mso-width-percent:0;mso-height-percent:0;mso-width-percent:0;mso-height-percent:0" o:ole="">
            <v:imagedata r:id="rId109" o:title=""/>
          </v:shape>
          <o:OLEObject Type="Embed" ProgID="Equation.DSMT4" ShapeID="_x0000_i1098" DrawAspect="Content" ObjectID="_1675249126" r:id="rId110"/>
        </w:object>
      </w:r>
      <w:r w:rsidRPr="00D86B74">
        <w:rPr>
          <w:rFonts w:ascii="Times New Roman" w:hAnsi="Times New Roman" w:cs="Times New Roman"/>
          <w:szCs w:val="22"/>
        </w:rPr>
        <w:t xml:space="preserve">, </w:t>
      </w:r>
      <w:r w:rsidR="0083391B" w:rsidRPr="00CA6A29">
        <w:rPr>
          <w:noProof/>
          <w:position w:val="-10"/>
        </w:rPr>
        <w:object w:dxaOrig="240" w:dyaOrig="320" w14:anchorId="4A1A027A">
          <v:shape id="_x0000_i1097" type="#_x0000_t75" alt="" style="width:11.45pt;height:15.45pt;mso-width-percent:0;mso-height-percent:0;mso-width-percent:0;mso-height-percent:0" o:ole="">
            <v:imagedata r:id="rId111" o:title=""/>
          </v:shape>
          <o:OLEObject Type="Embed" ProgID="Equation.DSMT4" ShapeID="_x0000_i1097" DrawAspect="Content" ObjectID="_1675249127" r:id="rId112"/>
        </w:object>
      </w:r>
      <w:r w:rsidRPr="00D86B74">
        <w:rPr>
          <w:rFonts w:ascii="Times New Roman" w:hAnsi="Times New Roman" w:cs="Times New Roman"/>
          <w:szCs w:val="22"/>
        </w:rPr>
        <w:t xml:space="preserve">, </w:t>
      </w:r>
      <w:r w:rsidR="0083391B" w:rsidRPr="00CA6A29">
        <w:rPr>
          <w:noProof/>
          <w:position w:val="-10"/>
        </w:rPr>
        <w:object w:dxaOrig="240" w:dyaOrig="320" w14:anchorId="1979D260">
          <v:shape id="_x0000_i1096" type="#_x0000_t75" alt="" style="width:11.45pt;height:15.45pt;mso-width-percent:0;mso-height-percent:0;mso-width-percent:0;mso-height-percent:0" o:ole="">
            <v:imagedata r:id="rId113" o:title=""/>
          </v:shape>
          <o:OLEObject Type="Embed" ProgID="Equation.DSMT4" ShapeID="_x0000_i1096" DrawAspect="Content" ObjectID="_1675249128" r:id="rId114"/>
        </w:object>
      </w:r>
      <w:r w:rsidRPr="00D86B74">
        <w:rPr>
          <w:rFonts w:ascii="Times New Roman" w:hAnsi="Times New Roman" w:cs="Times New Roman"/>
          <w:szCs w:val="22"/>
        </w:rPr>
        <w:t xml:space="preserve">, </w:t>
      </w:r>
      <w:r w:rsidR="0083391B" w:rsidRPr="00CA6A29">
        <w:rPr>
          <w:noProof/>
          <w:position w:val="-10"/>
        </w:rPr>
        <w:object w:dxaOrig="220" w:dyaOrig="320" w14:anchorId="097414E4">
          <v:shape id="_x0000_i1095" type="#_x0000_t75" alt="" style="width:10.3pt;height:15.45pt;mso-width-percent:0;mso-height-percent:0;mso-width-percent:0;mso-height-percent:0" o:ole="">
            <v:imagedata r:id="rId115" o:title=""/>
          </v:shape>
          <o:OLEObject Type="Embed" ProgID="Equation.DSMT4" ShapeID="_x0000_i1095" DrawAspect="Content" ObjectID="_1675249129" r:id="rId116"/>
        </w:object>
      </w:r>
      <w:r w:rsidRPr="00D86B74">
        <w:rPr>
          <w:rFonts w:ascii="Times New Roman" w:hAnsi="Times New Roman" w:cs="Times New Roman"/>
          <w:szCs w:val="22"/>
        </w:rPr>
        <w:t xml:space="preserve">, </w:t>
      </w:r>
      <w:r w:rsidR="0083391B" w:rsidRPr="00CA6A29">
        <w:rPr>
          <w:noProof/>
          <w:position w:val="-10"/>
        </w:rPr>
        <w:object w:dxaOrig="200" w:dyaOrig="320" w14:anchorId="05EDEF1E">
          <v:shape id="_x0000_i1094" type="#_x0000_t75" alt="" style="width:10.3pt;height:15.45pt;mso-width-percent:0;mso-height-percent:0;mso-width-percent:0;mso-height-percent:0" o:ole="">
            <v:imagedata r:id="rId117" o:title=""/>
          </v:shape>
          <o:OLEObject Type="Embed" ProgID="Equation.DSMT4" ShapeID="_x0000_i1094" DrawAspect="Content" ObjectID="_1675249130" r:id="rId118"/>
        </w:object>
      </w:r>
      <w:r w:rsidRPr="00D86B74">
        <w:rPr>
          <w:rFonts w:ascii="Times New Roman" w:hAnsi="Times New Roman" w:cs="Times New Roman"/>
          <w:szCs w:val="22"/>
        </w:rPr>
        <w:t xml:space="preserve">, </w:t>
      </w:r>
      <w:r w:rsidR="0083391B" w:rsidRPr="00CA6A29">
        <w:rPr>
          <w:noProof/>
          <w:position w:val="-10"/>
        </w:rPr>
        <w:object w:dxaOrig="240" w:dyaOrig="320" w14:anchorId="3F0FA018">
          <v:shape id="_x0000_i1093" type="#_x0000_t75" alt="" style="width:11.45pt;height:15.45pt;mso-width-percent:0;mso-height-percent:0;mso-width-percent:0;mso-height-percent:0" o:ole="">
            <v:imagedata r:id="rId119" o:title=""/>
          </v:shape>
          <o:OLEObject Type="Embed" ProgID="Equation.DSMT4" ShapeID="_x0000_i1093" DrawAspect="Content" ObjectID="_1675249131" r:id="rId120"/>
        </w:object>
      </w:r>
      <w:r w:rsidRPr="00D86B74">
        <w:rPr>
          <w:rFonts w:ascii="Times New Roman" w:hAnsi="Times New Roman" w:cs="Times New Roman"/>
          <w:szCs w:val="22"/>
        </w:rPr>
        <w:t xml:space="preserve">, </w:t>
      </w:r>
      <w:r w:rsidR="0083391B" w:rsidRPr="00CA6A29">
        <w:rPr>
          <w:noProof/>
          <w:position w:val="-10"/>
        </w:rPr>
        <w:object w:dxaOrig="240" w:dyaOrig="320" w14:anchorId="78238441">
          <v:shape id="_x0000_i1092" type="#_x0000_t75" alt="" style="width:11.45pt;height:15.45pt;mso-width-percent:0;mso-height-percent:0;mso-width-percent:0;mso-height-percent:0" o:ole="">
            <v:imagedata r:id="rId121" o:title=""/>
          </v:shape>
          <o:OLEObject Type="Embed" ProgID="Equation.DSMT4" ShapeID="_x0000_i1092" DrawAspect="Content" ObjectID="_1675249132" r:id="rId122"/>
        </w:object>
      </w:r>
      <w:r w:rsidRPr="00D86B74">
        <w:rPr>
          <w:rFonts w:ascii="Times New Roman" w:hAnsi="Times New Roman" w:cs="Times New Roman"/>
          <w:szCs w:val="22"/>
        </w:rPr>
        <w:t xml:space="preserve">, and </w:t>
      </w:r>
      <w:r w:rsidR="0083391B" w:rsidRPr="00CA6A29">
        <w:rPr>
          <w:noProof/>
          <w:position w:val="-10"/>
        </w:rPr>
        <w:object w:dxaOrig="240" w:dyaOrig="320" w14:anchorId="19CA4AD1">
          <v:shape id="_x0000_i1091" type="#_x0000_t75" alt="" style="width:11.45pt;height:15.45pt;mso-width-percent:0;mso-height-percent:0;mso-width-percent:0;mso-height-percent:0" o:ole="">
            <v:imagedata r:id="rId123" o:title=""/>
          </v:shape>
          <o:OLEObject Type="Embed" ProgID="Equation.DSMT4" ShapeID="_x0000_i1091" DrawAspect="Content" ObjectID="_1675249133" r:id="rId124"/>
        </w:object>
      </w:r>
      <w:r w:rsidRPr="00D86B74">
        <w:rPr>
          <w:rFonts w:ascii="Times New Roman" w:hAnsi="Times New Roman" w:cs="Times New Roman"/>
          <w:szCs w:val="22"/>
        </w:rPr>
        <w:t xml:space="preserve">were obtained by fitting the model to </w:t>
      </w:r>
      <w:r w:rsidR="00251C51" w:rsidRPr="00D86B74">
        <w:rPr>
          <w:rFonts w:ascii="Times New Roman" w:hAnsi="Times New Roman" w:cs="Times New Roman"/>
          <w:szCs w:val="22"/>
        </w:rPr>
        <w:t xml:space="preserve">the </w:t>
      </w:r>
      <w:r w:rsidRPr="00D86B74">
        <w:rPr>
          <w:rFonts w:ascii="Times New Roman" w:hAnsi="Times New Roman" w:cs="Times New Roman"/>
          <w:szCs w:val="22"/>
        </w:rPr>
        <w:t>demographic data from the database of the Population Division of the United Nations Department of Economic and Social Affairs</w:t>
      </w:r>
      <w:r w:rsidR="00755233">
        <w:rPr>
          <w:rFonts w:ascii="Times New Roman" w:hAnsi="Times New Roman" w:cs="Times New Roman"/>
          <w:szCs w:val="22"/>
        </w:rPr>
        <w:fldChar w:fldCharType="begin"/>
      </w:r>
      <w:r w:rsidR="00755233">
        <w:rPr>
          <w:rFonts w:ascii="Times New Roman" w:hAnsi="Times New Roman" w:cs="Times New Roman"/>
          <w:szCs w:val="22"/>
        </w:rPr>
        <w:instrText xml:space="preserve"> ADDIN ZOTERO_ITEM CSL_CITATION {"citationID":"GwyZ9CVe","properties":{"formattedCitation":"\\super 3\\nosupersub{}","plainCitation":"3","noteIndex":0},"citationItems":[{"id":28982,"uris":["http://zotero.org/users/local/p8g0WsVO/items/7FJJ8B5G"],"uri":["http://zotero.org/users/local/p8g0WsVO/items/7FJJ8B5G"],"itemData":{"id":28982,"type":"webpage","title":"World Population Prospects - Population Division - United Nations","URL":"https://population.un.org/wpp/Download/Standard/Population/","accessed":{"date-parts":[["2020",10,2]]}}}],"schema":"https://github.com/citation-style-language/schema/raw/master/csl-citation.json"} </w:instrText>
      </w:r>
      <w:r w:rsidR="00755233">
        <w:rPr>
          <w:rFonts w:ascii="Times New Roman" w:hAnsi="Times New Roman" w:cs="Times New Roman"/>
          <w:szCs w:val="22"/>
        </w:rPr>
        <w:fldChar w:fldCharType="separate"/>
      </w:r>
      <w:r w:rsidR="00755233" w:rsidRPr="00755233">
        <w:rPr>
          <w:rFonts w:ascii="Times New Roman" w:hAnsi="Times New Roman" w:cs="Times New Roman"/>
          <w:vertAlign w:val="superscript"/>
        </w:rPr>
        <w:t>3</w:t>
      </w:r>
      <w:r w:rsidR="00755233">
        <w:rPr>
          <w:rFonts w:ascii="Times New Roman" w:hAnsi="Times New Roman" w:cs="Times New Roman"/>
          <w:szCs w:val="22"/>
        </w:rPr>
        <w:fldChar w:fldCharType="end"/>
      </w:r>
      <w:r w:rsidR="00F326CE" w:rsidRPr="00D86B74">
        <w:rPr>
          <w:rFonts w:ascii="Times New Roman" w:hAnsi="Times New Roman" w:cs="Times New Roman"/>
          <w:szCs w:val="22"/>
        </w:rPr>
        <w:t>.</w:t>
      </w:r>
    </w:p>
    <w:p w14:paraId="4798A14D" w14:textId="77777777" w:rsidR="00E53D51" w:rsidRPr="009728D2" w:rsidRDefault="00F07F1D" w:rsidP="00D86B74">
      <w:pPr>
        <w:pStyle w:val="ListParagraph"/>
        <w:numPr>
          <w:ilvl w:val="1"/>
          <w:numId w:val="12"/>
        </w:numPr>
        <w:tabs>
          <w:tab w:val="left" w:pos="720"/>
        </w:tabs>
        <w:spacing w:before="120" w:after="0" w:line="360" w:lineRule="auto"/>
        <w:ind w:left="720" w:hanging="720"/>
        <w:contextualSpacing w:val="0"/>
        <w:rPr>
          <w:rFonts w:ascii="Times New Roman" w:eastAsia="Times New Roman" w:hAnsi="Times New Roman" w:cs="Times New Roman"/>
          <w:b/>
          <w:sz w:val="24"/>
          <w:szCs w:val="24"/>
          <w:lang w:val="en-GB"/>
        </w:rPr>
      </w:pPr>
      <w:r w:rsidRPr="009728D2">
        <w:rPr>
          <w:rFonts w:ascii="Times New Roman" w:eastAsia="Times New Roman" w:hAnsi="Times New Roman" w:cs="Times New Roman"/>
          <w:b/>
          <w:sz w:val="24"/>
          <w:szCs w:val="24"/>
          <w:lang w:val="en-GB"/>
        </w:rPr>
        <w:t xml:space="preserve">TB </w:t>
      </w:r>
      <w:r w:rsidR="0004674E" w:rsidRPr="009728D2">
        <w:rPr>
          <w:rFonts w:ascii="Times New Roman" w:eastAsia="Times New Roman" w:hAnsi="Times New Roman" w:cs="Times New Roman"/>
          <w:b/>
          <w:sz w:val="24"/>
          <w:szCs w:val="24"/>
          <w:lang w:val="en-GB"/>
        </w:rPr>
        <w:t xml:space="preserve">force of infection and temporal evolution </w:t>
      </w:r>
      <w:r w:rsidR="009E5839" w:rsidRPr="009728D2">
        <w:rPr>
          <w:rFonts w:ascii="Times New Roman" w:eastAsia="Times New Roman" w:hAnsi="Times New Roman" w:cs="Times New Roman"/>
          <w:b/>
          <w:sz w:val="24"/>
          <w:szCs w:val="24"/>
          <w:lang w:val="en-GB"/>
        </w:rPr>
        <w:t>of</w:t>
      </w:r>
      <w:r w:rsidR="00E53D51" w:rsidRPr="009728D2">
        <w:rPr>
          <w:rFonts w:ascii="Times New Roman" w:eastAsia="Times New Roman" w:hAnsi="Times New Roman" w:cs="Times New Roman"/>
          <w:b/>
          <w:sz w:val="24"/>
          <w:szCs w:val="24"/>
          <w:lang w:val="en-GB"/>
        </w:rPr>
        <w:t xml:space="preserve"> TB </w:t>
      </w:r>
      <w:r w:rsidR="0004674E" w:rsidRPr="009728D2">
        <w:rPr>
          <w:rFonts w:ascii="Times New Roman" w:eastAsia="Times New Roman" w:hAnsi="Times New Roman" w:cs="Times New Roman"/>
          <w:b/>
          <w:sz w:val="24"/>
          <w:szCs w:val="24"/>
          <w:lang w:val="en-GB"/>
        </w:rPr>
        <w:t>contact rat</w:t>
      </w:r>
      <w:r w:rsidR="00E53D51" w:rsidRPr="009728D2">
        <w:rPr>
          <w:rFonts w:ascii="Times New Roman" w:eastAsia="Times New Roman" w:hAnsi="Times New Roman" w:cs="Times New Roman"/>
          <w:b/>
          <w:sz w:val="24"/>
          <w:szCs w:val="24"/>
          <w:lang w:val="en-GB"/>
        </w:rPr>
        <w:t>e</w:t>
      </w:r>
    </w:p>
    <w:p w14:paraId="4570E65C" w14:textId="77777777" w:rsidR="003447A3" w:rsidRPr="00D86B74" w:rsidRDefault="00E64FF3" w:rsidP="00D86B74">
      <w:pPr>
        <w:pStyle w:val="p"/>
        <w:spacing w:before="120" w:after="0" w:line="360" w:lineRule="auto"/>
        <w:ind w:firstLine="0"/>
        <w:jc w:val="both"/>
        <w:rPr>
          <w:sz w:val="22"/>
          <w:szCs w:val="22"/>
        </w:rPr>
      </w:pPr>
      <w:r w:rsidRPr="00D86B74">
        <w:rPr>
          <w:sz w:val="22"/>
          <w:szCs w:val="22"/>
        </w:rPr>
        <w:t>Assuming that the mixing between individuals in the population was random, the TB force of infection (</w:t>
      </w:r>
      <w:r w:rsidR="0083391B" w:rsidRPr="00CA6A29">
        <w:rPr>
          <w:noProof/>
          <w:position w:val="-6"/>
        </w:rPr>
        <w:object w:dxaOrig="200" w:dyaOrig="260" w14:anchorId="2CE25908">
          <v:shape id="_x0000_i1090" type="#_x0000_t75" alt="" style="width:10.3pt;height:12.55pt;mso-width-percent:0;mso-height-percent:0;mso-width-percent:0;mso-height-percent:0" o:ole="">
            <v:imagedata r:id="rId125" o:title=""/>
          </v:shape>
          <o:OLEObject Type="Embed" ProgID="Equation.DSMT4" ShapeID="_x0000_i1090" DrawAspect="Content" ObjectID="_1675249134" r:id="rId126"/>
        </w:object>
      </w:r>
      <w:r w:rsidRPr="00D86B74">
        <w:rPr>
          <w:sz w:val="22"/>
          <w:szCs w:val="22"/>
        </w:rPr>
        <w:t>) was determined by the probability of transmission per respiratory contact (</w:t>
      </w:r>
      <w:r w:rsidR="0083391B" w:rsidRPr="00CA6A29">
        <w:rPr>
          <w:noProof/>
          <w:position w:val="-6"/>
        </w:rPr>
        <w:object w:dxaOrig="180" w:dyaOrig="220" w14:anchorId="3BE4060D">
          <v:shape id="_x0000_i1089" type="#_x0000_t75" alt="" style="width:9.7pt;height:10.3pt;mso-width-percent:0;mso-height-percent:0;mso-width-percent:0;mso-height-percent:0" o:ole="">
            <v:imagedata r:id="rId127" o:title=""/>
          </v:shape>
          <o:OLEObject Type="Embed" ProgID="Equation.DSMT4" ShapeID="_x0000_i1089" DrawAspect="Content" ObjectID="_1675249135" r:id="rId128"/>
        </w:object>
      </w:r>
      <w:r w:rsidRPr="00D86B74">
        <w:rPr>
          <w:sz w:val="22"/>
          <w:szCs w:val="22"/>
        </w:rPr>
        <w:t>), the respiratory contact rate within a population (</w:t>
      </w:r>
      <w:r w:rsidR="0083391B" w:rsidRPr="00CA6A29">
        <w:rPr>
          <w:noProof/>
          <w:position w:val="-6"/>
        </w:rPr>
        <w:object w:dxaOrig="200" w:dyaOrig="220" w14:anchorId="319B66B0">
          <v:shape id="_x0000_i1088" type="#_x0000_t75" alt="" style="width:10.3pt;height:10.3pt;mso-width-percent:0;mso-height-percent:0;mso-width-percent:0;mso-height-percent:0" o:ole="">
            <v:imagedata r:id="rId129" o:title=""/>
          </v:shape>
          <o:OLEObject Type="Embed" ProgID="Equation.DSMT4" ShapeID="_x0000_i1088" DrawAspect="Content" ObjectID="_1675249136" r:id="rId130"/>
        </w:object>
      </w:r>
      <w:r w:rsidRPr="00D86B74">
        <w:rPr>
          <w:sz w:val="22"/>
          <w:szCs w:val="22"/>
        </w:rPr>
        <w:t>), and the relative infectiousness of individuals with each type of TB disease (whether untreated or treated) compared to the infectiousness of individuals with smear-positive pulmonary TB (</w:t>
      </w:r>
      <w:r w:rsidR="0083391B" w:rsidRPr="00025957">
        <w:rPr>
          <w:noProof/>
          <w:position w:val="-4"/>
        </w:rPr>
        <w:object w:dxaOrig="180" w:dyaOrig="240" w14:anchorId="5F41E54E">
          <v:shape id="_x0000_i1087" type="#_x0000_t75" alt="" style="width:9.7pt;height:11.45pt;mso-width-percent:0;mso-height-percent:0;mso-width-percent:0;mso-height-percent:0" o:ole="">
            <v:imagedata r:id="rId131" o:title=""/>
          </v:shape>
          <o:OLEObject Type="Embed" ProgID="Equation.DSMT4" ShapeID="_x0000_i1087" DrawAspect="Content" ObjectID="_1675249137" r:id="rId132"/>
        </w:object>
      </w:r>
      <w:r w:rsidRPr="00D86B74">
        <w:rPr>
          <w:sz w:val="22"/>
          <w:szCs w:val="22"/>
        </w:rPr>
        <w:t>)</w:t>
      </w:r>
      <w:r w:rsidR="003447A3" w:rsidRPr="00D86B74">
        <w:rPr>
          <w:sz w:val="22"/>
          <w:szCs w:val="22"/>
        </w:rPr>
        <w:t xml:space="preserve">: </w:t>
      </w:r>
    </w:p>
    <w:p w14:paraId="17421F22" w14:textId="38A505C3" w:rsidR="003447A3" w:rsidRPr="00D86B74" w:rsidRDefault="0083391B" w:rsidP="00D86B74">
      <w:pPr>
        <w:pStyle w:val="p"/>
        <w:spacing w:before="120" w:after="0" w:line="360" w:lineRule="auto"/>
        <w:ind w:firstLine="0"/>
        <w:rPr>
          <w:sz w:val="22"/>
          <w:szCs w:val="22"/>
        </w:rPr>
      </w:pPr>
      <w:r w:rsidRPr="00CA6A29">
        <w:rPr>
          <w:noProof/>
          <w:position w:val="-28"/>
        </w:rPr>
        <w:object w:dxaOrig="8080" w:dyaOrig="940" w14:anchorId="6C377926">
          <v:shape id="_x0000_i1086" type="#_x0000_t75" alt="" style="width:404pt;height:46.3pt;mso-width-percent:0;mso-height-percent:0;mso-width-percent:0;mso-height-percent:0" o:ole="">
            <v:imagedata r:id="rId133" o:title=""/>
          </v:shape>
          <o:OLEObject Type="Embed" ProgID="Equation.DSMT4" ShapeID="_x0000_i1086" DrawAspect="Content" ObjectID="_1675249138" r:id="rId134"/>
        </w:object>
      </w:r>
    </w:p>
    <w:p w14:paraId="5EB1084F" w14:textId="67A79751" w:rsidR="00CC4D0A" w:rsidRPr="00D86B74" w:rsidRDefault="004154A8" w:rsidP="00D86B74">
      <w:pPr>
        <w:spacing w:before="120" w:after="0" w:line="360" w:lineRule="auto"/>
        <w:jc w:val="both"/>
        <w:rPr>
          <w:rFonts w:ascii="Times New Roman" w:hAnsi="Times New Roman" w:cs="Times New Roman"/>
        </w:rPr>
      </w:pPr>
      <w:r w:rsidRPr="00D86B74">
        <w:rPr>
          <w:rFonts w:ascii="Times New Roman" w:hAnsi="Times New Roman" w:cs="Times New Roman"/>
        </w:rPr>
        <w:t xml:space="preserve">Given the evidence for declining TB incidence in </w:t>
      </w:r>
      <w:r w:rsidR="00251C51" w:rsidRPr="00D86B74">
        <w:rPr>
          <w:rFonts w:ascii="Times New Roman" w:hAnsi="Times New Roman" w:cs="Times New Roman"/>
        </w:rPr>
        <w:t xml:space="preserve">each of </w:t>
      </w:r>
      <w:r w:rsidRPr="00D86B74">
        <w:rPr>
          <w:rFonts w:ascii="Times New Roman" w:hAnsi="Times New Roman" w:cs="Times New Roman"/>
        </w:rPr>
        <w:t>India</w:t>
      </w:r>
      <w:r w:rsidR="00251C51" w:rsidRPr="00D86B74">
        <w:rPr>
          <w:rFonts w:ascii="Times New Roman" w:hAnsi="Times New Roman" w:cs="Times New Roman"/>
        </w:rPr>
        <w:t xml:space="preserve"> and Indonesia</w:t>
      </w:r>
      <w:r w:rsidRPr="00D86B74">
        <w:rPr>
          <w:rFonts w:ascii="Times New Roman" w:hAnsi="Times New Roman" w:cs="Times New Roman"/>
        </w:rPr>
        <w:t xml:space="preserve">, </w:t>
      </w:r>
      <w:r w:rsidR="007C6CA6" w:rsidRPr="00D86B74">
        <w:rPr>
          <w:rFonts w:ascii="Times New Roman" w:hAnsi="Times New Roman" w:cs="Times New Roman"/>
        </w:rPr>
        <w:t xml:space="preserve">a </w:t>
      </w:r>
      <w:r w:rsidRPr="00D86B74">
        <w:rPr>
          <w:rFonts w:ascii="Times New Roman" w:hAnsi="Times New Roman" w:cs="Times New Roman"/>
        </w:rPr>
        <w:t xml:space="preserve">temporal change in </w:t>
      </w:r>
      <w:r w:rsidR="0083391B" w:rsidRPr="00CA6A29">
        <w:rPr>
          <w:noProof/>
          <w:position w:val="-6"/>
        </w:rPr>
        <w:object w:dxaOrig="200" w:dyaOrig="220" w14:anchorId="5FF79C07">
          <v:shape id="_x0000_i1085" type="#_x0000_t75" alt="" style="width:10.3pt;height:10.3pt;mso-width-percent:0;mso-height-percent:0;mso-width-percent:0;mso-height-percent:0" o:ole="">
            <v:imagedata r:id="rId135" o:title=""/>
          </v:shape>
          <o:OLEObject Type="Embed" ProgID="Equation.DSMT4" ShapeID="_x0000_i1085" DrawAspect="Content" ObjectID="_1675249139" r:id="rId136"/>
        </w:object>
      </w:r>
      <w:r w:rsidRPr="00D86B74">
        <w:rPr>
          <w:rFonts w:ascii="Times New Roman" w:hAnsi="Times New Roman" w:cs="Times New Roman"/>
        </w:rPr>
        <w:t xml:space="preserve"> was incorporated in the model. The temporal variation was characterize</w:t>
      </w:r>
      <w:r w:rsidR="00F566CD" w:rsidRPr="00D86B74">
        <w:rPr>
          <w:rFonts w:ascii="Times New Roman" w:hAnsi="Times New Roman" w:cs="Times New Roman"/>
        </w:rPr>
        <w:t>d through a Wood-Saxon fun</w:t>
      </w:r>
      <w:r w:rsidR="00F326CE" w:rsidRPr="00D86B74">
        <w:rPr>
          <w:rFonts w:ascii="Times New Roman" w:hAnsi="Times New Roman" w:cs="Times New Roman"/>
        </w:rPr>
        <w:t>ction</w:t>
      </w:r>
      <w:r w:rsidR="00755233">
        <w:rPr>
          <w:rFonts w:ascii="Times New Roman" w:hAnsi="Times New Roman" w:cs="Times New Roman"/>
        </w:rPr>
        <w:fldChar w:fldCharType="begin"/>
      </w:r>
      <w:r w:rsidR="00755233">
        <w:rPr>
          <w:rFonts w:ascii="Times New Roman" w:hAnsi="Times New Roman" w:cs="Times New Roman"/>
        </w:rPr>
        <w:instrText xml:space="preserve"> ADDIN ZOTERO_ITEM CSL_CITATION {"citationID":"kKa9pUfF","properties":{"formattedCitation":"\\super 4\\nosupersub{}","plainCitation":"4","noteIndex":0},"citationItems":[{"id":28970,"uris":["http://zotero.org/users/local/p8g0WsVO/items/SKWLIT6Z"],"uri":["http://zotero.org/users/local/p8g0WsVO/items/SKWLIT6Z"],"itemData":{"id":28970,"type":"article-journal","abstract":"DOI:https://doi.org/10.1103/PhysRev.95.577","container-title":"Physical Review","DOI":"10.1103/PhysRev.95.577","issue":"2","journalAbbreviation":"Phys. Rev.","note":"publisher: American Physical Society","page":"577-578","source":"APS","title":"Diffuse Surface Optical Model for Nucleon-Nuclei Scattering","volume":"95","author":[{"family":"Woods","given":"Roger D."},{"family":"Saxon","given":"David S."}],"issued":{"date-parts":[["1954",7,15]]}}}],"schema":"https://github.com/citation-style-language/schema/raw/master/csl-citation.json"} </w:instrText>
      </w:r>
      <w:r w:rsidR="00755233">
        <w:rPr>
          <w:rFonts w:ascii="Times New Roman" w:hAnsi="Times New Roman" w:cs="Times New Roman"/>
        </w:rPr>
        <w:fldChar w:fldCharType="separate"/>
      </w:r>
      <w:r w:rsidR="00755233" w:rsidRPr="00755233">
        <w:rPr>
          <w:rFonts w:ascii="Times New Roman" w:hAnsi="Times New Roman" w:cs="Times New Roman"/>
          <w:vertAlign w:val="superscript"/>
        </w:rPr>
        <w:t>4</w:t>
      </w:r>
      <w:r w:rsidR="00755233">
        <w:rPr>
          <w:rFonts w:ascii="Times New Roman" w:hAnsi="Times New Roman" w:cs="Times New Roman"/>
        </w:rPr>
        <w:fldChar w:fldCharType="end"/>
      </w:r>
      <w:r w:rsidR="00E70B8D" w:rsidRPr="00E70B8D">
        <w:rPr>
          <w:rFonts w:ascii="Times New Roman" w:hAnsi="Times New Roman" w:cs="Times New Roman"/>
          <w:vertAlign w:val="superscript"/>
        </w:rPr>
        <w:t>,</w:t>
      </w:r>
      <w:r w:rsidR="00E70B8D">
        <w:rPr>
          <w:rFonts w:ascii="Times New Roman" w:hAnsi="Times New Roman" w:cs="Times New Roman"/>
        </w:rPr>
        <w:fldChar w:fldCharType="begin"/>
      </w:r>
      <w:r w:rsidR="00986EAF">
        <w:rPr>
          <w:rFonts w:ascii="Times New Roman" w:hAnsi="Times New Roman" w:cs="Times New Roman"/>
        </w:rPr>
        <w:instrText xml:space="preserve"> ADDIN ZOTERO_ITEM CSL_CITATION {"citationID":"QbD9TDx1","properties":{"formattedCitation":"\\super 5\\nosupersub{}","plainCitation":"5","noteIndex":0},"citationItems":[{"id":28984,"uris":["http://zotero.org/users/local/p8g0WsVO/items/QJVVUZ56"],"uri":["http://zotero.org/users/local/p8g0WsVO/items/QJVVUZ56"],"itemData":{"id":28984,"type":"article-journal","abstract":"The introduction of local optical potential wells of a generalized Wood-Saxon (WS) type in optical-model studies, and also in some developments of the energy density formalism, is necessary to deal with the moments of a Wood-Saxon distribution raised to a (in general non-integral) real power (WS)beta . The analytic structure of these moments Dn, beta (a, R) is analysed. In fact, an expansion is derived for them that for intermediate and large values of chi =R/a reduces to a polynomial of order n in chi . At the same time, rapidly converging series expansions are obtained in order to represent the coefficients appearing in this polynomial and, in addition, a recursion relation that makes their numerical computation easier is established. Finally, by assuming a (WS)beta parametrisation, this polynomial is applied to the study of the A dependence of several quantities of relevance in the geometrical characterisation of density distributions and optical potential wells corresponding to medium-mass and heavy nuclei.","container-title":"Journal of Physics A: Mathematical and General","DOI":"10.1088/0305-4470/20/9/017","ISSN":"0305-4470","issue":"9","journalAbbreviation":"J. Phys. A: Math. Gen.","language":"en","note":"publisher: IOP Publishing","page":"2293–2306","source":"Institute of Physics","title":"On the moments of a Wood Saxon beta distribution.","volume":"20","author":[{"family":"Velicia","given":"F. J. Fernandez"}],"issued":{"date-parts":[["1987",6]]}}}],"schema":"https://github.com/citation-style-language/schema/raw/master/csl-citation.json"} </w:instrText>
      </w:r>
      <w:r w:rsidR="00E70B8D">
        <w:rPr>
          <w:rFonts w:ascii="Times New Roman" w:hAnsi="Times New Roman" w:cs="Times New Roman"/>
        </w:rPr>
        <w:fldChar w:fldCharType="separate"/>
      </w:r>
      <w:r w:rsidR="00E70B8D" w:rsidRPr="00E70B8D">
        <w:rPr>
          <w:rFonts w:ascii="Times New Roman" w:hAnsi="Times New Roman" w:cs="Times New Roman"/>
          <w:vertAlign w:val="superscript"/>
        </w:rPr>
        <w:t>5</w:t>
      </w:r>
      <w:r w:rsidR="00E70B8D">
        <w:rPr>
          <w:rFonts w:ascii="Times New Roman" w:hAnsi="Times New Roman" w:cs="Times New Roman"/>
        </w:rPr>
        <w:fldChar w:fldCharType="end"/>
      </w:r>
      <w:r w:rsidR="00F326CE" w:rsidRPr="00D86B74">
        <w:rPr>
          <w:rFonts w:ascii="Times New Roman" w:hAnsi="Times New Roman" w:cs="Times New Roman"/>
        </w:rPr>
        <w:t>.</w:t>
      </w:r>
      <w:r w:rsidRPr="00D86B74">
        <w:rPr>
          <w:rFonts w:ascii="Times New Roman" w:hAnsi="Times New Roman" w:cs="Times New Roman"/>
        </w:rPr>
        <w:t xml:space="preserve"> This function is mathematically designed to describe and characterize transitions</w:t>
      </w:r>
      <w:r w:rsidRPr="00350555">
        <w:rPr>
          <w:rFonts w:ascii="Times New Roman" w:hAnsi="Times New Roman" w:cs="Times New Roman"/>
        </w:rPr>
        <w:t>. It parameterizes a transition in terms of its scale or strength, smoothness or abruptness, duration, and the turning year</w:t>
      </w:r>
      <w:r w:rsidR="00E70B8D">
        <w:rPr>
          <w:rFonts w:ascii="Times New Roman" w:hAnsi="Times New Roman" w:cs="Times New Roman"/>
        </w:rPr>
        <w:fldChar w:fldCharType="begin"/>
      </w:r>
      <w:r w:rsidR="00E70B8D">
        <w:rPr>
          <w:rFonts w:ascii="Times New Roman" w:hAnsi="Times New Roman" w:cs="Times New Roman"/>
        </w:rPr>
        <w:instrText xml:space="preserve"> ADDIN ZOTERO_ITEM CSL_CITATION {"citationID":"S8fWVkOi","properties":{"formattedCitation":"\\super 4\\nosupersub{}","plainCitation":"4","noteIndex":0},"citationItems":[{"id":28970,"uris":["http://zotero.org/users/local/p8g0WsVO/items/SKWLIT6Z"],"uri":["http://zotero.org/users/local/p8g0WsVO/items/SKWLIT6Z"],"itemData":{"id":28970,"type":"article-journal","abstract":"DOI:https://doi.org/10.1103/PhysRev.95.577","container-title":"Physical Review","DOI":"10.1103/PhysRev.95.577","issue":"2","journalAbbreviation":"Phys. Rev.","note":"publisher: American Physical Society","page":"577-578","source":"APS","title":"Diffuse Surface Optical Model for Nucleon-Nuclei Scattering","volume":"95","author":[{"family":"Woods","given":"Roger D."},{"family":"Saxon","given":"David S."}],"issued":{"date-parts":[["1954",7,15]]}}}],"schema":"https://github.com/citation-style-language/schema/raw/master/csl-citation.json"} </w:instrText>
      </w:r>
      <w:r w:rsidR="00E70B8D">
        <w:rPr>
          <w:rFonts w:ascii="Times New Roman" w:hAnsi="Times New Roman" w:cs="Times New Roman"/>
        </w:rPr>
        <w:fldChar w:fldCharType="separate"/>
      </w:r>
      <w:r w:rsidR="00E70B8D" w:rsidRPr="00755233">
        <w:rPr>
          <w:rFonts w:ascii="Times New Roman" w:hAnsi="Times New Roman" w:cs="Times New Roman"/>
          <w:vertAlign w:val="superscript"/>
        </w:rPr>
        <w:t>4</w:t>
      </w:r>
      <w:r w:rsidR="00E70B8D">
        <w:rPr>
          <w:rFonts w:ascii="Times New Roman" w:hAnsi="Times New Roman" w:cs="Times New Roman"/>
        </w:rPr>
        <w:fldChar w:fldCharType="end"/>
      </w:r>
      <w:r w:rsidR="00E70B8D" w:rsidRPr="00E70B8D">
        <w:rPr>
          <w:rFonts w:ascii="Times New Roman" w:hAnsi="Times New Roman" w:cs="Times New Roman"/>
          <w:vertAlign w:val="superscript"/>
        </w:rPr>
        <w:t>,</w:t>
      </w:r>
      <w:r w:rsidR="00E70B8D">
        <w:rPr>
          <w:rFonts w:ascii="Times New Roman" w:hAnsi="Times New Roman" w:cs="Times New Roman"/>
        </w:rPr>
        <w:fldChar w:fldCharType="begin"/>
      </w:r>
      <w:r w:rsidR="00986EAF">
        <w:rPr>
          <w:rFonts w:ascii="Times New Roman" w:hAnsi="Times New Roman" w:cs="Times New Roman"/>
        </w:rPr>
        <w:instrText xml:space="preserve"> ADDIN ZOTERO_ITEM CSL_CITATION {"citationID":"5TTIJlid","properties":{"formattedCitation":"\\super 5\\nosupersub{}","plainCitation":"5","noteIndex":0},"citationItems":[{"id":28984,"uris":["http://zotero.org/users/local/p8g0WsVO/items/QJVVUZ56"],"uri":["http://zotero.org/users/local/p8g0WsVO/items/QJVVUZ56"],"itemData":{"id":28984,"type":"article-journal","abstract":"The introduction of local optical potential wells of a generalized Wood-Saxon (WS) type in optical-model studies, and also in some developments of the energy density formalism, is necessary to deal with the moments of a Wood-Saxon distribution raised to a (in general non-integral) real power (WS)beta . The analytic structure of these moments Dn, beta (a, R) is analysed. In fact, an expansion is derived for them that for intermediate and large values of chi =R/a reduces to a polynomial of order n in chi . At the same time, rapidly converging series expansions are obtained in order to represent the coefficients appearing in this polynomial and, in addition, a recursion relation that makes their numerical computation easier is established. Finally, by assuming a (WS)beta parametrisation, this polynomial is applied to the study of the A dependence of several quantities of relevance in the geometrical characterisation of density distributions and optical potential wells corresponding to medium-mass and heavy nuclei.","container-title":"Journal of Physics A: Mathematical and General","DOI":"10.1088/0305-4470/20/9/017","ISSN":"0305-4470","issue":"9","journalAbbreviation":"J. Phys. A: Math. Gen.","language":"en","note":"publisher: IOP Publishing","page":"2293–2306","source":"Institute of Physics","title":"On the moments of a Wood Saxon beta distribution.","volume":"20","author":[{"family":"Velicia","given":"F. J. Fernandez"}],"issued":{"date-parts":[["1987",6]]}}}],"schema":"https://github.com/citation-style-language/schema/raw/master/csl-citation.json"} </w:instrText>
      </w:r>
      <w:r w:rsidR="00E70B8D">
        <w:rPr>
          <w:rFonts w:ascii="Times New Roman" w:hAnsi="Times New Roman" w:cs="Times New Roman"/>
        </w:rPr>
        <w:fldChar w:fldCharType="separate"/>
      </w:r>
      <w:r w:rsidR="00E70B8D" w:rsidRPr="00E70B8D">
        <w:rPr>
          <w:rFonts w:ascii="Times New Roman" w:hAnsi="Times New Roman" w:cs="Times New Roman"/>
          <w:vertAlign w:val="superscript"/>
        </w:rPr>
        <w:t>5</w:t>
      </w:r>
      <w:r w:rsidR="00E70B8D">
        <w:rPr>
          <w:rFonts w:ascii="Times New Roman" w:hAnsi="Times New Roman" w:cs="Times New Roman"/>
        </w:rPr>
        <w:fldChar w:fldCharType="end"/>
      </w:r>
      <w:r w:rsidR="00F326CE" w:rsidRPr="00D86B74">
        <w:rPr>
          <w:rFonts w:ascii="Times New Roman" w:hAnsi="Times New Roman" w:cs="Times New Roman"/>
        </w:rPr>
        <w:t>.</w:t>
      </w:r>
      <w:r w:rsidRPr="00D86B74">
        <w:rPr>
          <w:rFonts w:ascii="Times New Roman" w:hAnsi="Times New Roman" w:cs="Times New Roman"/>
        </w:rPr>
        <w:t xml:space="preserve"> Using the Wood-Saxon parameterization, </w:t>
      </w:r>
      <w:r w:rsidR="0083391B" w:rsidRPr="00CA6A29">
        <w:rPr>
          <w:noProof/>
          <w:position w:val="-8"/>
        </w:rPr>
        <w:object w:dxaOrig="380" w:dyaOrig="279" w14:anchorId="0C720E66">
          <v:shape id="_x0000_i1084" type="#_x0000_t75" alt="" style="width:18.85pt;height:14.3pt;mso-width-percent:0;mso-height-percent:0;mso-width-percent:0;mso-height-percent:0" o:ole="">
            <v:imagedata r:id="rId137" o:title=""/>
          </v:shape>
          <o:OLEObject Type="Embed" ProgID="Equation.DSMT4" ShapeID="_x0000_i1084" DrawAspect="Content" ObjectID="_1675249140" r:id="rId138"/>
        </w:object>
      </w:r>
      <w:r w:rsidRPr="00D86B74">
        <w:rPr>
          <w:rFonts w:ascii="Times New Roman" w:hAnsi="Times New Roman" w:cs="Times New Roman"/>
          <w:noProof/>
          <w:position w:val="-16"/>
        </w:rPr>
        <w:t xml:space="preserve"> </w:t>
      </w:r>
      <w:r w:rsidR="00AB2D1B" w:rsidRPr="00D86B74">
        <w:rPr>
          <w:rFonts w:ascii="Times New Roman" w:hAnsi="Times New Roman" w:cs="Times New Roman"/>
        </w:rPr>
        <w:t>was</w:t>
      </w:r>
      <w:r w:rsidRPr="00D86B74">
        <w:rPr>
          <w:rFonts w:ascii="Times New Roman" w:hAnsi="Times New Roman" w:cs="Times New Roman"/>
        </w:rPr>
        <w:t xml:space="preserve"> given by</w:t>
      </w:r>
      <w:r w:rsidR="00CC4D0A" w:rsidRPr="00D86B74">
        <w:rPr>
          <w:rFonts w:ascii="Times New Roman" w:hAnsi="Times New Roman" w:cs="Times New Roman"/>
        </w:rPr>
        <w:t>:</w:t>
      </w:r>
    </w:p>
    <w:p w14:paraId="489897F0" w14:textId="77777777" w:rsidR="00CC4D0A" w:rsidRPr="00D86B74" w:rsidRDefault="0083391B" w:rsidP="00D86B74">
      <w:pPr>
        <w:spacing w:before="120" w:after="0" w:line="360" w:lineRule="auto"/>
        <w:rPr>
          <w:rFonts w:ascii="Times New Roman" w:hAnsi="Times New Roman" w:cs="Times New Roman"/>
        </w:rPr>
      </w:pPr>
      <w:r w:rsidRPr="00CA6A29">
        <w:rPr>
          <w:noProof/>
          <w:position w:val="-38"/>
        </w:rPr>
        <w:object w:dxaOrig="3820" w:dyaOrig="859" w14:anchorId="370A9636">
          <v:shape id="_x0000_i1083" type="#_x0000_t75" alt="" style="width:192.55pt;height:42.85pt;mso-width-percent:0;mso-height-percent:0;mso-width-percent:0;mso-height-percent:0" o:ole="">
            <v:imagedata r:id="rId139" o:title=""/>
          </v:shape>
          <o:OLEObject Type="Embed" ProgID="Equation.DSMT4" ShapeID="_x0000_i1083" DrawAspect="Content" ObjectID="_1675249141" r:id="rId140"/>
        </w:object>
      </w:r>
      <w:r w:rsidR="00CC4D0A" w:rsidRPr="00D86B74">
        <w:rPr>
          <w:rFonts w:ascii="Times New Roman" w:hAnsi="Times New Roman" w:cs="Times New Roman"/>
          <w:color w:val="000000"/>
        </w:rPr>
        <w:t xml:space="preserve"> </w:t>
      </w:r>
      <w:r w:rsidR="00131876" w:rsidRPr="00D86B74">
        <w:rPr>
          <w:rFonts w:ascii="Times New Roman" w:hAnsi="Times New Roman" w:cs="Times New Roman"/>
          <w:color w:val="000000"/>
        </w:rPr>
        <w:t>.</w:t>
      </w:r>
      <w:r w:rsidR="00CC4D0A" w:rsidRPr="00D86B74">
        <w:rPr>
          <w:rFonts w:ascii="Times New Roman" w:hAnsi="Times New Roman" w:cs="Times New Roman"/>
          <w:color w:val="000000"/>
        </w:rPr>
        <w:tab/>
      </w:r>
      <w:r w:rsidR="001538F8" w:rsidRPr="00D86B74">
        <w:rPr>
          <w:rFonts w:ascii="Times New Roman" w:hAnsi="Times New Roman" w:cs="Times New Roman"/>
          <w:color w:val="000000"/>
        </w:rPr>
        <w:tab/>
      </w:r>
    </w:p>
    <w:p w14:paraId="2109B8D7" w14:textId="65FEFDC4" w:rsidR="00B7668A" w:rsidRPr="00D86B74" w:rsidRDefault="004154A8" w:rsidP="00D86B74">
      <w:pPr>
        <w:spacing w:after="0" w:line="360" w:lineRule="auto"/>
        <w:jc w:val="both"/>
        <w:rPr>
          <w:rFonts w:ascii="Times New Roman" w:eastAsia="Times New Roman" w:hAnsi="Times New Roman" w:cs="Times New Roman"/>
          <w:lang w:val="en-GB"/>
        </w:rPr>
      </w:pPr>
      <w:r w:rsidRPr="00D86B74">
        <w:rPr>
          <w:rFonts w:ascii="Times New Roman" w:hAnsi="Times New Roman" w:cs="Times New Roman"/>
        </w:rPr>
        <w:t xml:space="preserve">Here, </w:t>
      </w:r>
      <w:r w:rsidR="0083391B" w:rsidRPr="00CA6A29">
        <w:rPr>
          <w:noProof/>
          <w:position w:val="-10"/>
        </w:rPr>
        <w:object w:dxaOrig="240" w:dyaOrig="320" w14:anchorId="149B585F">
          <v:shape id="_x0000_i1082" type="#_x0000_t75" alt="" style="width:11.45pt;height:15.45pt;mso-width-percent:0;mso-height-percent:0;mso-width-percent:0;mso-height-percent:0" o:ole="">
            <v:imagedata r:id="rId141" o:title=""/>
          </v:shape>
          <o:OLEObject Type="Embed" ProgID="Equation.DSMT4" ShapeID="_x0000_i1082" DrawAspect="Content" ObjectID="_1675249142" r:id="rId142"/>
        </w:object>
      </w:r>
      <w:r w:rsidRPr="00D86B74">
        <w:rPr>
          <w:rFonts w:ascii="Times New Roman" w:hAnsi="Times New Roman" w:cs="Times New Roman"/>
        </w:rPr>
        <w:t xml:space="preserve"> is the asymptotic value that describes the contact rate well after the transition, Z is the level of change in </w:t>
      </w:r>
      <w:r w:rsidR="0083391B" w:rsidRPr="00CA6A29">
        <w:rPr>
          <w:noProof/>
          <w:position w:val="-8"/>
        </w:rPr>
        <w:object w:dxaOrig="380" w:dyaOrig="279" w14:anchorId="65422586">
          <v:shape id="_x0000_i1081" type="#_x0000_t75" alt="" style="width:18.85pt;height:14.3pt;mso-width-percent:0;mso-height-percent:0;mso-width-percent:0;mso-height-percent:0" o:ole="">
            <v:imagedata r:id="rId143" o:title=""/>
          </v:shape>
          <o:OLEObject Type="Embed" ProgID="Equation.DSMT4" ShapeID="_x0000_i1081" DrawAspect="Content" ObjectID="_1675249143" r:id="rId144"/>
        </w:object>
      </w:r>
      <w:r w:rsidRPr="00D86B74">
        <w:rPr>
          <w:rFonts w:ascii="Times New Roman" w:hAnsi="Times New Roman" w:cs="Times New Roman"/>
        </w:rPr>
        <w:t xml:space="preserve"> during the transition from </w:t>
      </w:r>
      <w:r w:rsidR="0083391B" w:rsidRPr="00CA6A29">
        <w:rPr>
          <w:noProof/>
          <w:position w:val="-12"/>
        </w:rPr>
        <w:object w:dxaOrig="880" w:dyaOrig="360" w14:anchorId="55CF0EF8">
          <v:shape id="_x0000_i1080" type="#_x0000_t75" alt="" style="width:44pt;height:18.3pt;mso-width-percent:0;mso-height-percent:0;mso-width-percent:0;mso-height-percent:0" o:ole="">
            <v:imagedata r:id="rId145" o:title=""/>
          </v:shape>
          <o:OLEObject Type="Embed" ProgID="Equation.DSMT4" ShapeID="_x0000_i1080" DrawAspect="Content" ObjectID="_1675249144" r:id="rId146"/>
        </w:object>
      </w:r>
      <w:r w:rsidRPr="00D86B74">
        <w:rPr>
          <w:rFonts w:ascii="Times New Roman" w:hAnsi="Times New Roman" w:cs="Times New Roman"/>
        </w:rPr>
        <w:t xml:space="preserve"> before the transition to </w:t>
      </w:r>
      <w:r w:rsidR="0083391B" w:rsidRPr="00CA6A29">
        <w:rPr>
          <w:noProof/>
          <w:position w:val="-10"/>
        </w:rPr>
        <w:object w:dxaOrig="240" w:dyaOrig="320" w14:anchorId="291A1DBF">
          <v:shape id="_x0000_i1079" type="#_x0000_t75" alt="" style="width:11.45pt;height:15.45pt;mso-width-percent:0;mso-height-percent:0;mso-width-percent:0;mso-height-percent:0" o:ole="">
            <v:imagedata r:id="rId147" o:title=""/>
          </v:shape>
          <o:OLEObject Type="Embed" ProgID="Equation.DSMT4" ShapeID="_x0000_i1079" DrawAspect="Content" ObjectID="_1675249145" r:id="rId148"/>
        </w:object>
      </w:r>
      <w:r w:rsidR="00FD6B6A" w:rsidRPr="00D86B74">
        <w:rPr>
          <w:rFonts w:ascii="Times New Roman" w:hAnsi="Times New Roman" w:cs="Times New Roman"/>
        </w:rPr>
        <w:t xml:space="preserve"> after the transition</w:t>
      </w:r>
      <w:r w:rsidRPr="00D86B74">
        <w:rPr>
          <w:rFonts w:ascii="Times New Roman" w:hAnsi="Times New Roman" w:cs="Times New Roman"/>
        </w:rPr>
        <w:t xml:space="preserve">, </w:t>
      </w:r>
      <w:r w:rsidR="0083391B" w:rsidRPr="00CA6A29">
        <w:rPr>
          <w:noProof/>
          <w:position w:val="-10"/>
        </w:rPr>
        <w:object w:dxaOrig="639" w:dyaOrig="320" w14:anchorId="5B41197D">
          <v:shape id="_x0000_i1078" type="#_x0000_t75" alt="" style="width:32.55pt;height:15.45pt;mso-width-percent:0;mso-height-percent:0;mso-width-percent:0;mso-height-percent:0" o:ole="">
            <v:imagedata r:id="rId149" o:title=""/>
          </v:shape>
          <o:OLEObject Type="Embed" ProgID="Equation.DSMT4" ShapeID="_x0000_i1078" DrawAspect="Content" ObjectID="_1675249146" r:id="rId150"/>
        </w:object>
      </w:r>
      <w:r w:rsidRPr="00D86B74">
        <w:rPr>
          <w:rFonts w:ascii="Times New Roman" w:hAnsi="Times New Roman" w:cs="Times New Roman"/>
        </w:rPr>
        <w:t xml:space="preserve"> describes the transition duration parameter, </w:t>
      </w:r>
      <w:r w:rsidR="00F35713" w:rsidRPr="00D86B74">
        <w:rPr>
          <w:rFonts w:ascii="Times New Roman" w:hAnsi="Times New Roman" w:cs="Times New Roman"/>
        </w:rPr>
        <w:t>and</w:t>
      </w:r>
      <w:r w:rsidRPr="00D86B74">
        <w:rPr>
          <w:rFonts w:ascii="Times New Roman" w:hAnsi="Times New Roman" w:cs="Times New Roman"/>
        </w:rPr>
        <w:t xml:space="preserve"> </w:t>
      </w:r>
      <w:r w:rsidR="0083391B" w:rsidRPr="00CA6A29">
        <w:rPr>
          <w:noProof/>
          <w:position w:val="-12"/>
        </w:rPr>
        <w:object w:dxaOrig="580" w:dyaOrig="340" w14:anchorId="2874005E">
          <v:shape id="_x0000_i1077" type="#_x0000_t75" alt="" style="width:29.15pt;height:15.45pt;mso-width-percent:0;mso-height-percent:0;mso-width-percent:0;mso-height-percent:0" o:ole="">
            <v:imagedata r:id="rId151" o:title=""/>
          </v:shape>
          <o:OLEObject Type="Embed" ProgID="Equation.DSMT4" ShapeID="_x0000_i1077" DrawAspect="Content" ObjectID="_1675249147" r:id="rId152"/>
        </w:object>
      </w:r>
      <w:r w:rsidR="00271BB5" w:rsidRPr="00D86B74">
        <w:rPr>
          <w:rFonts w:ascii="Times New Roman" w:hAnsi="Times New Roman" w:cs="Times New Roman"/>
        </w:rPr>
        <w:t xml:space="preserve"> </w:t>
      </w:r>
      <w:r w:rsidRPr="00350555">
        <w:rPr>
          <w:rFonts w:ascii="Times New Roman" w:hAnsi="Times New Roman" w:cs="Times New Roman"/>
        </w:rPr>
        <w:t xml:space="preserve">is the turning point year at which the contact rate crosses half way towards its asymptotic value of </w:t>
      </w:r>
      <w:r w:rsidR="0083391B" w:rsidRPr="00CA6A29">
        <w:rPr>
          <w:noProof/>
          <w:position w:val="-10"/>
        </w:rPr>
        <w:object w:dxaOrig="240" w:dyaOrig="320" w14:anchorId="5BB2ED00">
          <v:shape id="_x0000_i1076" type="#_x0000_t75" alt="" style="width:11.45pt;height:15.45pt;mso-width-percent:0;mso-height-percent:0;mso-width-percent:0;mso-height-percent:0" o:ole="">
            <v:imagedata r:id="rId153" o:title=""/>
          </v:shape>
          <o:OLEObject Type="Embed" ProgID="Equation.DSMT4" ShapeID="_x0000_i1076" DrawAspect="Content" ObjectID="_1675249148" r:id="rId154"/>
        </w:object>
      </w:r>
      <w:r w:rsidRPr="00D86B74">
        <w:rPr>
          <w:rFonts w:ascii="Times New Roman" w:hAnsi="Times New Roman" w:cs="Times New Roman"/>
        </w:rPr>
        <w:t>.</w:t>
      </w:r>
      <w:r w:rsidR="00B7668A" w:rsidRPr="00D86B74">
        <w:rPr>
          <w:rFonts w:ascii="Times New Roman" w:hAnsi="Times New Roman" w:cs="Times New Roman"/>
        </w:rPr>
        <w:t xml:space="preserve"> </w:t>
      </w:r>
      <w:r w:rsidR="00361C2A" w:rsidRPr="00D86B74">
        <w:rPr>
          <w:rFonts w:ascii="Times New Roman" w:hAnsi="Times New Roman" w:cs="Times New Roman"/>
        </w:rPr>
        <w:t xml:space="preserve">The parameters </w:t>
      </w:r>
      <w:r w:rsidR="0083391B" w:rsidRPr="00CA6A29">
        <w:rPr>
          <w:noProof/>
          <w:position w:val="-10"/>
        </w:rPr>
        <w:object w:dxaOrig="240" w:dyaOrig="320" w14:anchorId="693C355C">
          <v:shape id="_x0000_i1075" type="#_x0000_t75" alt="" style="width:11.45pt;height:15.45pt;mso-width-percent:0;mso-height-percent:0;mso-width-percent:0;mso-height-percent:0" o:ole="">
            <v:imagedata r:id="rId155" o:title=""/>
          </v:shape>
          <o:OLEObject Type="Embed" ProgID="Equation.DSMT4" ShapeID="_x0000_i1075" DrawAspect="Content" ObjectID="_1675249149" r:id="rId156"/>
        </w:object>
      </w:r>
      <w:r w:rsidR="00361C2A" w:rsidRPr="00D86B74">
        <w:rPr>
          <w:rFonts w:ascii="Times New Roman" w:hAnsi="Times New Roman" w:cs="Times New Roman"/>
        </w:rPr>
        <w:t xml:space="preserve">, </w:t>
      </w:r>
      <w:r w:rsidR="00F7293E" w:rsidRPr="00D86B74">
        <w:rPr>
          <w:rFonts w:ascii="Times New Roman" w:hAnsi="Times New Roman" w:cs="Times New Roman"/>
        </w:rPr>
        <w:t xml:space="preserve">Z, </w:t>
      </w:r>
      <w:r w:rsidR="0083391B" w:rsidRPr="00CA6A29">
        <w:rPr>
          <w:noProof/>
          <w:position w:val="-10"/>
        </w:rPr>
        <w:object w:dxaOrig="639" w:dyaOrig="320" w14:anchorId="2E33CDB8">
          <v:shape id="_x0000_i1074" type="#_x0000_t75" alt="" style="width:32.55pt;height:15.45pt;mso-width-percent:0;mso-height-percent:0;mso-width-percent:0;mso-height-percent:0" o:ole="">
            <v:imagedata r:id="rId157" o:title=""/>
          </v:shape>
          <o:OLEObject Type="Embed" ProgID="Equation.DSMT4" ShapeID="_x0000_i1074" DrawAspect="Content" ObjectID="_1675249150" r:id="rId158"/>
        </w:object>
      </w:r>
      <w:r w:rsidR="00F7293E" w:rsidRPr="00D86B74">
        <w:rPr>
          <w:rFonts w:ascii="Times New Roman" w:hAnsi="Times New Roman" w:cs="Times New Roman"/>
        </w:rPr>
        <w:t xml:space="preserve">, and </w:t>
      </w:r>
      <w:r w:rsidR="0083391B" w:rsidRPr="00CA6A29">
        <w:rPr>
          <w:noProof/>
          <w:position w:val="-12"/>
        </w:rPr>
        <w:object w:dxaOrig="580" w:dyaOrig="340" w14:anchorId="253705F5">
          <v:shape id="_x0000_i1073" type="#_x0000_t75" alt="" style="width:29.15pt;height:15.45pt;mso-width-percent:0;mso-height-percent:0;mso-width-percent:0;mso-height-percent:0" o:ole="">
            <v:imagedata r:id="rId159" o:title=""/>
          </v:shape>
          <o:OLEObject Type="Embed" ProgID="Equation.DSMT4" ShapeID="_x0000_i1073" DrawAspect="Content" ObjectID="_1675249151" r:id="rId160"/>
        </w:object>
      </w:r>
      <w:r w:rsidR="00F7293E" w:rsidRPr="00D86B74">
        <w:rPr>
          <w:rFonts w:ascii="Times New Roman" w:hAnsi="Times New Roman" w:cs="Times New Roman"/>
        </w:rPr>
        <w:t xml:space="preserve"> </w:t>
      </w:r>
      <w:r w:rsidR="007C60FB" w:rsidRPr="00D86B74">
        <w:rPr>
          <w:rFonts w:ascii="Times New Roman" w:eastAsia="Times New Roman" w:hAnsi="Times New Roman" w:cs="Times New Roman"/>
          <w:lang w:val="en-GB"/>
        </w:rPr>
        <w:t xml:space="preserve">were </w:t>
      </w:r>
      <w:r w:rsidR="00B7668A" w:rsidRPr="00D86B74">
        <w:rPr>
          <w:rFonts w:ascii="Times New Roman" w:eastAsia="Times New Roman" w:hAnsi="Times New Roman" w:cs="Times New Roman"/>
          <w:lang w:val="en-GB"/>
        </w:rPr>
        <w:t xml:space="preserve">obtained by fitting the model to available empirical data on </w:t>
      </w:r>
      <w:r w:rsidR="004F7A7D" w:rsidRPr="00D86B74">
        <w:rPr>
          <w:rFonts w:ascii="Times New Roman" w:eastAsia="Times New Roman" w:hAnsi="Times New Roman" w:cs="Times New Roman"/>
          <w:lang w:val="en-GB"/>
        </w:rPr>
        <w:t>TB-incidence</w:t>
      </w:r>
      <w:r w:rsidR="00B7668A" w:rsidRPr="00D86B74">
        <w:rPr>
          <w:rFonts w:ascii="Times New Roman" w:eastAsia="Times New Roman" w:hAnsi="Times New Roman" w:cs="Times New Roman"/>
          <w:lang w:val="en-GB"/>
        </w:rPr>
        <w:t xml:space="preserve"> and mortality from the </w:t>
      </w:r>
      <w:r w:rsidR="005F65F8" w:rsidRPr="00D86B74">
        <w:rPr>
          <w:rFonts w:ascii="Times New Roman" w:eastAsia="Times New Roman" w:hAnsi="Times New Roman" w:cs="Times New Roman"/>
          <w:lang w:val="en-GB"/>
        </w:rPr>
        <w:t xml:space="preserve">WHO’s </w:t>
      </w:r>
      <w:r w:rsidR="00B7668A" w:rsidRPr="00D86B74">
        <w:rPr>
          <w:rFonts w:ascii="Times New Roman" w:eastAsia="Times New Roman" w:hAnsi="Times New Roman" w:cs="Times New Roman"/>
          <w:lang w:val="en-GB"/>
        </w:rPr>
        <w:t>Global Health Observatory data repository</w:t>
      </w:r>
      <w:r w:rsidR="00E70B8D">
        <w:rPr>
          <w:rFonts w:ascii="Times New Roman" w:eastAsia="Times New Roman" w:hAnsi="Times New Roman" w:cs="Times New Roman"/>
          <w:lang w:val="en-GB"/>
        </w:rPr>
        <w:fldChar w:fldCharType="begin"/>
      </w:r>
      <w:r w:rsidR="00E70B8D">
        <w:rPr>
          <w:rFonts w:ascii="Times New Roman" w:eastAsia="Times New Roman" w:hAnsi="Times New Roman" w:cs="Times New Roman"/>
          <w:lang w:val="en-GB"/>
        </w:rPr>
        <w:instrText xml:space="preserve"> ADDIN ZOTERO_ITEM CSL_CITATION {"citationID":"kMyEsfN0","properties":{"formattedCitation":"\\super 6\\nosupersub{}","plainCitation":"6","noteIndex":0},"citationItems":[{"id":28968,"uris":["http://zotero.org/users/local/p8g0WsVO/items/3BRN9WSE"],"uri":["http://zotero.org/users/local/p8g0WsVO/items/3BRN9WSE"],"itemData":{"id":28968,"type":"webpage","container-title":"WHO","note":"publisher: World Health Organization","title":"GHO | By category","URL":"https://apps.who.int/gho/data/node.main.526","accessed":{"date-parts":[["2020",10,2]]}}}],"schema":"https://github.com/citation-style-language/schema/raw/master/csl-citation.json"} </w:instrText>
      </w:r>
      <w:r w:rsidR="00E70B8D">
        <w:rPr>
          <w:rFonts w:ascii="Times New Roman" w:eastAsia="Times New Roman" w:hAnsi="Times New Roman" w:cs="Times New Roman"/>
          <w:lang w:val="en-GB"/>
        </w:rPr>
        <w:fldChar w:fldCharType="separate"/>
      </w:r>
      <w:r w:rsidR="00E70B8D" w:rsidRPr="00E70B8D">
        <w:rPr>
          <w:rFonts w:ascii="Times New Roman" w:hAnsi="Times New Roman" w:cs="Times New Roman"/>
          <w:vertAlign w:val="superscript"/>
        </w:rPr>
        <w:t>6</w:t>
      </w:r>
      <w:r w:rsidR="00E70B8D">
        <w:rPr>
          <w:rFonts w:ascii="Times New Roman" w:eastAsia="Times New Roman" w:hAnsi="Times New Roman" w:cs="Times New Roman"/>
          <w:lang w:val="en-GB"/>
        </w:rPr>
        <w:fldChar w:fldCharType="end"/>
      </w:r>
      <w:r w:rsidR="00F326CE" w:rsidRPr="00D86B74">
        <w:rPr>
          <w:rFonts w:ascii="Times New Roman" w:eastAsia="Times New Roman" w:hAnsi="Times New Roman" w:cs="Times New Roman"/>
          <w:lang w:val="en-GB"/>
        </w:rPr>
        <w:t>.</w:t>
      </w:r>
    </w:p>
    <w:p w14:paraId="0D04E41B" w14:textId="77777777" w:rsidR="000544F9" w:rsidRPr="009728D2" w:rsidRDefault="00F07F1D" w:rsidP="00D86B74">
      <w:pPr>
        <w:pStyle w:val="ListParagraph"/>
        <w:numPr>
          <w:ilvl w:val="1"/>
          <w:numId w:val="12"/>
        </w:numPr>
        <w:spacing w:before="120" w:after="0" w:line="360" w:lineRule="auto"/>
        <w:ind w:left="720" w:hanging="720"/>
        <w:contextualSpacing w:val="0"/>
        <w:rPr>
          <w:rFonts w:ascii="Times New Roman" w:eastAsia="Times New Roman" w:hAnsi="Times New Roman" w:cs="Times New Roman"/>
          <w:b/>
          <w:sz w:val="24"/>
          <w:szCs w:val="24"/>
          <w:lang w:val="en-GB"/>
        </w:rPr>
      </w:pPr>
      <w:r w:rsidRPr="009728D2">
        <w:rPr>
          <w:rFonts w:ascii="Times New Roman" w:eastAsia="Times New Roman" w:hAnsi="Times New Roman" w:cs="Times New Roman"/>
          <w:b/>
          <w:sz w:val="24"/>
          <w:szCs w:val="24"/>
          <w:lang w:val="en-GB"/>
        </w:rPr>
        <w:t xml:space="preserve">TB </w:t>
      </w:r>
      <w:r w:rsidR="004F7A7D" w:rsidRPr="009728D2">
        <w:rPr>
          <w:rFonts w:ascii="Times New Roman" w:eastAsia="Times New Roman" w:hAnsi="Times New Roman" w:cs="Times New Roman"/>
          <w:b/>
          <w:sz w:val="24"/>
          <w:szCs w:val="24"/>
          <w:lang w:val="en-GB"/>
        </w:rPr>
        <w:t xml:space="preserve">treatment rate and temporal evolution </w:t>
      </w:r>
      <w:r w:rsidR="000544F9" w:rsidRPr="009728D2">
        <w:rPr>
          <w:rFonts w:ascii="Times New Roman" w:eastAsia="Times New Roman" w:hAnsi="Times New Roman" w:cs="Times New Roman"/>
          <w:b/>
          <w:sz w:val="24"/>
          <w:szCs w:val="24"/>
          <w:lang w:val="en-GB"/>
        </w:rPr>
        <w:t xml:space="preserve">of </w:t>
      </w:r>
      <w:r w:rsidR="002C45B6" w:rsidRPr="009728D2">
        <w:rPr>
          <w:rFonts w:ascii="Times New Roman" w:eastAsia="Times New Roman" w:hAnsi="Times New Roman" w:cs="Times New Roman"/>
          <w:b/>
          <w:sz w:val="24"/>
          <w:szCs w:val="24"/>
          <w:lang w:val="en-GB"/>
        </w:rPr>
        <w:t xml:space="preserve">TB </w:t>
      </w:r>
      <w:r w:rsidR="004F7A7D" w:rsidRPr="009728D2">
        <w:rPr>
          <w:rFonts w:ascii="Times New Roman" w:eastAsia="Times New Roman" w:hAnsi="Times New Roman" w:cs="Times New Roman"/>
          <w:b/>
          <w:sz w:val="24"/>
          <w:szCs w:val="24"/>
          <w:lang w:val="en-GB"/>
        </w:rPr>
        <w:t>case detection rate</w:t>
      </w:r>
    </w:p>
    <w:p w14:paraId="0FAF84AD" w14:textId="77777777" w:rsidR="004154A8" w:rsidRPr="00D86B74" w:rsidRDefault="004154A8" w:rsidP="00D86B74">
      <w:pPr>
        <w:pStyle w:val="p"/>
        <w:spacing w:after="0" w:line="360" w:lineRule="auto"/>
        <w:ind w:firstLine="0"/>
        <w:jc w:val="both"/>
        <w:rPr>
          <w:i/>
          <w:sz w:val="22"/>
          <w:szCs w:val="22"/>
        </w:rPr>
      </w:pPr>
      <w:r w:rsidRPr="00D86B74">
        <w:rPr>
          <w:sz w:val="22"/>
          <w:szCs w:val="22"/>
        </w:rPr>
        <w:t>Treatment rate in the model depe</w:t>
      </w:r>
      <w:r w:rsidR="004421C6" w:rsidRPr="00D86B74">
        <w:rPr>
          <w:sz w:val="22"/>
          <w:szCs w:val="22"/>
        </w:rPr>
        <w:t xml:space="preserve">nded on TB disease type </w:t>
      </w:r>
      <w:r w:rsidRPr="00D86B74">
        <w:rPr>
          <w:sz w:val="22"/>
          <w:szCs w:val="22"/>
        </w:rPr>
        <w:t>and was determined using the case detection rates (</w:t>
      </w:r>
      <w:r w:rsidR="0083391B" w:rsidRPr="00CA6A29">
        <w:rPr>
          <w:noProof/>
          <w:position w:val="-10"/>
        </w:rPr>
        <w:object w:dxaOrig="499" w:dyaOrig="320" w14:anchorId="19FC3F1A">
          <v:shape id="_x0000_i1072" type="#_x0000_t75" alt="" style="width:25.7pt;height:15.45pt;mso-width-percent:0;mso-height-percent:0;mso-width-percent:0;mso-height-percent:0" o:ole="">
            <v:imagedata r:id="rId161" o:title=""/>
          </v:shape>
          <o:OLEObject Type="Embed" ProgID="Equation.DSMT4" ShapeID="_x0000_i1072" DrawAspect="Content" ObjectID="_1675249152" r:id="rId162"/>
        </w:object>
      </w:r>
      <w:r w:rsidRPr="00D86B74">
        <w:rPr>
          <w:sz w:val="22"/>
          <w:szCs w:val="22"/>
        </w:rPr>
        <w:t xml:space="preserve">, </w:t>
      </w:r>
      <w:r w:rsidR="0083391B" w:rsidRPr="00CA6A29">
        <w:rPr>
          <w:noProof/>
          <w:position w:val="-10"/>
        </w:rPr>
        <w:object w:dxaOrig="520" w:dyaOrig="320" w14:anchorId="0EB2F2F4">
          <v:shape id="_x0000_i1071" type="#_x0000_t75" alt="" style="width:26.3pt;height:15.45pt;mso-width-percent:0;mso-height-percent:0;mso-width-percent:0;mso-height-percent:0" o:ole="">
            <v:imagedata r:id="rId163" o:title=""/>
          </v:shape>
          <o:OLEObject Type="Embed" ProgID="Equation.DSMT4" ShapeID="_x0000_i1071" DrawAspect="Content" ObjectID="_1675249153" r:id="rId164"/>
        </w:object>
      </w:r>
      <w:r w:rsidRPr="00D86B74">
        <w:rPr>
          <w:sz w:val="22"/>
          <w:szCs w:val="22"/>
        </w:rPr>
        <w:t xml:space="preserve">, and </w:t>
      </w:r>
      <w:r w:rsidR="0083391B" w:rsidRPr="00CA6A29">
        <w:rPr>
          <w:noProof/>
          <w:position w:val="-10"/>
        </w:rPr>
        <w:object w:dxaOrig="499" w:dyaOrig="320" w14:anchorId="1F2154C6">
          <v:shape id="_x0000_i1070" type="#_x0000_t75" alt="" style="width:25.7pt;height:15.45pt;mso-width-percent:0;mso-height-percent:0;mso-width-percent:0;mso-height-percent:0" o:ole="">
            <v:imagedata r:id="rId165" o:title=""/>
          </v:shape>
          <o:OLEObject Type="Embed" ProgID="Equation.DSMT4" ShapeID="_x0000_i1070" DrawAspect="Content" ObjectID="_1675249154" r:id="rId166"/>
        </w:object>
      </w:r>
      <w:r w:rsidRPr="00D86B74">
        <w:rPr>
          <w:sz w:val="22"/>
          <w:szCs w:val="22"/>
        </w:rPr>
        <w:t>), TB-related mortality rates (</w:t>
      </w:r>
      <w:r w:rsidR="0083391B" w:rsidRPr="00CA6A29">
        <w:rPr>
          <w:noProof/>
          <w:position w:val="-10"/>
        </w:rPr>
        <w:object w:dxaOrig="320" w:dyaOrig="320" w14:anchorId="09BAB3C6">
          <v:shape id="_x0000_i1069" type="#_x0000_t75" alt="" style="width:15.45pt;height:15.45pt;mso-width-percent:0;mso-height-percent:0;mso-width-percent:0;mso-height-percent:0" o:ole="">
            <v:imagedata r:id="rId167" o:title=""/>
          </v:shape>
          <o:OLEObject Type="Embed" ProgID="Equation.DSMT4" ShapeID="_x0000_i1069" DrawAspect="Content" ObjectID="_1675249155" r:id="rId168"/>
        </w:object>
      </w:r>
      <w:r w:rsidRPr="00D86B74">
        <w:rPr>
          <w:sz w:val="22"/>
          <w:szCs w:val="22"/>
        </w:rPr>
        <w:t xml:space="preserve">, </w:t>
      </w:r>
      <w:r w:rsidR="0083391B" w:rsidRPr="00CA6A29">
        <w:rPr>
          <w:noProof/>
          <w:position w:val="-10"/>
        </w:rPr>
        <w:object w:dxaOrig="340" w:dyaOrig="320" w14:anchorId="094EB1D8">
          <v:shape id="_x0000_i1068" type="#_x0000_t75" alt="" style="width:15.45pt;height:15.45pt;mso-width-percent:0;mso-height-percent:0;mso-width-percent:0;mso-height-percent:0" o:ole="">
            <v:imagedata r:id="rId169" o:title=""/>
          </v:shape>
          <o:OLEObject Type="Embed" ProgID="Equation.DSMT4" ShapeID="_x0000_i1068" DrawAspect="Content" ObjectID="_1675249156" r:id="rId170"/>
        </w:object>
      </w:r>
      <w:r w:rsidRPr="00D86B74">
        <w:rPr>
          <w:sz w:val="22"/>
          <w:szCs w:val="22"/>
        </w:rPr>
        <w:t xml:space="preserve">, </w:t>
      </w:r>
      <w:r w:rsidR="0083391B" w:rsidRPr="00CA6A29">
        <w:rPr>
          <w:noProof/>
          <w:position w:val="-10"/>
        </w:rPr>
        <w:object w:dxaOrig="320" w:dyaOrig="320" w14:anchorId="2520DDD1">
          <v:shape id="_x0000_i1067" type="#_x0000_t75" alt="" style="width:15.45pt;height:15.45pt;mso-width-percent:0;mso-height-percent:0;mso-width-percent:0;mso-height-percent:0" o:ole="">
            <v:imagedata r:id="rId171" o:title=""/>
          </v:shape>
          <o:OLEObject Type="Embed" ProgID="Equation.DSMT4" ShapeID="_x0000_i1067" DrawAspect="Content" ObjectID="_1675249157" r:id="rId172"/>
        </w:object>
      </w:r>
      <w:r w:rsidRPr="00D86B74">
        <w:rPr>
          <w:sz w:val="22"/>
          <w:szCs w:val="22"/>
        </w:rPr>
        <w:t>), and spontaneous recovery rates (</w:t>
      </w:r>
      <w:r w:rsidR="0083391B" w:rsidRPr="00CA6A29">
        <w:rPr>
          <w:noProof/>
          <w:position w:val="-10"/>
        </w:rPr>
        <w:object w:dxaOrig="320" w:dyaOrig="320" w14:anchorId="61C1DDF0">
          <v:shape id="_x0000_i1066" type="#_x0000_t75" alt="" style="width:15.45pt;height:15.45pt;mso-width-percent:0;mso-height-percent:0;mso-width-percent:0;mso-height-percent:0" o:ole="">
            <v:imagedata r:id="rId173" o:title=""/>
          </v:shape>
          <o:OLEObject Type="Embed" ProgID="Equation.DSMT4" ShapeID="_x0000_i1066" DrawAspect="Content" ObjectID="_1675249158" r:id="rId174"/>
        </w:object>
      </w:r>
      <w:r w:rsidRPr="00D86B74">
        <w:rPr>
          <w:sz w:val="22"/>
          <w:szCs w:val="22"/>
        </w:rPr>
        <w:t xml:space="preserve">, </w:t>
      </w:r>
      <w:r w:rsidR="0083391B" w:rsidRPr="00CA6A29">
        <w:rPr>
          <w:noProof/>
          <w:position w:val="-10"/>
        </w:rPr>
        <w:object w:dxaOrig="340" w:dyaOrig="320" w14:anchorId="03BF7DFE">
          <v:shape id="_x0000_i1065" type="#_x0000_t75" alt="" style="width:15.45pt;height:15.45pt;mso-width-percent:0;mso-height-percent:0;mso-width-percent:0;mso-height-percent:0" o:ole="">
            <v:imagedata r:id="rId175" o:title=""/>
          </v:shape>
          <o:OLEObject Type="Embed" ProgID="Equation.DSMT4" ShapeID="_x0000_i1065" DrawAspect="Content" ObjectID="_1675249159" r:id="rId176"/>
        </w:object>
      </w:r>
      <w:r w:rsidRPr="00D86B74">
        <w:rPr>
          <w:sz w:val="22"/>
          <w:szCs w:val="22"/>
        </w:rPr>
        <w:t xml:space="preserve">, </w:t>
      </w:r>
      <w:r w:rsidR="0083391B" w:rsidRPr="00CA6A29">
        <w:rPr>
          <w:noProof/>
          <w:position w:val="-10"/>
        </w:rPr>
        <w:object w:dxaOrig="320" w:dyaOrig="320" w14:anchorId="6C408040">
          <v:shape id="_x0000_i1064" type="#_x0000_t75" alt="" style="width:15.45pt;height:15.45pt;mso-width-percent:0;mso-height-percent:0;mso-width-percent:0;mso-height-percent:0" o:ole="">
            <v:imagedata r:id="rId177" o:title=""/>
          </v:shape>
          <o:OLEObject Type="Embed" ProgID="Equation.DSMT4" ShapeID="_x0000_i1064" DrawAspect="Content" ObjectID="_1675249160" r:id="rId178"/>
        </w:object>
      </w:r>
      <w:r w:rsidRPr="00D86B74">
        <w:rPr>
          <w:sz w:val="22"/>
          <w:szCs w:val="22"/>
        </w:rPr>
        <w:t>):</w:t>
      </w:r>
    </w:p>
    <w:p w14:paraId="5B81A269" w14:textId="77777777" w:rsidR="00146A3B" w:rsidRPr="00D86B74" w:rsidRDefault="0083391B" w:rsidP="00D86B74">
      <w:pPr>
        <w:pStyle w:val="p"/>
        <w:spacing w:before="120" w:after="0" w:line="360" w:lineRule="auto"/>
        <w:ind w:firstLine="0"/>
        <w:rPr>
          <w:b/>
          <w:sz w:val="22"/>
          <w:szCs w:val="22"/>
        </w:rPr>
      </w:pPr>
      <w:r w:rsidRPr="00CA6A29">
        <w:rPr>
          <w:noProof/>
          <w:position w:val="-44"/>
        </w:rPr>
        <w:object w:dxaOrig="2980" w:dyaOrig="980" w14:anchorId="6076761A">
          <v:shape id="_x0000_i1063" type="#_x0000_t75" alt="" style="width:148.55pt;height:48.55pt;mso-width-percent:0;mso-height-percent:0;mso-width-percent:0;mso-height-percent:0" o:ole="">
            <v:imagedata r:id="rId179" o:title=""/>
          </v:shape>
          <o:OLEObject Type="Embed" ProgID="Equation.DSMT4" ShapeID="_x0000_i1063" DrawAspect="Content" ObjectID="_1675249161" r:id="rId180"/>
        </w:object>
      </w:r>
      <w:r w:rsidR="007E637B" w:rsidRPr="00D86B74">
        <w:rPr>
          <w:i/>
          <w:sz w:val="22"/>
          <w:szCs w:val="22"/>
        </w:rPr>
        <w:tab/>
      </w:r>
      <w:r w:rsidR="007E637B" w:rsidRPr="00D86B74">
        <w:rPr>
          <w:i/>
          <w:sz w:val="22"/>
          <w:szCs w:val="22"/>
        </w:rPr>
        <w:tab/>
      </w:r>
      <w:r w:rsidR="007E637B" w:rsidRPr="00D86B74">
        <w:rPr>
          <w:i/>
          <w:sz w:val="22"/>
          <w:szCs w:val="22"/>
        </w:rPr>
        <w:tab/>
      </w:r>
      <w:r w:rsidR="007E637B" w:rsidRPr="00D86B74">
        <w:rPr>
          <w:i/>
          <w:sz w:val="22"/>
          <w:szCs w:val="22"/>
        </w:rPr>
        <w:tab/>
      </w:r>
      <w:r w:rsidR="007E637B" w:rsidRPr="00D86B74">
        <w:rPr>
          <w:i/>
          <w:sz w:val="22"/>
          <w:szCs w:val="22"/>
        </w:rPr>
        <w:tab/>
      </w:r>
      <w:r w:rsidR="007E637B" w:rsidRPr="00D86B74">
        <w:rPr>
          <w:i/>
          <w:sz w:val="22"/>
          <w:szCs w:val="22"/>
        </w:rPr>
        <w:tab/>
      </w:r>
      <w:r w:rsidR="007E637B" w:rsidRPr="00D86B74">
        <w:rPr>
          <w:i/>
          <w:sz w:val="22"/>
          <w:szCs w:val="22"/>
        </w:rPr>
        <w:tab/>
      </w:r>
    </w:p>
    <w:p w14:paraId="17406D84" w14:textId="78D9EED4" w:rsidR="00DB2EF6" w:rsidRPr="00D86B74" w:rsidRDefault="004154A8" w:rsidP="00D86B74">
      <w:pPr>
        <w:pStyle w:val="p"/>
        <w:spacing w:before="120" w:after="0" w:line="360" w:lineRule="auto"/>
        <w:ind w:firstLine="0"/>
        <w:jc w:val="both"/>
        <w:rPr>
          <w:sz w:val="22"/>
          <w:szCs w:val="22"/>
        </w:rPr>
      </w:pPr>
      <w:r w:rsidRPr="00D86B74">
        <w:rPr>
          <w:sz w:val="22"/>
          <w:szCs w:val="22"/>
          <w:lang w:val="en-US"/>
        </w:rPr>
        <w:t xml:space="preserve">Given the evidence </w:t>
      </w:r>
      <w:r w:rsidR="00CD769F" w:rsidRPr="00D86B74">
        <w:rPr>
          <w:sz w:val="22"/>
          <w:szCs w:val="22"/>
          <w:lang w:val="en-US"/>
        </w:rPr>
        <w:t>for</w:t>
      </w:r>
      <w:r w:rsidRPr="00D86B74">
        <w:rPr>
          <w:sz w:val="22"/>
          <w:szCs w:val="22"/>
          <w:lang w:val="en-US"/>
        </w:rPr>
        <w:t xml:space="preserve"> increasing TB case detection</w:t>
      </w:r>
      <w:r w:rsidR="00251C51" w:rsidRPr="00D86B74">
        <w:rPr>
          <w:sz w:val="22"/>
          <w:szCs w:val="22"/>
          <w:lang w:val="en-US"/>
        </w:rPr>
        <w:t xml:space="preserve"> </w:t>
      </w:r>
      <w:r w:rsidRPr="00D86B74">
        <w:rPr>
          <w:sz w:val="22"/>
          <w:szCs w:val="22"/>
          <w:lang w:val="en-US"/>
        </w:rPr>
        <w:fldChar w:fldCharType="begin"/>
      </w:r>
      <w:r w:rsidR="00AF0A3B" w:rsidRPr="00D86B74">
        <w:rPr>
          <w:sz w:val="22"/>
          <w:szCs w:val="22"/>
          <w:lang w:val="en-US"/>
        </w:rPr>
        <w:instrText xml:space="preserve"> ADDIN EN.CITE &lt;EndNote&gt;&lt;Cite&gt;&lt;Author&gt;Bank&lt;/Author&gt;&lt;Year&gt;2015&lt;/Year&gt;&lt;RecNum&gt;280&lt;/RecNum&gt;&lt;DisplayText&gt;(8)&lt;/DisplayText&gt;&lt;record&gt;&lt;rec-number&gt;280&lt;/rec-number&gt;&lt;foreign-keys&gt;&lt;key app="EN" db-id="dsfewra2bvest2er0pb5v207vwrerdrpx2dw" timestamp="1510820753"&gt;280&lt;/key&gt;&lt;/foreign-keys&gt;&lt;ref-type name="Report"&gt;27&lt;/ref-type&gt;&lt;contributors&gt;&lt;authors&gt;&lt;author&gt;The World Bank,&lt;/author&gt;&lt;/authors&gt;&lt;/contributors&gt;&lt;titles&gt;&lt;title&gt;Tuberculosis case detection rate in India (%, all forms) (Available at: https://data.worldbank.org/indicator/SH.TBS.DTEC.ZS?locations=IN&amp;amp;year_high_desc=false; Accessed November, 2017)&lt;/title&gt;&lt;secondary-title&gt;The World Bank&lt;/secondary-title&gt;&lt;/titles&gt;&lt;dates&gt;&lt;year&gt;2015&lt;/year&gt;&lt;/dates&gt;&lt;urls&gt;&lt;/urls&gt;&lt;/record&gt;&lt;/Cite&gt;&lt;/EndNote&gt;</w:instrText>
      </w:r>
      <w:r w:rsidRPr="00D86B74">
        <w:rPr>
          <w:sz w:val="22"/>
          <w:szCs w:val="22"/>
          <w:lang w:val="en-US"/>
        </w:rPr>
        <w:fldChar w:fldCharType="separate"/>
      </w:r>
      <w:r w:rsidR="00AF0A3B" w:rsidRPr="00D86B74">
        <w:rPr>
          <w:noProof/>
          <w:sz w:val="22"/>
          <w:szCs w:val="22"/>
          <w:lang w:val="en-US"/>
        </w:rPr>
        <w:t>(8)</w:t>
      </w:r>
      <w:r w:rsidRPr="00D86B74">
        <w:rPr>
          <w:sz w:val="22"/>
          <w:szCs w:val="22"/>
        </w:rPr>
        <w:fldChar w:fldCharType="end"/>
      </w:r>
      <w:r w:rsidR="005F36AC" w:rsidRPr="00D86B74">
        <w:rPr>
          <w:sz w:val="22"/>
          <w:szCs w:val="22"/>
        </w:rPr>
        <w:t>,</w:t>
      </w:r>
      <w:r w:rsidRPr="00D86B74">
        <w:rPr>
          <w:sz w:val="22"/>
          <w:szCs w:val="22"/>
          <w:lang w:val="en-US"/>
        </w:rPr>
        <w:t xml:space="preserve"> temporal changes in TB case detection rates were incorporated in the model. </w:t>
      </w:r>
      <w:r w:rsidR="00440D08" w:rsidRPr="00D86B74">
        <w:rPr>
          <w:sz w:val="22"/>
          <w:szCs w:val="22"/>
          <w:lang w:val="en-US"/>
        </w:rPr>
        <w:t xml:space="preserve">Moreover, given the likelihood of underreporting of treatment among TB cases, TB </w:t>
      </w:r>
      <w:r w:rsidR="0062217A" w:rsidRPr="00D86B74">
        <w:rPr>
          <w:sz w:val="22"/>
          <w:szCs w:val="22"/>
          <w:lang w:val="en-US"/>
        </w:rPr>
        <w:t xml:space="preserve">case detection rate for </w:t>
      </w:r>
      <w:r w:rsidR="00382793" w:rsidRPr="00D86B74">
        <w:rPr>
          <w:sz w:val="22"/>
          <w:szCs w:val="22"/>
          <w:lang w:val="en-US"/>
        </w:rPr>
        <w:t xml:space="preserve">each of </w:t>
      </w:r>
      <w:r w:rsidR="0062217A" w:rsidRPr="00D86B74">
        <w:rPr>
          <w:sz w:val="22"/>
          <w:szCs w:val="22"/>
          <w:lang w:val="en-US"/>
        </w:rPr>
        <w:t xml:space="preserve">India </w:t>
      </w:r>
      <w:r w:rsidR="00251C51" w:rsidRPr="00D86B74">
        <w:rPr>
          <w:sz w:val="22"/>
          <w:szCs w:val="22"/>
          <w:lang w:val="en-US"/>
        </w:rPr>
        <w:t xml:space="preserve">and Indonesia </w:t>
      </w:r>
      <w:r w:rsidR="0062217A" w:rsidRPr="00D86B74">
        <w:rPr>
          <w:sz w:val="22"/>
          <w:szCs w:val="22"/>
          <w:lang w:val="en-US"/>
        </w:rPr>
        <w:t>was derived by fitting the model to TB incidence</w:t>
      </w:r>
      <w:r w:rsidR="00EA1F74" w:rsidRPr="00D86B74">
        <w:rPr>
          <w:sz w:val="22"/>
          <w:szCs w:val="22"/>
          <w:lang w:val="en-US"/>
        </w:rPr>
        <w:t xml:space="preserve"> </w:t>
      </w:r>
      <w:r w:rsidR="00EA1F74" w:rsidRPr="00D86B74">
        <w:rPr>
          <w:sz w:val="22"/>
          <w:szCs w:val="22"/>
        </w:rPr>
        <w:t>and mortality</w:t>
      </w:r>
      <w:r w:rsidR="00EA1F74" w:rsidRPr="00D86B74">
        <w:rPr>
          <w:sz w:val="22"/>
          <w:szCs w:val="22"/>
          <w:lang w:val="en-US"/>
        </w:rPr>
        <w:t xml:space="preserve"> rate</w:t>
      </w:r>
      <w:r w:rsidR="00382793" w:rsidRPr="00D86B74">
        <w:rPr>
          <w:sz w:val="22"/>
          <w:szCs w:val="22"/>
          <w:lang w:val="en-US"/>
        </w:rPr>
        <w:t>s</w:t>
      </w:r>
      <w:r w:rsidR="00EA1F74" w:rsidRPr="00D86B74">
        <w:rPr>
          <w:sz w:val="22"/>
          <w:szCs w:val="22"/>
          <w:lang w:val="en-US"/>
        </w:rPr>
        <w:t>.</w:t>
      </w:r>
      <w:r w:rsidRPr="00D86B74">
        <w:rPr>
          <w:sz w:val="22"/>
          <w:szCs w:val="22"/>
          <w:lang w:val="en-US"/>
        </w:rPr>
        <w:t xml:space="preserve"> The temporal variation was parametrized through a logistic function</w:t>
      </w:r>
      <w:r w:rsidR="00762976" w:rsidRPr="00D86B74">
        <w:rPr>
          <w:sz w:val="22"/>
          <w:szCs w:val="22"/>
        </w:rPr>
        <w:t>:</w:t>
      </w:r>
    </w:p>
    <w:p w14:paraId="1DB60C7D" w14:textId="77777777" w:rsidR="00942713" w:rsidRPr="009728D2" w:rsidRDefault="0083391B" w:rsidP="00D86B74">
      <w:pPr>
        <w:pStyle w:val="p"/>
        <w:spacing w:before="120" w:after="0" w:line="360" w:lineRule="auto"/>
        <w:ind w:firstLine="0"/>
        <w:rPr>
          <w:szCs w:val="24"/>
        </w:rPr>
      </w:pPr>
      <w:r w:rsidRPr="00CA6A29">
        <w:rPr>
          <w:noProof/>
          <w:position w:val="-40"/>
        </w:rPr>
        <w:object w:dxaOrig="2079" w:dyaOrig="760" w14:anchorId="2106A766">
          <v:shape id="_x0000_i1062" type="#_x0000_t75" alt="" style="width:104pt;height:37.7pt;mso-width-percent:0;mso-height-percent:0;mso-width-percent:0;mso-height-percent:0" o:ole="">
            <v:imagedata r:id="rId181" o:title=""/>
          </v:shape>
          <o:OLEObject Type="Embed" ProgID="Equation.DSMT4" ShapeID="_x0000_i1062" DrawAspect="Content" ObjectID="_1675249162" r:id="rId182"/>
        </w:object>
      </w:r>
      <w:r w:rsidR="002456E7" w:rsidRPr="00D86B74">
        <w:rPr>
          <w:sz w:val="22"/>
          <w:szCs w:val="22"/>
        </w:rPr>
        <w:t>.</w:t>
      </w:r>
      <w:r w:rsidR="001538F8" w:rsidRPr="00D86B74">
        <w:rPr>
          <w:sz w:val="22"/>
          <w:szCs w:val="22"/>
        </w:rPr>
        <w:tab/>
      </w:r>
      <w:r w:rsidR="001538F8" w:rsidRPr="00D86B74">
        <w:rPr>
          <w:sz w:val="22"/>
          <w:szCs w:val="22"/>
        </w:rPr>
        <w:tab/>
      </w:r>
      <w:r w:rsidR="001538F8" w:rsidRPr="009728D2">
        <w:rPr>
          <w:szCs w:val="24"/>
        </w:rPr>
        <w:tab/>
      </w:r>
      <w:r w:rsidR="001538F8" w:rsidRPr="009728D2">
        <w:rPr>
          <w:szCs w:val="24"/>
        </w:rPr>
        <w:tab/>
      </w:r>
      <w:r w:rsidR="001538F8" w:rsidRPr="009728D2">
        <w:rPr>
          <w:szCs w:val="24"/>
        </w:rPr>
        <w:tab/>
      </w:r>
      <w:r w:rsidR="001538F8" w:rsidRPr="009728D2">
        <w:rPr>
          <w:szCs w:val="24"/>
        </w:rPr>
        <w:tab/>
      </w:r>
      <w:r w:rsidR="001538F8" w:rsidRPr="009728D2">
        <w:rPr>
          <w:szCs w:val="24"/>
        </w:rPr>
        <w:tab/>
      </w:r>
      <w:r w:rsidR="001538F8" w:rsidRPr="009728D2">
        <w:rPr>
          <w:szCs w:val="24"/>
        </w:rPr>
        <w:tab/>
      </w:r>
    </w:p>
    <w:p w14:paraId="6C09DF57" w14:textId="2BD75F53" w:rsidR="00E27E12" w:rsidRPr="00D86B74" w:rsidRDefault="004154A8" w:rsidP="00D86B74">
      <w:pPr>
        <w:pStyle w:val="PlainText"/>
        <w:spacing w:before="120" w:line="360" w:lineRule="auto"/>
        <w:jc w:val="both"/>
        <w:rPr>
          <w:rFonts w:ascii="Times New Roman" w:hAnsi="Times New Roman" w:cs="Times New Roman"/>
          <w:szCs w:val="22"/>
        </w:rPr>
      </w:pPr>
      <w:r w:rsidRPr="00D86B74">
        <w:rPr>
          <w:rFonts w:ascii="Times New Roman" w:hAnsi="Times New Roman" w:cs="Times New Roman"/>
          <w:szCs w:val="22"/>
        </w:rPr>
        <w:t xml:space="preserve">Here, the parameters </w:t>
      </w:r>
      <w:r w:rsidR="0083391B" w:rsidRPr="00CA6A29">
        <w:rPr>
          <w:noProof/>
          <w:position w:val="-10"/>
        </w:rPr>
        <w:object w:dxaOrig="240" w:dyaOrig="320" w14:anchorId="5E23F413">
          <v:shape id="_x0000_i1061" type="#_x0000_t75" alt="" style="width:11.45pt;height:15.45pt;mso-width-percent:0;mso-height-percent:0;mso-width-percent:0;mso-height-percent:0" o:ole="">
            <v:imagedata r:id="rId183" o:title=""/>
          </v:shape>
          <o:OLEObject Type="Embed" ProgID="Equation.DSMT4" ShapeID="_x0000_i1061" DrawAspect="Content" ObjectID="_1675249163" r:id="rId184"/>
        </w:object>
      </w:r>
      <w:r w:rsidRPr="00D86B74">
        <w:rPr>
          <w:rFonts w:ascii="Times New Roman" w:hAnsi="Times New Roman" w:cs="Times New Roman"/>
          <w:szCs w:val="22"/>
        </w:rPr>
        <w:t xml:space="preserve">, </w:t>
      </w:r>
      <w:r w:rsidR="0083391B" w:rsidRPr="00CA6A29">
        <w:rPr>
          <w:noProof/>
          <w:position w:val="-10"/>
        </w:rPr>
        <w:object w:dxaOrig="240" w:dyaOrig="320" w14:anchorId="04C930F4">
          <v:shape id="_x0000_i1060" type="#_x0000_t75" alt="" style="width:11.45pt;height:15.45pt;mso-width-percent:0;mso-height-percent:0;mso-width-percent:0;mso-height-percent:0" o:ole="">
            <v:imagedata r:id="rId185" o:title=""/>
          </v:shape>
          <o:OLEObject Type="Embed" ProgID="Equation.DSMT4" ShapeID="_x0000_i1060" DrawAspect="Content" ObjectID="_1675249164" r:id="rId186"/>
        </w:object>
      </w:r>
      <w:r w:rsidRPr="00D86B74">
        <w:rPr>
          <w:rFonts w:ascii="Times New Roman" w:hAnsi="Times New Roman" w:cs="Times New Roman"/>
          <w:szCs w:val="22"/>
        </w:rPr>
        <w:t xml:space="preserve">, and </w:t>
      </w:r>
      <w:r w:rsidR="0083391B" w:rsidRPr="00CA6A29">
        <w:rPr>
          <w:noProof/>
          <w:position w:val="-10"/>
        </w:rPr>
        <w:object w:dxaOrig="240" w:dyaOrig="320" w14:anchorId="498512B6">
          <v:shape id="_x0000_i1059" type="#_x0000_t75" alt="" style="width:11.45pt;height:15.45pt;mso-width-percent:0;mso-height-percent:0;mso-width-percent:0;mso-height-percent:0" o:ole="">
            <v:imagedata r:id="rId187" o:title=""/>
          </v:shape>
          <o:OLEObject Type="Embed" ProgID="Equation.DSMT4" ShapeID="_x0000_i1059" DrawAspect="Content" ObjectID="_1675249165" r:id="rId188"/>
        </w:object>
      </w:r>
      <w:r w:rsidRPr="00D86B74">
        <w:rPr>
          <w:sz w:val="20"/>
          <w:szCs w:val="22"/>
        </w:rPr>
        <w:t xml:space="preserve"> </w:t>
      </w:r>
      <w:r w:rsidRPr="00D86B74">
        <w:rPr>
          <w:rFonts w:ascii="Times New Roman" w:hAnsi="Times New Roman" w:cs="Times New Roman"/>
          <w:szCs w:val="22"/>
        </w:rPr>
        <w:t>were obtained by fitting the model to available</w:t>
      </w:r>
      <w:r w:rsidR="005F65F8" w:rsidRPr="00D86B74">
        <w:rPr>
          <w:rFonts w:ascii="Times New Roman" w:hAnsi="Times New Roman" w:cs="Times New Roman"/>
          <w:szCs w:val="22"/>
        </w:rPr>
        <w:t xml:space="preserve"> empirical data on TB-incidence</w:t>
      </w:r>
      <w:r w:rsidRPr="00D86B74">
        <w:rPr>
          <w:rFonts w:ascii="Times New Roman" w:hAnsi="Times New Roman" w:cs="Times New Roman"/>
          <w:szCs w:val="22"/>
        </w:rPr>
        <w:t xml:space="preserve"> and mortality</w:t>
      </w:r>
      <w:r w:rsidR="00EA1F74" w:rsidRPr="00D86B74">
        <w:rPr>
          <w:rFonts w:ascii="Times New Roman" w:hAnsi="Times New Roman" w:cs="Times New Roman"/>
          <w:szCs w:val="22"/>
        </w:rPr>
        <w:t xml:space="preserve"> rates</w:t>
      </w:r>
      <w:r w:rsidRPr="00D86B74">
        <w:rPr>
          <w:rFonts w:ascii="Times New Roman" w:hAnsi="Times New Roman" w:cs="Times New Roman"/>
          <w:szCs w:val="22"/>
        </w:rPr>
        <w:t xml:space="preserve"> from the WHO’s Global Health Observatory data repository</w:t>
      </w:r>
      <w:r w:rsidR="00E70B8D">
        <w:rPr>
          <w:rFonts w:ascii="Times New Roman" w:hAnsi="Times New Roman" w:cs="Times New Roman"/>
          <w:szCs w:val="22"/>
        </w:rPr>
        <w:fldChar w:fldCharType="begin"/>
      </w:r>
      <w:r w:rsidR="00E70B8D">
        <w:rPr>
          <w:rFonts w:ascii="Times New Roman" w:hAnsi="Times New Roman" w:cs="Times New Roman"/>
          <w:szCs w:val="22"/>
        </w:rPr>
        <w:instrText xml:space="preserve"> ADDIN ZOTERO_ITEM CSL_CITATION {"citationID":"Hu7cF6rP","properties":{"formattedCitation":"\\super 6\\nosupersub{}","plainCitation":"6","noteIndex":0},"citationItems":[{"id":28968,"uris":["http://zotero.org/users/local/p8g0WsVO/items/3BRN9WSE"],"uri":["http://zotero.org/users/local/p8g0WsVO/items/3BRN9WSE"],"itemData":{"id":28968,"type":"webpage","container-title":"WHO","note":"publisher: World Health Organization","title":"GHO | By category","URL":"https://apps.who.int/gho/data/node.main.526","accessed":{"date-parts":[["2020",10,2]]}}}],"schema":"https://github.com/citation-style-language/schema/raw/master/csl-citation.json"} </w:instrText>
      </w:r>
      <w:r w:rsidR="00E70B8D">
        <w:rPr>
          <w:rFonts w:ascii="Times New Roman" w:hAnsi="Times New Roman" w:cs="Times New Roman"/>
          <w:szCs w:val="22"/>
        </w:rPr>
        <w:fldChar w:fldCharType="separate"/>
      </w:r>
      <w:r w:rsidR="00E70B8D" w:rsidRPr="00E70B8D">
        <w:rPr>
          <w:rFonts w:ascii="Times New Roman" w:hAnsi="Times New Roman" w:cs="Times New Roman"/>
          <w:vertAlign w:val="superscript"/>
        </w:rPr>
        <w:t>6</w:t>
      </w:r>
      <w:r w:rsidR="00E70B8D">
        <w:rPr>
          <w:rFonts w:ascii="Times New Roman" w:hAnsi="Times New Roman" w:cs="Times New Roman"/>
          <w:szCs w:val="22"/>
        </w:rPr>
        <w:fldChar w:fldCharType="end"/>
      </w:r>
    </w:p>
    <w:p w14:paraId="51C9F4D4" w14:textId="77777777" w:rsidR="00C07C80" w:rsidRPr="009728D2" w:rsidRDefault="006E7B20" w:rsidP="00D86B74">
      <w:pPr>
        <w:pStyle w:val="p"/>
        <w:numPr>
          <w:ilvl w:val="0"/>
          <w:numId w:val="12"/>
        </w:numPr>
        <w:spacing w:before="120" w:after="0" w:line="360" w:lineRule="auto"/>
        <w:rPr>
          <w:b/>
          <w:szCs w:val="24"/>
          <w:lang w:val="en-US"/>
        </w:rPr>
      </w:pPr>
      <w:r w:rsidRPr="009728D2">
        <w:rPr>
          <w:b/>
          <w:szCs w:val="24"/>
          <w:lang w:val="en-US"/>
        </w:rPr>
        <w:t>DATA SOURCES</w:t>
      </w:r>
    </w:p>
    <w:p w14:paraId="4BC25C54" w14:textId="77777777" w:rsidR="00E27E12" w:rsidRPr="00D86B74" w:rsidRDefault="00E27E12" w:rsidP="00D86B74">
      <w:pPr>
        <w:pStyle w:val="p"/>
        <w:spacing w:before="120" w:after="0" w:line="360" w:lineRule="auto"/>
        <w:ind w:firstLine="0"/>
        <w:rPr>
          <w:b/>
          <w:sz w:val="22"/>
          <w:szCs w:val="22"/>
        </w:rPr>
      </w:pPr>
      <w:r w:rsidRPr="00D86B74">
        <w:rPr>
          <w:sz w:val="22"/>
          <w:szCs w:val="22"/>
        </w:rPr>
        <w:t xml:space="preserve">The TB model </w:t>
      </w:r>
      <w:r w:rsidR="00382793" w:rsidRPr="00D86B74">
        <w:rPr>
          <w:sz w:val="22"/>
          <w:szCs w:val="22"/>
        </w:rPr>
        <w:t xml:space="preserve">for each of India and Indonesia </w:t>
      </w:r>
      <w:r w:rsidRPr="00D86B74">
        <w:rPr>
          <w:sz w:val="22"/>
          <w:szCs w:val="22"/>
        </w:rPr>
        <w:t xml:space="preserve">was parameterized using empirical epidemiological and natural history data from multiple sources. </w:t>
      </w:r>
    </w:p>
    <w:p w14:paraId="7A5CF142" w14:textId="3BE97C7F" w:rsidR="00DA5490" w:rsidRPr="009728D2" w:rsidRDefault="00354F1C" w:rsidP="00D86B74">
      <w:pPr>
        <w:pStyle w:val="p"/>
        <w:spacing w:before="120" w:after="0" w:line="360" w:lineRule="auto"/>
        <w:ind w:firstLine="0"/>
        <w:rPr>
          <w:b/>
          <w:szCs w:val="24"/>
        </w:rPr>
      </w:pPr>
      <w:r>
        <w:rPr>
          <w:b/>
          <w:szCs w:val="24"/>
        </w:rPr>
        <w:t xml:space="preserve">2.1 </w:t>
      </w:r>
      <w:r w:rsidR="00DA5490" w:rsidRPr="009728D2">
        <w:rPr>
          <w:b/>
          <w:szCs w:val="24"/>
        </w:rPr>
        <w:t xml:space="preserve">TB </w:t>
      </w:r>
      <w:r w:rsidR="00054781">
        <w:rPr>
          <w:b/>
          <w:szCs w:val="24"/>
        </w:rPr>
        <w:t>e</w:t>
      </w:r>
      <w:r w:rsidR="00DA5490" w:rsidRPr="009728D2">
        <w:rPr>
          <w:b/>
          <w:szCs w:val="24"/>
        </w:rPr>
        <w:t xml:space="preserve">pidemiological and </w:t>
      </w:r>
      <w:r w:rsidR="00054781">
        <w:rPr>
          <w:b/>
          <w:szCs w:val="24"/>
        </w:rPr>
        <w:t>n</w:t>
      </w:r>
      <w:r w:rsidR="00DA5490" w:rsidRPr="009728D2">
        <w:rPr>
          <w:b/>
          <w:szCs w:val="24"/>
        </w:rPr>
        <w:t xml:space="preserve">atural </w:t>
      </w:r>
      <w:r w:rsidR="00054781">
        <w:rPr>
          <w:b/>
          <w:szCs w:val="24"/>
        </w:rPr>
        <w:t>h</w:t>
      </w:r>
      <w:r w:rsidR="00DA5490" w:rsidRPr="009728D2">
        <w:rPr>
          <w:b/>
          <w:szCs w:val="24"/>
        </w:rPr>
        <w:t xml:space="preserve">istory </w:t>
      </w:r>
      <w:r w:rsidR="00054781">
        <w:rPr>
          <w:b/>
          <w:szCs w:val="24"/>
        </w:rPr>
        <w:t>d</w:t>
      </w:r>
      <w:r w:rsidR="00DA5490" w:rsidRPr="009728D2">
        <w:rPr>
          <w:b/>
          <w:szCs w:val="24"/>
        </w:rPr>
        <w:t>ata</w:t>
      </w:r>
    </w:p>
    <w:p w14:paraId="5AA05CA6" w14:textId="77777777" w:rsidR="00BE24C7" w:rsidRPr="00D86B74" w:rsidRDefault="003F6420" w:rsidP="009728D2">
      <w:pPr>
        <w:pStyle w:val="p"/>
        <w:spacing w:before="120" w:after="120" w:line="480" w:lineRule="auto"/>
        <w:ind w:firstLine="0"/>
        <w:rPr>
          <w:sz w:val="22"/>
          <w:szCs w:val="22"/>
        </w:rPr>
      </w:pPr>
      <w:r w:rsidRPr="00D86B74">
        <w:rPr>
          <w:sz w:val="22"/>
          <w:szCs w:val="22"/>
        </w:rPr>
        <w:t xml:space="preserve">The </w:t>
      </w:r>
      <w:r w:rsidR="00C07C80" w:rsidRPr="00D86B74">
        <w:rPr>
          <w:sz w:val="22"/>
          <w:szCs w:val="22"/>
        </w:rPr>
        <w:t xml:space="preserve">model’s parameter values </w:t>
      </w:r>
      <w:r w:rsidRPr="00D86B74">
        <w:rPr>
          <w:sz w:val="22"/>
          <w:szCs w:val="22"/>
        </w:rPr>
        <w:t>for TB</w:t>
      </w:r>
      <w:r w:rsidR="00D10E98" w:rsidRPr="00D86B74">
        <w:rPr>
          <w:sz w:val="22"/>
          <w:szCs w:val="22"/>
        </w:rPr>
        <w:t xml:space="preserve"> natural history</w:t>
      </w:r>
      <w:r w:rsidR="00DA565F" w:rsidRPr="00D86B74">
        <w:rPr>
          <w:sz w:val="22"/>
          <w:szCs w:val="22"/>
        </w:rPr>
        <w:t>,</w:t>
      </w:r>
      <w:r w:rsidRPr="00D86B74">
        <w:rPr>
          <w:sz w:val="22"/>
          <w:szCs w:val="22"/>
        </w:rPr>
        <w:t xml:space="preserve"> </w:t>
      </w:r>
      <w:r w:rsidR="00C07C80" w:rsidRPr="00D86B74">
        <w:rPr>
          <w:sz w:val="22"/>
          <w:szCs w:val="22"/>
        </w:rPr>
        <w:t>along with their r</w:t>
      </w:r>
      <w:r w:rsidR="009718C2" w:rsidRPr="00D86B74">
        <w:rPr>
          <w:sz w:val="22"/>
          <w:szCs w:val="22"/>
        </w:rPr>
        <w:t>eferences</w:t>
      </w:r>
      <w:r w:rsidR="00DA565F" w:rsidRPr="00D86B74">
        <w:rPr>
          <w:sz w:val="22"/>
          <w:szCs w:val="22"/>
        </w:rPr>
        <w:t>,</w:t>
      </w:r>
      <w:r w:rsidR="009718C2" w:rsidRPr="00D86B74">
        <w:rPr>
          <w:sz w:val="22"/>
          <w:szCs w:val="22"/>
        </w:rPr>
        <w:t xml:space="preserve"> are listed in Table S1</w:t>
      </w:r>
      <w:r w:rsidR="00C07C80" w:rsidRPr="00D86B74">
        <w:rPr>
          <w:sz w:val="22"/>
          <w:szCs w:val="22"/>
        </w:rPr>
        <w:t xml:space="preserve">. </w:t>
      </w:r>
    </w:p>
    <w:p w14:paraId="550F26E4" w14:textId="77777777" w:rsidR="000D003D" w:rsidRPr="009728D2" w:rsidRDefault="00B872D6" w:rsidP="00284AFA">
      <w:pPr>
        <w:pStyle w:val="p"/>
        <w:spacing w:after="0"/>
        <w:ind w:firstLine="0"/>
        <w:jc w:val="center"/>
      </w:pPr>
      <w:r w:rsidRPr="009728D2">
        <w:rPr>
          <w:b/>
        </w:rPr>
        <w:lastRenderedPageBreak/>
        <w:t xml:space="preserve">Table </w:t>
      </w:r>
      <w:r w:rsidR="007E637B" w:rsidRPr="009728D2">
        <w:rPr>
          <w:b/>
        </w:rPr>
        <w:t>S1</w:t>
      </w:r>
      <w:r w:rsidR="000D003D" w:rsidRPr="009728D2">
        <w:rPr>
          <w:b/>
        </w:rPr>
        <w:t>. Model assumptions in terms of parameter values.</w:t>
      </w:r>
    </w:p>
    <w:tbl>
      <w:tblPr>
        <w:tblStyle w:val="TableGrid"/>
        <w:tblW w:w="8280" w:type="dxa"/>
        <w:jc w:val="center"/>
        <w:tblBorders>
          <w:left w:val="none" w:sz="0" w:space="0" w:color="auto"/>
          <w:right w:val="none" w:sz="0" w:space="0" w:color="auto"/>
          <w:insideH w:val="single" w:sz="4" w:space="0" w:color="C4BC96" w:themeColor="background2" w:themeShade="BF"/>
          <w:insideV w:val="none" w:sz="0" w:space="0" w:color="auto"/>
        </w:tblBorders>
        <w:shd w:val="clear" w:color="auto" w:fill="FFFFFF" w:themeFill="background1"/>
        <w:tblLayout w:type="fixed"/>
        <w:tblLook w:val="04A0" w:firstRow="1" w:lastRow="0" w:firstColumn="1" w:lastColumn="0" w:noHBand="0" w:noVBand="1"/>
      </w:tblPr>
      <w:tblGrid>
        <w:gridCol w:w="1170"/>
        <w:gridCol w:w="3330"/>
        <w:gridCol w:w="2070"/>
        <w:gridCol w:w="1710"/>
      </w:tblGrid>
      <w:tr w:rsidR="00A06F33" w:rsidRPr="009728D2" w14:paraId="628A0E52" w14:textId="77777777" w:rsidTr="00284AFA">
        <w:trPr>
          <w:jc w:val="center"/>
        </w:trPr>
        <w:tc>
          <w:tcPr>
            <w:tcW w:w="1170" w:type="dxa"/>
            <w:tcBorders>
              <w:bottom w:val="single" w:sz="4" w:space="0" w:color="auto"/>
            </w:tcBorders>
            <w:shd w:val="clear" w:color="auto" w:fill="FFFFFF" w:themeFill="background1"/>
          </w:tcPr>
          <w:p w14:paraId="4153E9D2" w14:textId="77777777" w:rsidR="00A06F33" w:rsidRPr="009728D2" w:rsidRDefault="00A06F33" w:rsidP="00974F1B">
            <w:pPr>
              <w:rPr>
                <w:rFonts w:ascii="Times New Roman" w:hAnsi="Times New Roman" w:cs="Times New Roman"/>
                <w:b/>
                <w:sz w:val="20"/>
                <w:szCs w:val="20"/>
              </w:rPr>
            </w:pPr>
            <w:r w:rsidRPr="009728D2">
              <w:rPr>
                <w:rFonts w:ascii="Times New Roman" w:hAnsi="Times New Roman" w:cs="Times New Roman"/>
                <w:b/>
                <w:sz w:val="20"/>
                <w:szCs w:val="20"/>
              </w:rPr>
              <w:t>Symbol</w:t>
            </w:r>
          </w:p>
        </w:tc>
        <w:tc>
          <w:tcPr>
            <w:tcW w:w="3330" w:type="dxa"/>
            <w:tcBorders>
              <w:bottom w:val="single" w:sz="4" w:space="0" w:color="auto"/>
            </w:tcBorders>
            <w:shd w:val="clear" w:color="auto" w:fill="FFFFFF" w:themeFill="background1"/>
          </w:tcPr>
          <w:p w14:paraId="4B3DF3D5" w14:textId="77777777" w:rsidR="00A06F33" w:rsidRPr="009728D2" w:rsidRDefault="00A06F33" w:rsidP="00974F1B">
            <w:pPr>
              <w:rPr>
                <w:rFonts w:ascii="Times New Roman" w:hAnsi="Times New Roman" w:cs="Times New Roman"/>
                <w:b/>
                <w:sz w:val="20"/>
                <w:szCs w:val="20"/>
              </w:rPr>
            </w:pPr>
            <w:r w:rsidRPr="009728D2">
              <w:rPr>
                <w:rFonts w:ascii="Times New Roman" w:hAnsi="Times New Roman" w:cs="Times New Roman"/>
                <w:b/>
                <w:sz w:val="20"/>
                <w:szCs w:val="20"/>
              </w:rPr>
              <w:t>Definition</w:t>
            </w:r>
          </w:p>
        </w:tc>
        <w:tc>
          <w:tcPr>
            <w:tcW w:w="3780" w:type="dxa"/>
            <w:gridSpan w:val="2"/>
            <w:tcBorders>
              <w:bottom w:val="single" w:sz="4" w:space="0" w:color="auto"/>
            </w:tcBorders>
            <w:shd w:val="clear" w:color="auto" w:fill="FFFFFF" w:themeFill="background1"/>
            <w:vAlign w:val="center"/>
          </w:tcPr>
          <w:p w14:paraId="22C0045A" w14:textId="77777777" w:rsidR="00A06F33" w:rsidRPr="009728D2" w:rsidRDefault="00A06F33" w:rsidP="00DB6014">
            <w:pPr>
              <w:ind w:right="1151"/>
              <w:jc w:val="right"/>
              <w:rPr>
                <w:rFonts w:ascii="Times New Roman" w:hAnsi="Times New Roman" w:cs="Times New Roman"/>
                <w:b/>
                <w:sz w:val="20"/>
                <w:szCs w:val="20"/>
              </w:rPr>
            </w:pPr>
            <w:r w:rsidRPr="009728D2">
              <w:rPr>
                <w:rFonts w:ascii="Times New Roman" w:hAnsi="Times New Roman" w:cs="Times New Roman"/>
                <w:b/>
                <w:sz w:val="20"/>
                <w:szCs w:val="20"/>
              </w:rPr>
              <w:t>Parameter value</w:t>
            </w:r>
          </w:p>
        </w:tc>
      </w:tr>
      <w:tr w:rsidR="00A06F33" w:rsidRPr="009728D2" w14:paraId="4AC5DCC3" w14:textId="77777777" w:rsidTr="00284AFA">
        <w:trPr>
          <w:jc w:val="center"/>
        </w:trPr>
        <w:tc>
          <w:tcPr>
            <w:tcW w:w="1170" w:type="dxa"/>
            <w:tcBorders>
              <w:bottom w:val="single" w:sz="2" w:space="0" w:color="C4BC96" w:themeColor="background2" w:themeShade="BF"/>
            </w:tcBorders>
            <w:shd w:val="clear" w:color="auto" w:fill="FFFFFF" w:themeFill="background1"/>
          </w:tcPr>
          <w:p w14:paraId="65545367" w14:textId="77777777" w:rsidR="00A06F33" w:rsidRPr="009728D2" w:rsidRDefault="00A06F33" w:rsidP="00974F1B">
            <w:pPr>
              <w:rPr>
                <w:rFonts w:ascii="Times New Roman" w:hAnsi="Times New Roman" w:cs="Times New Roman"/>
                <w:sz w:val="20"/>
                <w:szCs w:val="20"/>
              </w:rPr>
            </w:pPr>
          </w:p>
        </w:tc>
        <w:tc>
          <w:tcPr>
            <w:tcW w:w="3330" w:type="dxa"/>
            <w:tcBorders>
              <w:bottom w:val="single" w:sz="2" w:space="0" w:color="C4BC96" w:themeColor="background2" w:themeShade="BF"/>
            </w:tcBorders>
            <w:shd w:val="clear" w:color="auto" w:fill="FFFFFF" w:themeFill="background1"/>
          </w:tcPr>
          <w:p w14:paraId="6F107AAB" w14:textId="77777777" w:rsidR="00A06F33" w:rsidRPr="009728D2" w:rsidRDefault="00A06F33" w:rsidP="00DF1ACF">
            <w:pPr>
              <w:pStyle w:val="Default"/>
              <w:rPr>
                <w:rFonts w:ascii="Times New Roman" w:hAnsi="Times New Roman" w:cs="Times New Roman"/>
                <w:sz w:val="20"/>
                <w:szCs w:val="20"/>
              </w:rPr>
            </w:pPr>
          </w:p>
        </w:tc>
        <w:tc>
          <w:tcPr>
            <w:tcW w:w="2070" w:type="dxa"/>
            <w:tcBorders>
              <w:bottom w:val="single" w:sz="2" w:space="0" w:color="C4BC96" w:themeColor="background2" w:themeShade="BF"/>
            </w:tcBorders>
            <w:shd w:val="clear" w:color="auto" w:fill="FFFFFF" w:themeFill="background1"/>
          </w:tcPr>
          <w:p w14:paraId="663EF3AC" w14:textId="77777777" w:rsidR="00A06F33" w:rsidRPr="009728D2" w:rsidRDefault="00A06F33" w:rsidP="00974F1B">
            <w:pPr>
              <w:rPr>
                <w:rFonts w:ascii="Times New Roman" w:hAnsi="Times New Roman" w:cs="Times New Roman"/>
                <w:b/>
                <w:sz w:val="20"/>
                <w:szCs w:val="20"/>
              </w:rPr>
            </w:pPr>
            <w:r w:rsidRPr="009728D2">
              <w:rPr>
                <w:rFonts w:ascii="Times New Roman" w:hAnsi="Times New Roman" w:cs="Times New Roman"/>
                <w:b/>
                <w:sz w:val="20"/>
                <w:szCs w:val="20"/>
              </w:rPr>
              <w:t>0-14 years old</w:t>
            </w:r>
          </w:p>
        </w:tc>
        <w:tc>
          <w:tcPr>
            <w:tcW w:w="1710" w:type="dxa"/>
            <w:tcBorders>
              <w:bottom w:val="single" w:sz="2" w:space="0" w:color="C4BC96" w:themeColor="background2" w:themeShade="BF"/>
            </w:tcBorders>
            <w:shd w:val="clear" w:color="auto" w:fill="FFFFFF" w:themeFill="background1"/>
          </w:tcPr>
          <w:p w14:paraId="1816E993" w14:textId="77777777" w:rsidR="00A06F33" w:rsidRPr="009728D2" w:rsidRDefault="00A06F33" w:rsidP="00974F1B">
            <w:pPr>
              <w:rPr>
                <w:rFonts w:ascii="Times New Roman" w:hAnsi="Times New Roman" w:cs="Times New Roman"/>
                <w:b/>
                <w:sz w:val="20"/>
                <w:szCs w:val="20"/>
              </w:rPr>
            </w:pPr>
            <w:r w:rsidRPr="009728D2">
              <w:rPr>
                <w:rFonts w:ascii="Times New Roman" w:hAnsi="Times New Roman" w:cs="Times New Roman"/>
                <w:b/>
                <w:sz w:val="20"/>
                <w:szCs w:val="20"/>
              </w:rPr>
              <w:t>15+ years old</w:t>
            </w:r>
          </w:p>
        </w:tc>
      </w:tr>
      <w:tr w:rsidR="00A06F33" w:rsidRPr="009728D2" w14:paraId="3B5E358F" w14:textId="77777777" w:rsidTr="00284AFA">
        <w:trPr>
          <w:jc w:val="center"/>
        </w:trPr>
        <w:tc>
          <w:tcPr>
            <w:tcW w:w="1170" w:type="dxa"/>
            <w:tcBorders>
              <w:top w:val="single" w:sz="2" w:space="0" w:color="C4BC96" w:themeColor="background2" w:themeShade="BF"/>
            </w:tcBorders>
            <w:shd w:val="clear" w:color="auto" w:fill="FFFFFF" w:themeFill="background1"/>
          </w:tcPr>
          <w:p w14:paraId="23B2FE4E" w14:textId="77777777" w:rsidR="00A06F33" w:rsidRPr="009728D2" w:rsidRDefault="0083391B" w:rsidP="00CA6A29">
            <w:pPr>
              <w:rPr>
                <w:rFonts w:ascii="Times New Roman" w:hAnsi="Times New Roman" w:cs="Times New Roman"/>
                <w:sz w:val="20"/>
                <w:szCs w:val="20"/>
              </w:rPr>
            </w:pPr>
            <w:r w:rsidRPr="00CA6A29">
              <w:rPr>
                <w:noProof/>
                <w:position w:val="-10"/>
              </w:rPr>
              <w:object w:dxaOrig="200" w:dyaOrig="260" w14:anchorId="7B036F52">
                <v:shape id="_x0000_i1058" type="#_x0000_t75" alt="" style="width:10.3pt;height:12.55pt;mso-width-percent:0;mso-height-percent:0;mso-width-percent:0;mso-height-percent:0" o:ole="">
                  <v:imagedata r:id="rId189" o:title=""/>
                </v:shape>
                <o:OLEObject Type="Embed" ProgID="Equation.DSMT4" ShapeID="_x0000_i1058" DrawAspect="Content" ObjectID="_1675249166" r:id="rId190"/>
              </w:object>
            </w:r>
            <w:r w:rsidR="00A06F33" w:rsidRPr="009728D2">
              <w:rPr>
                <w:rFonts w:ascii="Times New Roman" w:hAnsi="Times New Roman" w:cs="Times New Roman"/>
                <w:sz w:val="20"/>
                <w:szCs w:val="20"/>
              </w:rPr>
              <w:t xml:space="preserve"> </w:t>
            </w:r>
          </w:p>
        </w:tc>
        <w:tc>
          <w:tcPr>
            <w:tcW w:w="3330" w:type="dxa"/>
            <w:tcBorders>
              <w:top w:val="single" w:sz="2" w:space="0" w:color="C4BC96" w:themeColor="background2" w:themeShade="BF"/>
            </w:tcBorders>
            <w:shd w:val="clear" w:color="auto" w:fill="FFFFFF" w:themeFill="background1"/>
          </w:tcPr>
          <w:p w14:paraId="24D2CB88" w14:textId="28625B90" w:rsidR="00A06F33" w:rsidRPr="009728D2" w:rsidRDefault="00A06F33" w:rsidP="00DF1ACF">
            <w:pPr>
              <w:pStyle w:val="Default"/>
              <w:rPr>
                <w:rFonts w:ascii="Times New Roman" w:hAnsi="Times New Roman" w:cs="Times New Roman"/>
                <w:sz w:val="20"/>
                <w:szCs w:val="20"/>
              </w:rPr>
            </w:pPr>
            <w:r w:rsidRPr="009728D2">
              <w:rPr>
                <w:rFonts w:ascii="Times New Roman" w:hAnsi="Times New Roman" w:cs="Times New Roman"/>
                <w:sz w:val="20"/>
                <w:szCs w:val="20"/>
              </w:rPr>
              <w:t>Proportion of TB infections entering latent-fast state</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{"citationID":"kQLsCcxZ","properties":{"formattedCitation":"\\super 7\\nosupersub{}","plainCitation":"7","noteIndex":0},"citationItems":[{"id":27169,"uris":["http://zotero.org/users/local/p8g0WsVO/items/RNPEEE8G"],"uri":["http://zotero.org/users/local/p8g0WsVO/items/RNPEEE8G"],"itemData":{"id":27169,"type":"article-journal","abstract":"The Bill and Melinda Gates Foundation supports an ambitious portfolio of novel vaccines, drug regimens, and diagnostic tools for tuberculosis (TB). We elicited the expected efficacies and improvements of the novel interventions in discussions with the foundations managing their development. Using an age-structured mathematical model of TB, we explored the potential benefits of novel interventions under development and those not yet in the portfolio, focusing on the WHO Southeast Asia region. Neonatal vaccination with the portfolio vaccine decreases TB incidence by 39% to 52% by 2050. Drug regimens that shorten treatment duration and are efficacious against drug-resistant strains reduce incidence by 10–27%. New diagnostics reduce incidence by 13–42%. A triple combination of a portfolio vaccine, drug regimen, and diagnostics reduces incidence by 71%. A short mass vaccination catch-up campaign, not yet in the portfolio, to augment the triple combination, accelerates the decrease, preventing &gt;30% more cases by 2050 than just the triple combination. New vaccines and drug regimens targeted at the vast reservoir of latently infected people, not in the portfolio, would reduce incidence by 37% and 82%, respectively. The combination of preventive latent therapy and a 2-month drug treatment regimen reduces incidence by 94%. Novel technologies in the pipeline would achieve substantial reductions in TB incidence, but not the Stop TB Partnership target for elimination. Elimination will require new delivery strategies, such as mass vaccination campaigns, and new products targeted at latently infected people.","container-title":"Proceedings of the National Academy of Sciences","DOI":"10.1073/pnas.0901720106","ISSN":"0027-8424, 1091-6490","issue":"33","journalAbbreviation":"PNAS","language":"en","note":"PMID: 19666590","page":"13980-13985","source":"www.pnas.org","title":"Epidemiological benefits of more-effective tuberculosis vaccines, drugs, and diagnostics","volume":"106","author":[{"family":"Abu-Raddad","given":"Laith J."},{"family":"Sabatelli","given":"Lorenzo"},{"family":"Achterberg","given":"Jerusha T."},{"family":"Sugimoto","given":"Jonathan D."},{"family":"Longini","given":"Ira M."},{"family":"Dye","given":"Christopher"},{"family":"Halloran","given":"M. Elizabeth"}],"issued":{"date-parts":[["2009",8,18]]}}}],"schema":"https://github.com/citation-style-language/schema/raw/master/csl-citation.json"} </w:instrText>
            </w:r>
            <w:r>
              <w:rPr>
                <w:rFonts w:ascii="Times New Roman" w:hAnsi="Times New Roman" w:cs="Times New Roman"/>
                <w:sz w:val="20"/>
                <w:szCs w:val="20"/>
              </w:rPr>
              <w:fldChar w:fldCharType="separate"/>
            </w:r>
            <w:r w:rsidRPr="00AE2DF3">
              <w:rPr>
                <w:rFonts w:ascii="Times New Roman" w:hAnsi="Times New Roman" w:cs="Times New Roman"/>
                <w:sz w:val="20"/>
                <w:vertAlign w:val="superscript"/>
              </w:rPr>
              <w:t>7</w:t>
            </w:r>
            <w:r>
              <w:rPr>
                <w:rFonts w:ascii="Times New Roman" w:hAnsi="Times New Roman" w:cs="Times New Roman"/>
                <w:sz w:val="20"/>
                <w:szCs w:val="20"/>
              </w:rPr>
              <w:fldChar w:fldCharType="end"/>
            </w:r>
            <w:r w:rsidRPr="00AE2DF3">
              <w:rPr>
                <w:rFonts w:ascii="Times New Roman" w:hAnsi="Times New Roman" w:cs="Times New Roman"/>
                <w:sz w:val="20"/>
                <w:szCs w:val="20"/>
                <w:vertAlign w:val="superscript"/>
              </w:rPr>
              <w:t>,</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{"citationID":"5Co5lJxC","properties":{"formattedCitation":"\\super 8\\nosupersub{}","plainCitation":"8","noteIndex":0},"citationItems":[{"id":26911,"uris":["http://zotero.org/users/local/p8g0WsVO/items/FAP76EAA"],"uri":["http://zotero.org/users/local/p8g0WsVO/items/FAP76EAA"],"itemData":{"id":26911,"type":"article-journal","abstract":"BACKGROUND: WHO advocates the use of directly observed treatment with a short-course drug regimen as part of the DOTS strategy, but the potential effect of this strategy worldwide has not been investigated.\nMETHODS: We developed an age-structured mathematical model to explore the characteristics of tuberculosis control under DOTS, and to forecast the effect of improved case finding and cure on tuberculosis epidemics for each of the six WHO regions.\nFINDINGS: In countries where the incidence of tuberculosis is stable and HIV-1 absent, a control programme that reaches the WHO targets of 70% case detection and 85% cure would reduce the incidence rate by 11% (range 8-12) per year and the death rate by 12% (9-13) per year. If tuberculosis has been in decline for some years, the same case detection and cure rates would have a smaller effect on incidence. DOTS saves a greater proportion of deaths than cases, and this difference is bigger in the presence of HIV-1. HIV-1 epidemics cause an increase in tuberculosis incidence, but do not substantially reduce the preventable proportion of cases and deaths. Without greater effort to control tuberculosis, the annual incidence of the disease is expected to increase by 41% (21-61) between 1998 and 2020 (from 7.4 million to 10.6 million cases per year). Achievement of WHO targets by 2010 would prevent 23% (15-30) or 48 million cases by 2020.\nINTERPRETATION: The potential effect of chemotherapy (delivered as DOTS) on tuberculosis is greater in many developing countries now than it was in developed countries 50 years ago. To exploit this potential, case detection and cure rates urgently need to be improved in the main endemic areas.","container-title":"Lancet (London, England)","ISSN":"0140-6736","issue":"9144","journalAbbreviation":"Lancet","language":"eng","note":"PMID: 9863786","page":"1886-1891","source":"PubMed","title":"Prospects for worldwide tuberculosis control under the WHO DOTS strategy. Directly observed short-course therapy","volume":"352","author":[{"family":"Dye","given":"C."},{"family":"Garnett","given":"G. P."},{"family":"Sleeman","given":"K."},{"family":"Williams","given":"B. G."}],"issued":{"date-parts":[["1998",12,12]]}}}],"schema":"https://github.com/citation-style-language/schema/raw/master/csl-citation.json"} </w:instrText>
            </w:r>
            <w:r>
              <w:rPr>
                <w:rFonts w:ascii="Times New Roman" w:hAnsi="Times New Roman" w:cs="Times New Roman"/>
                <w:sz w:val="20"/>
                <w:szCs w:val="20"/>
              </w:rPr>
              <w:fldChar w:fldCharType="separate"/>
            </w:r>
            <w:r w:rsidRPr="00AE2DF3">
              <w:rPr>
                <w:rFonts w:ascii="Times New Roman" w:hAnsi="Times New Roman" w:cs="Times New Roman"/>
                <w:sz w:val="20"/>
                <w:vertAlign w:val="superscript"/>
              </w:rPr>
              <w:t>8</w:t>
            </w:r>
            <w:r>
              <w:rPr>
                <w:rFonts w:ascii="Times New Roman" w:hAnsi="Times New Roman" w:cs="Times New Roman"/>
                <w:sz w:val="20"/>
                <w:szCs w:val="20"/>
              </w:rPr>
              <w:fldChar w:fldCharType="end"/>
            </w:r>
            <w:r w:rsidRPr="009728D2">
              <w:rPr>
                <w:rFonts w:ascii="Times New Roman" w:hAnsi="Times New Roman" w:cs="Times New Roman"/>
                <w:sz w:val="20"/>
                <w:szCs w:val="20"/>
              </w:rPr>
              <w:t xml:space="preserve"> </w:t>
            </w:r>
          </w:p>
        </w:tc>
        <w:tc>
          <w:tcPr>
            <w:tcW w:w="2070" w:type="dxa"/>
            <w:tcBorders>
              <w:top w:val="single" w:sz="2" w:space="0" w:color="C4BC96" w:themeColor="background2" w:themeShade="BF"/>
            </w:tcBorders>
            <w:shd w:val="clear" w:color="auto" w:fill="FFFFFF" w:themeFill="background1"/>
          </w:tcPr>
          <w:p w14:paraId="45D6E80A" w14:textId="77777777" w:rsidR="00A06F33" w:rsidRPr="009728D2" w:rsidRDefault="0083391B" w:rsidP="00CA6A29">
            <w:pPr>
              <w:rPr>
                <w:rFonts w:ascii="Times New Roman" w:hAnsi="Times New Roman" w:cs="Times New Roman"/>
                <w:sz w:val="20"/>
                <w:szCs w:val="20"/>
              </w:rPr>
            </w:pPr>
            <w:r w:rsidRPr="00CA6A29">
              <w:rPr>
                <w:noProof/>
                <w:position w:val="-6"/>
              </w:rPr>
              <w:object w:dxaOrig="340" w:dyaOrig="260" w14:anchorId="59F97582">
                <v:shape id="_x0000_i1057" type="#_x0000_t75" alt="" style="width:15.45pt;height:12.55pt;mso-width-percent:0;mso-height-percent:0;mso-width-percent:0;mso-height-percent:0" o:ole="">
                  <v:imagedata r:id="rId191" o:title=""/>
                </v:shape>
                <o:OLEObject Type="Embed" ProgID="Equation.DSMT4" ShapeID="_x0000_i1057" DrawAspect="Content" ObjectID="_1675249167" r:id="rId192"/>
              </w:object>
            </w:r>
            <w:r w:rsidR="00A06F33">
              <w:rPr>
                <w:rFonts w:ascii="Times New Roman" w:hAnsi="Times New Roman" w:cs="Times New Roman"/>
                <w:sz w:val="20"/>
                <w:szCs w:val="20"/>
              </w:rPr>
              <w:t xml:space="preserve"> </w:t>
            </w:r>
          </w:p>
        </w:tc>
        <w:tc>
          <w:tcPr>
            <w:tcW w:w="1710" w:type="dxa"/>
            <w:tcBorders>
              <w:top w:val="single" w:sz="2" w:space="0" w:color="C4BC96" w:themeColor="background2" w:themeShade="BF"/>
            </w:tcBorders>
            <w:shd w:val="clear" w:color="auto" w:fill="FFFFFF" w:themeFill="background1"/>
          </w:tcPr>
          <w:p w14:paraId="609093FC" w14:textId="77777777" w:rsidR="00A06F33" w:rsidRPr="009728D2" w:rsidRDefault="0083391B" w:rsidP="00CA6A29">
            <w:pPr>
              <w:rPr>
                <w:rFonts w:ascii="Times New Roman" w:hAnsi="Times New Roman" w:cs="Times New Roman"/>
                <w:sz w:val="20"/>
                <w:szCs w:val="20"/>
              </w:rPr>
            </w:pPr>
            <w:r w:rsidRPr="00CA6A29">
              <w:rPr>
                <w:noProof/>
                <w:position w:val="-6"/>
              </w:rPr>
              <w:object w:dxaOrig="440" w:dyaOrig="260" w14:anchorId="21C650E1">
                <v:shape id="_x0000_i1056" type="#_x0000_t75" alt="" style="width:22.85pt;height:12.55pt;mso-width-percent:0;mso-height-percent:0;mso-width-percent:0;mso-height-percent:0" o:ole="">
                  <v:imagedata r:id="rId193" o:title=""/>
                </v:shape>
                <o:OLEObject Type="Embed" ProgID="Equation.DSMT4" ShapeID="_x0000_i1056" DrawAspect="Content" ObjectID="_1675249168" r:id="rId194"/>
              </w:object>
            </w:r>
            <w:r w:rsidR="00A06F33">
              <w:rPr>
                <w:rFonts w:ascii="Times New Roman" w:hAnsi="Times New Roman" w:cs="Times New Roman"/>
                <w:sz w:val="20"/>
                <w:szCs w:val="20"/>
              </w:rPr>
              <w:t xml:space="preserve"> </w:t>
            </w:r>
          </w:p>
        </w:tc>
      </w:tr>
      <w:tr w:rsidR="00A06F33" w:rsidRPr="009728D2" w14:paraId="59FDD5E9" w14:textId="77777777" w:rsidTr="00284AFA">
        <w:trPr>
          <w:jc w:val="center"/>
        </w:trPr>
        <w:tc>
          <w:tcPr>
            <w:tcW w:w="1170" w:type="dxa"/>
            <w:tcBorders>
              <w:bottom w:val="single" w:sz="2" w:space="0" w:color="C4BC96" w:themeColor="background2" w:themeShade="BF"/>
            </w:tcBorders>
            <w:shd w:val="clear" w:color="auto" w:fill="FFFFFF" w:themeFill="background1"/>
          </w:tcPr>
          <w:p w14:paraId="28398678" w14:textId="77777777" w:rsidR="00A06F33" w:rsidRPr="009728D2" w:rsidRDefault="0083391B" w:rsidP="00CA6A29">
            <w:pPr>
              <w:rPr>
                <w:rFonts w:ascii="Times New Roman" w:hAnsi="Times New Roman" w:cs="Times New Roman"/>
                <w:sz w:val="20"/>
                <w:szCs w:val="20"/>
              </w:rPr>
            </w:pPr>
            <w:r w:rsidRPr="00CA6A29">
              <w:rPr>
                <w:noProof/>
                <w:position w:val="-6"/>
              </w:rPr>
              <w:object w:dxaOrig="220" w:dyaOrig="220" w14:anchorId="66F721D9">
                <v:shape id="_x0000_i1055" type="#_x0000_t75" alt="" style="width:10.3pt;height:10.3pt;mso-width-percent:0;mso-height-percent:0;mso-width-percent:0;mso-height-percent:0" o:ole="">
                  <v:imagedata r:id="rId195" o:title=""/>
                </v:shape>
                <o:OLEObject Type="Embed" ProgID="Equation.DSMT4" ShapeID="_x0000_i1055" DrawAspect="Content" ObjectID="_1675249169" r:id="rId196"/>
              </w:object>
            </w:r>
            <w:r w:rsidR="00A06F33">
              <w:rPr>
                <w:rFonts w:ascii="Times New Roman" w:hAnsi="Times New Roman" w:cs="Times New Roman"/>
                <w:sz w:val="20"/>
                <w:szCs w:val="20"/>
              </w:rPr>
              <w:t xml:space="preserve"> </w:t>
            </w:r>
          </w:p>
        </w:tc>
        <w:tc>
          <w:tcPr>
            <w:tcW w:w="3330" w:type="dxa"/>
            <w:tcBorders>
              <w:bottom w:val="single" w:sz="2" w:space="0" w:color="C4BC96" w:themeColor="background2" w:themeShade="BF"/>
            </w:tcBorders>
            <w:shd w:val="clear" w:color="auto" w:fill="FFFFFF" w:themeFill="background1"/>
          </w:tcPr>
          <w:p w14:paraId="41E86310" w14:textId="35C477EE" w:rsidR="00A06F33" w:rsidRPr="009728D2" w:rsidRDefault="00A06F33" w:rsidP="00F6711B">
            <w:pPr>
              <w:pStyle w:val="Default"/>
              <w:rPr>
                <w:rFonts w:ascii="Times New Roman" w:hAnsi="Times New Roman" w:cs="Times New Roman"/>
                <w:sz w:val="20"/>
                <w:szCs w:val="20"/>
              </w:rPr>
            </w:pPr>
            <w:r w:rsidRPr="009728D2">
              <w:rPr>
                <w:rFonts w:ascii="Times New Roman" w:hAnsi="Times New Roman" w:cs="Times New Roman"/>
                <w:sz w:val="20"/>
                <w:szCs w:val="20"/>
              </w:rPr>
              <w:t>Proportions of new TB disease cases in each of the three clinical disease categories</w:t>
            </w:r>
            <w:r>
              <w:rPr>
                <w:rFonts w:ascii="Times New Roman" w:hAnsi="Times New Roman" w:cs="Times New Roman"/>
                <w:sz w:val="20"/>
                <w:szCs w:val="20"/>
              </w:rPr>
              <w:fldChar w:fldCharType="begin"/>
            </w:r>
            <w:r w:rsidR="00986EAF">
              <w:rPr>
                <w:rFonts w:ascii="Times New Roman" w:hAnsi="Times New Roman" w:cs="Times New Roman"/>
                <w:sz w:val="20"/>
                <w:szCs w:val="20"/>
              </w:rPr>
              <w:instrText xml:space="preserve"> ADDIN ZOTERO_ITEM CSL_CITATION {"citationID":"iZ3OHBOV","properties":{"formattedCitation":"\\super 9\\nosupersub{}","plainCitation":"9","noteIndex":0},"citationItems":[{"id":28961,"uris":["http://zotero.org/users/local/p8g0WsVO/items/4RYWJSFF"],"uri":["http://zotero.org/users/local/p8g0WsVO/items/4RYWJSFF"],"itemData":{"id":28961,"type":"article-journal","abstract":"Europe PMC is an archive of life sciences journal literature., Bacteriological and X-ray status of tuberculosis following primary infection acquired during adolescence or later.","container-title":"Bulletin of the International Union Against Tuberculosis","ISSN":"0074-9249","journalAbbreviation":"Bull Int Union Tuberc","language":"English","note":"PMID: 912145","page":"5-16","source":"europepmc.org","title":"Bacteriological and X-ray status of tuberculosis following primary infection acquired during adolescence or later.","volume":"52","author":[{"family":"Barnett","given":"GD"},{"family":"Styblo","given":"K"}],"issued":{"date-parts":[["1977",10,1]]}}}],"schema":"https://github.com/citation-style-language/schema/raw/master/csl-citation.json"} </w:instrText>
            </w:r>
            <w:r>
              <w:rPr>
                <w:rFonts w:ascii="Times New Roman" w:hAnsi="Times New Roman" w:cs="Times New Roman"/>
                <w:sz w:val="20"/>
                <w:szCs w:val="20"/>
              </w:rPr>
              <w:fldChar w:fldCharType="separate"/>
            </w:r>
            <w:r w:rsidRPr="00AE2DF3">
              <w:rPr>
                <w:rFonts w:ascii="Times New Roman" w:hAnsi="Times New Roman" w:cs="Times New Roman"/>
                <w:sz w:val="20"/>
                <w:vertAlign w:val="superscript"/>
              </w:rPr>
              <w:t>9</w:t>
            </w:r>
            <w:r>
              <w:rPr>
                <w:rFonts w:ascii="Times New Roman" w:hAnsi="Times New Roman" w:cs="Times New Roman"/>
                <w:sz w:val="20"/>
                <w:szCs w:val="20"/>
              </w:rPr>
              <w:fldChar w:fldCharType="end"/>
            </w:r>
          </w:p>
        </w:tc>
        <w:tc>
          <w:tcPr>
            <w:tcW w:w="2070" w:type="dxa"/>
            <w:tcBorders>
              <w:bottom w:val="single" w:sz="2" w:space="0" w:color="C4BC96" w:themeColor="background2" w:themeShade="BF"/>
            </w:tcBorders>
            <w:shd w:val="clear" w:color="auto" w:fill="FFFFFF" w:themeFill="background1"/>
          </w:tcPr>
          <w:p w14:paraId="0B2D42DE" w14:textId="77777777" w:rsidR="00A06F33" w:rsidRPr="009728D2" w:rsidRDefault="0083391B" w:rsidP="00CA6A29">
            <w:pPr>
              <w:rPr>
                <w:rFonts w:ascii="Times New Roman" w:hAnsi="Times New Roman" w:cs="Times New Roman"/>
                <w:sz w:val="20"/>
                <w:szCs w:val="20"/>
              </w:rPr>
            </w:pPr>
            <w:r w:rsidRPr="00CA6A29">
              <w:rPr>
                <w:noProof/>
                <w:position w:val="-46"/>
              </w:rPr>
              <w:object w:dxaOrig="1160" w:dyaOrig="1060" w14:anchorId="5AC3A9E2">
                <v:shape id="_x0000_i1054" type="#_x0000_t75" alt="" style="width:58.3pt;height:53.7pt;mso-width-percent:0;mso-height-percent:0;mso-width-percent:0;mso-height-percent:0" o:ole="">
                  <v:imagedata r:id="rId197" o:title=""/>
                </v:shape>
                <o:OLEObject Type="Embed" ProgID="Equation.DSMT4" ShapeID="_x0000_i1054" DrawAspect="Content" ObjectID="_1675249170" r:id="rId198"/>
              </w:object>
            </w:r>
          </w:p>
        </w:tc>
        <w:tc>
          <w:tcPr>
            <w:tcW w:w="1710" w:type="dxa"/>
            <w:tcBorders>
              <w:bottom w:val="single" w:sz="2" w:space="0" w:color="C4BC96" w:themeColor="background2" w:themeShade="BF"/>
            </w:tcBorders>
            <w:shd w:val="clear" w:color="auto" w:fill="FFFFFF" w:themeFill="background1"/>
          </w:tcPr>
          <w:p w14:paraId="626B0142" w14:textId="77777777" w:rsidR="00A06F33" w:rsidRPr="009728D2" w:rsidRDefault="0083391B" w:rsidP="00CA6A29">
            <w:pPr>
              <w:rPr>
                <w:rFonts w:ascii="Times New Roman" w:hAnsi="Times New Roman" w:cs="Times New Roman"/>
                <w:sz w:val="20"/>
                <w:szCs w:val="20"/>
              </w:rPr>
            </w:pPr>
            <w:r w:rsidRPr="00CA6A29">
              <w:rPr>
                <w:noProof/>
                <w:position w:val="-46"/>
              </w:rPr>
              <w:object w:dxaOrig="1160" w:dyaOrig="1060" w14:anchorId="0F1402EC">
                <v:shape id="_x0000_i1053" type="#_x0000_t75" alt="" style="width:58.3pt;height:53.7pt;mso-width-percent:0;mso-height-percent:0;mso-width-percent:0;mso-height-percent:0" o:ole="">
                  <v:imagedata r:id="rId199" o:title=""/>
                </v:shape>
                <o:OLEObject Type="Embed" ProgID="Equation.DSMT4" ShapeID="_x0000_i1053" DrawAspect="Content" ObjectID="_1675249171" r:id="rId200"/>
              </w:object>
            </w:r>
            <w:r w:rsidR="00A06F33" w:rsidRPr="009728D2">
              <w:rPr>
                <w:rFonts w:ascii="Times New Roman" w:hAnsi="Times New Roman" w:cs="Times New Roman"/>
                <w:sz w:val="20"/>
                <w:szCs w:val="20"/>
              </w:rPr>
              <w:t xml:space="preserve"> </w:t>
            </w:r>
          </w:p>
        </w:tc>
      </w:tr>
      <w:tr w:rsidR="00A06F33" w:rsidRPr="009728D2" w14:paraId="5951ADEA" w14:textId="77777777" w:rsidTr="00284AFA">
        <w:trPr>
          <w:jc w:val="center"/>
        </w:trPr>
        <w:tc>
          <w:tcPr>
            <w:tcW w:w="1170" w:type="dxa"/>
            <w:tcBorders>
              <w:top w:val="single" w:sz="2" w:space="0" w:color="C4BC96" w:themeColor="background2" w:themeShade="BF"/>
              <w:bottom w:val="single" w:sz="2" w:space="0" w:color="C4BC96" w:themeColor="background2" w:themeShade="BF"/>
            </w:tcBorders>
            <w:shd w:val="clear" w:color="auto" w:fill="FFFFFF" w:themeFill="background1"/>
          </w:tcPr>
          <w:p w14:paraId="7A043F2E" w14:textId="77777777" w:rsidR="00A06F33" w:rsidRPr="009728D2" w:rsidRDefault="0083391B" w:rsidP="00CA6A29">
            <w:pPr>
              <w:rPr>
                <w:rFonts w:ascii="Times New Roman" w:hAnsi="Times New Roman" w:cs="Times New Roman"/>
                <w:sz w:val="20"/>
                <w:szCs w:val="20"/>
              </w:rPr>
            </w:pPr>
            <w:r w:rsidRPr="00CA6A29">
              <w:rPr>
                <w:noProof/>
                <w:position w:val="-10"/>
              </w:rPr>
              <w:object w:dxaOrig="180" w:dyaOrig="260" w14:anchorId="3DB43075">
                <v:shape id="_x0000_i1052" type="#_x0000_t75" alt="" style="width:9.7pt;height:12.55pt;mso-width-percent:0;mso-height-percent:0;mso-width-percent:0;mso-height-percent:0" o:ole="">
                  <v:imagedata r:id="rId201" o:title=""/>
                </v:shape>
                <o:OLEObject Type="Embed" ProgID="Equation.DSMT4" ShapeID="_x0000_i1052" DrawAspect="Content" ObjectID="_1675249172" r:id="rId202"/>
              </w:object>
            </w:r>
            <w:r w:rsidR="00A06F33" w:rsidRPr="009728D2">
              <w:rPr>
                <w:rFonts w:ascii="Times New Roman" w:hAnsi="Times New Roman" w:cs="Times New Roman"/>
                <w:sz w:val="20"/>
                <w:szCs w:val="20"/>
              </w:rPr>
              <w:t xml:space="preserve"> </w:t>
            </w:r>
          </w:p>
        </w:tc>
        <w:tc>
          <w:tcPr>
            <w:tcW w:w="3330" w:type="dxa"/>
            <w:tcBorders>
              <w:top w:val="single" w:sz="2" w:space="0" w:color="C4BC96" w:themeColor="background2" w:themeShade="BF"/>
              <w:bottom w:val="single" w:sz="2" w:space="0" w:color="C4BC96" w:themeColor="background2" w:themeShade="BF"/>
            </w:tcBorders>
            <w:shd w:val="clear" w:color="auto" w:fill="FFFFFF" w:themeFill="background1"/>
          </w:tcPr>
          <w:p w14:paraId="0FF8CB5D" w14:textId="1F07344F" w:rsidR="00A06F33" w:rsidRPr="009728D2" w:rsidRDefault="00A06F33" w:rsidP="00974F1B">
            <w:pPr>
              <w:pStyle w:val="Default"/>
              <w:rPr>
                <w:rFonts w:ascii="Times New Roman" w:hAnsi="Times New Roman" w:cs="Times New Roman"/>
                <w:sz w:val="20"/>
                <w:szCs w:val="20"/>
              </w:rPr>
            </w:pPr>
            <w:r w:rsidRPr="009728D2">
              <w:rPr>
                <w:rFonts w:ascii="Times New Roman" w:hAnsi="Times New Roman" w:cs="Times New Roman"/>
                <w:sz w:val="20"/>
                <w:szCs w:val="20"/>
              </w:rPr>
              <w:t>Fractional reduction in the susceptibility to TB reinfection due to prior exposure to TB</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{"citationID":"LUQoGvtz","properties":{"formattedCitation":"\\super 7\\nosupersub{}","plainCitation":"7","noteIndex":0},"citationItems":[{"id":27169,"uris":["http://zotero.org/users/local/p8g0WsVO/items/RNPEEE8G"],"uri":["http://zotero.org/users/local/p8g0WsVO/items/RNPEEE8G"],"itemData":{"id":27169,"type":"article-journal","abstract":"The Bill and Melinda Gates Foundation supports an ambitious portfolio of novel vaccines, drug regimens, and diagnostic tools for tuberculosis (TB). We elicited the expected efficacies and improvements of the novel interventions in discussions with the foundations managing their development. Using an age-structured mathematical model of TB, we explored the potential benefits of novel interventions under development and those not yet in the portfolio, focusing on the WHO Southeast Asia region. Neonatal vaccination with the portfolio vaccine decreases TB incidence by 39% to 52% by 2050. Drug regimens that shorten treatment duration and are efficacious against drug-resistant strains reduce incidence by 10–27%. New diagnostics reduce incidence by 13–42%. A triple combination of a portfolio vaccine, drug regimen, and diagnostics reduces incidence by 71%. A short mass vaccination catch-up campaign, not yet in the portfolio, to augment the triple combination, accelerates the decrease, preventing &gt;30% more cases by 2050 than just the triple combination. New vaccines and drug regimens targeted at the vast reservoir of latently infected people, not in the portfolio, would reduce incidence by 37% and 82%, respectively. The combination of preventive latent therapy and a 2-month drug treatment regimen reduces incidence by 94%. Novel technologies in the pipeline would achieve substantial reductions in TB incidence, but not the Stop TB Partnership target for elimination. Elimination will require new delivery strategies, such as mass vaccination campaigns, and new products targeted at latently infected people.","container-title":"Proceedings of the National Academy of Sciences","DOI":"10.1073/pnas.0901720106","ISSN":"0027-8424, 1091-6490","issue":"33","journalAbbreviation":"PNAS","language":"en","note":"PMID: 19666590","page":"13980-13985","source":"www.pnas.org","title":"Epidemiological benefits of more-effective tuberculosis vaccines, drugs, and diagnostics","volume":"106","author":[{"family":"Abu-Raddad","given":"Laith J."},{"family":"Sabatelli","given":"Lorenzo"},{"family":"Achterberg","given":"Jerusha T."},{"family":"Sugimoto","given":"Jonathan D."},{"family":"Longini","given":"Ira M."},{"family":"Dye","given":"Christopher"},{"family":"Halloran","given":"M. Elizabeth"}],"issued":{"date-parts":[["2009",8,18]]}}}],"schema":"https://github.com/citation-style-language/schema/raw/master/csl-citation.json"} </w:instrText>
            </w:r>
            <w:r>
              <w:rPr>
                <w:rFonts w:ascii="Times New Roman" w:hAnsi="Times New Roman" w:cs="Times New Roman"/>
                <w:sz w:val="20"/>
                <w:szCs w:val="20"/>
              </w:rPr>
              <w:fldChar w:fldCharType="separate"/>
            </w:r>
            <w:r w:rsidRPr="00AE2DF3">
              <w:rPr>
                <w:rFonts w:ascii="Times New Roman" w:hAnsi="Times New Roman" w:cs="Times New Roman"/>
                <w:sz w:val="20"/>
                <w:vertAlign w:val="superscript"/>
              </w:rPr>
              <w:t>7</w:t>
            </w:r>
            <w:r>
              <w:rPr>
                <w:rFonts w:ascii="Times New Roman" w:hAnsi="Times New Roman" w:cs="Times New Roman"/>
                <w:sz w:val="20"/>
                <w:szCs w:val="20"/>
              </w:rPr>
              <w:fldChar w:fldCharType="end"/>
            </w:r>
            <w:r w:rsidRPr="00AE2DF3">
              <w:rPr>
                <w:rFonts w:ascii="Times New Roman" w:hAnsi="Times New Roman" w:cs="Times New Roman"/>
                <w:sz w:val="20"/>
                <w:szCs w:val="20"/>
                <w:vertAlign w:val="superscript"/>
              </w:rPr>
              <w:t>,</w:t>
            </w:r>
            <w:r>
              <w:rPr>
                <w:rFonts w:ascii="Times New Roman" w:hAnsi="Times New Roman" w:cs="Times New Roman"/>
                <w:sz w:val="20"/>
                <w:szCs w:val="20"/>
                <w:vertAlign w:val="superscript"/>
              </w:rPr>
              <w:fldChar w:fldCharType="begin"/>
            </w:r>
            <w:r>
              <w:rPr>
                <w:rFonts w:ascii="Times New Roman" w:hAnsi="Times New Roman" w:cs="Times New Roman"/>
                <w:sz w:val="20"/>
                <w:szCs w:val="20"/>
                <w:vertAlign w:val="superscript"/>
              </w:rPr>
              <w:instrText xml:space="preserve"> ADDIN ZOTERO_ITEM CSL_CITATION {"citationID":"LNQtzIGn","properties":{"formattedCitation":"\\super 10\\nosupersub{}","plainCitation":"10","noteIndex":0},"citationItems":[{"id":28958,"uris":["http://zotero.org/users/local/p8g0WsVO/items/VGI3R6M3"],"uri":["http://zotero.org/users/local/p8g0WsVO/items/VGI3R6M3"],"itemData":{"id":28958,"type":"article-journal","abstract":"Recognizing that tuberculosis (TB) is still the leading cause of human death from a curable infection, the international health community has set ambitious targets for disease control. One target is to eliminate TB by 2050; that is, to cut the annual incidence of new cases to less than 1 per million population. National TB control programmes are working to eliminate TB mainly by intensifying efforts to find and cure patients with active disease. Here, we use mathematical modelling to show that, while most TB patients can be cured with present drug regimens, the 2050 target is far more likely to be achieved with a combination of diagnostics, drugs and vaccines that can detect and treat both latent infection and active disease. We find that the coupling of control methods is particularly effective because treatments for latent infection and active disease act in synergy. This synergistic effect offers new perspectives on the cost-effectiveness of treating latent TB infection and the impact of possible new TB vaccines. Our results should be a stimulus to those who develop, manufacture and implement new technology for TB control, and to their financial donors.","container-title":"Journal of the Royal Society, Interface","DOI":"10.1098/rsif.2007.1138","ISSN":"1742-5689","issue":"23","journalAbbreviation":"J R Soc Interface","language":"eng","note":"PMID: 17690054\nPMCID: PMC3226985","page":"653-662","source":"PubMed","title":"Eliminating human tuberculosis in the twenty-first century","volume":"5","author":[{"family":"Dye","given":"Christopher"},{"family":"Williams","given":"Brian G."}],"issued":{"date-parts":[["2008",6,6]]}}}],"schema":"https://github.com/citation-style-language/schema/raw/master/csl-citation.json"} </w:instrText>
            </w:r>
            <w:r>
              <w:rPr>
                <w:rFonts w:ascii="Times New Roman" w:hAnsi="Times New Roman" w:cs="Times New Roman"/>
                <w:sz w:val="20"/>
                <w:szCs w:val="20"/>
                <w:vertAlign w:val="superscript"/>
              </w:rPr>
              <w:fldChar w:fldCharType="separate"/>
            </w:r>
            <w:r w:rsidRPr="00AE2DF3">
              <w:rPr>
                <w:rFonts w:ascii="Times New Roman" w:hAnsi="Times New Roman" w:cs="Times New Roman"/>
                <w:sz w:val="20"/>
                <w:vertAlign w:val="superscript"/>
              </w:rPr>
              <w:t>10</w:t>
            </w:r>
            <w:r>
              <w:rPr>
                <w:rFonts w:ascii="Times New Roman" w:hAnsi="Times New Roman" w:cs="Times New Roman"/>
                <w:sz w:val="20"/>
                <w:szCs w:val="20"/>
                <w:vertAlign w:val="superscript"/>
              </w:rPr>
              <w:fldChar w:fldCharType="end"/>
            </w:r>
            <w:r>
              <w:rPr>
                <w:rFonts w:ascii="Times New Roman" w:hAnsi="Times New Roman" w:cs="Times New Roman"/>
                <w:sz w:val="20"/>
                <w:szCs w:val="20"/>
              </w:rPr>
              <w:t xml:space="preserve"> </w:t>
            </w:r>
            <w:r w:rsidRPr="009728D2">
              <w:rPr>
                <w:rFonts w:ascii="Times New Roman" w:hAnsi="Times New Roman" w:cs="Times New Roman"/>
                <w:sz w:val="20"/>
                <w:szCs w:val="20"/>
              </w:rPr>
              <w:t xml:space="preserve"> </w:t>
            </w:r>
          </w:p>
        </w:tc>
        <w:tc>
          <w:tcPr>
            <w:tcW w:w="3780" w:type="dxa"/>
            <w:gridSpan w:val="2"/>
            <w:tcBorders>
              <w:top w:val="single" w:sz="2" w:space="0" w:color="C4BC96" w:themeColor="background2" w:themeShade="BF"/>
              <w:bottom w:val="single" w:sz="2" w:space="0" w:color="C4BC96" w:themeColor="background2" w:themeShade="BF"/>
            </w:tcBorders>
            <w:shd w:val="clear" w:color="auto" w:fill="FFFFFF" w:themeFill="background1"/>
          </w:tcPr>
          <w:p w14:paraId="569E67CE" w14:textId="77777777" w:rsidR="00A06F33" w:rsidRPr="009728D2" w:rsidRDefault="0083391B" w:rsidP="00CA6A29">
            <w:pPr>
              <w:jc w:val="center"/>
              <w:rPr>
                <w:rFonts w:ascii="Times New Roman" w:hAnsi="Times New Roman" w:cs="Times New Roman"/>
                <w:sz w:val="20"/>
                <w:szCs w:val="20"/>
              </w:rPr>
            </w:pPr>
            <w:r w:rsidRPr="00CA6A29">
              <w:rPr>
                <w:noProof/>
                <w:position w:val="-12"/>
              </w:rPr>
              <w:object w:dxaOrig="1660" w:dyaOrig="360" w14:anchorId="2A07F503">
                <v:shape id="_x0000_i1051" type="#_x0000_t75" alt="" style="width:82.85pt;height:18.3pt;mso-width-percent:0;mso-height-percent:0;mso-width-percent:0;mso-height-percent:0" o:ole="">
                  <v:imagedata r:id="rId203" o:title=""/>
                </v:shape>
                <o:OLEObject Type="Embed" ProgID="Equation.DSMT4" ShapeID="_x0000_i1051" DrawAspect="Content" ObjectID="_1675249173" r:id="rId204"/>
              </w:object>
            </w:r>
            <w:r w:rsidR="00A06F33">
              <w:rPr>
                <w:rFonts w:ascii="Times New Roman" w:hAnsi="Times New Roman" w:cs="Times New Roman"/>
                <w:sz w:val="20"/>
                <w:szCs w:val="20"/>
              </w:rPr>
              <w:t xml:space="preserve"> </w:t>
            </w:r>
          </w:p>
          <w:p w14:paraId="16012C72" w14:textId="77777777" w:rsidR="00A06F33" w:rsidRPr="009728D2" w:rsidRDefault="00A06F33" w:rsidP="005A4090">
            <w:pPr>
              <w:rPr>
                <w:rFonts w:ascii="Times New Roman" w:hAnsi="Times New Roman" w:cs="Times New Roman"/>
                <w:sz w:val="20"/>
                <w:szCs w:val="20"/>
              </w:rPr>
            </w:pPr>
          </w:p>
        </w:tc>
      </w:tr>
      <w:tr w:rsidR="00A06F33" w:rsidRPr="009728D2" w14:paraId="37763292" w14:textId="77777777" w:rsidTr="00284AFA">
        <w:trPr>
          <w:jc w:val="center"/>
        </w:trPr>
        <w:tc>
          <w:tcPr>
            <w:tcW w:w="1170" w:type="dxa"/>
            <w:tcBorders>
              <w:top w:val="single" w:sz="2" w:space="0" w:color="C4BC96" w:themeColor="background2" w:themeShade="BF"/>
              <w:bottom w:val="single" w:sz="2" w:space="0" w:color="C4BC96" w:themeColor="background2" w:themeShade="BF"/>
            </w:tcBorders>
            <w:shd w:val="clear" w:color="auto" w:fill="FFFFFF" w:themeFill="background1"/>
          </w:tcPr>
          <w:p w14:paraId="2D89BDB4" w14:textId="77777777" w:rsidR="00A06F33" w:rsidRPr="009728D2" w:rsidRDefault="0083391B" w:rsidP="00CA6A29">
            <w:pPr>
              <w:rPr>
                <w:rFonts w:ascii="Times New Roman" w:hAnsi="Times New Roman" w:cs="Times New Roman"/>
                <w:sz w:val="20"/>
                <w:szCs w:val="20"/>
              </w:rPr>
            </w:pPr>
            <w:r w:rsidRPr="00CA6A29">
              <w:rPr>
                <w:noProof/>
                <w:position w:val="-10"/>
              </w:rPr>
              <w:object w:dxaOrig="340" w:dyaOrig="320" w14:anchorId="3A902886">
                <v:shape id="_x0000_i1050" type="#_x0000_t75" alt="" style="width:15.45pt;height:15.45pt;mso-width-percent:0;mso-height-percent:0;mso-width-percent:0;mso-height-percent:0" o:ole="">
                  <v:imagedata r:id="rId205" o:title=""/>
                </v:shape>
                <o:OLEObject Type="Embed" ProgID="Equation.DSMT4" ShapeID="_x0000_i1050" DrawAspect="Content" ObjectID="_1675249174" r:id="rId206"/>
              </w:object>
            </w:r>
            <w:r w:rsidR="00A06F33">
              <w:rPr>
                <w:rFonts w:ascii="Times New Roman" w:hAnsi="Times New Roman" w:cs="Times New Roman"/>
                <w:sz w:val="20"/>
                <w:szCs w:val="20"/>
              </w:rPr>
              <w:t xml:space="preserve"> </w:t>
            </w:r>
          </w:p>
        </w:tc>
        <w:tc>
          <w:tcPr>
            <w:tcW w:w="3330" w:type="dxa"/>
            <w:tcBorders>
              <w:top w:val="single" w:sz="2" w:space="0" w:color="C4BC96" w:themeColor="background2" w:themeShade="BF"/>
              <w:bottom w:val="single" w:sz="2" w:space="0" w:color="C4BC96" w:themeColor="background2" w:themeShade="BF"/>
            </w:tcBorders>
            <w:shd w:val="clear" w:color="auto" w:fill="FFFFFF" w:themeFill="background1"/>
          </w:tcPr>
          <w:p w14:paraId="183F781D" w14:textId="73B83B33" w:rsidR="00A06F33" w:rsidRPr="009728D2" w:rsidRDefault="00A06F33" w:rsidP="00304FE6">
            <w:pPr>
              <w:pStyle w:val="Default"/>
              <w:rPr>
                <w:rFonts w:ascii="Times New Roman" w:hAnsi="Times New Roman" w:cs="Times New Roman"/>
                <w:sz w:val="20"/>
                <w:szCs w:val="20"/>
              </w:rPr>
            </w:pPr>
            <w:r w:rsidRPr="009728D2">
              <w:rPr>
                <w:rFonts w:ascii="Times New Roman" w:hAnsi="Times New Roman" w:cs="Times New Roman"/>
                <w:sz w:val="20"/>
                <w:szCs w:val="20"/>
              </w:rPr>
              <w:t>Progression rate from latency to TB disease for latent-fast progressors (per year)</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{"citationID":"kyjNvDWD","properties":{"formattedCitation":"\\super 7\\nosupersub{}","plainCitation":"7","noteIndex":0},"citationItems":[{"id":27169,"uris":["http://zotero.org/users/local/p8g0WsVO/items/RNPEEE8G"],"uri":["http://zotero.org/users/local/p8g0WsVO/items/RNPEEE8G"],"itemData":{"id":27169,"type":"article-journal","abstract":"The Bill and Melinda Gates Foundation supports an ambitious portfolio of novel vaccines, drug regimens, and diagnostic tools for tuberculosis (TB). We elicited the expected efficacies and improvements of the novel interventions in discussions with the foundations managing their development. Using an age-structured mathematical model of TB, we explored the potential benefits of novel interventions under development and those not yet in the portfolio, focusing on the WHO Southeast Asia region. Neonatal vaccination with the portfolio vaccine decreases TB incidence by 39% to 52% by 2050. Drug regimens that shorten treatment duration and are efficacious against drug-resistant strains reduce incidence by 10–27%. New diagnostics reduce incidence by 13–42%. A triple combination of a portfolio vaccine, drug regimen, and diagnostics reduces incidence by 71%. A short mass vaccination catch-up campaign, not yet in the portfolio, to augment the triple combination, accelerates the decrease, preventing &gt;30% more cases by 2050 than just the triple combination. New vaccines and drug regimens targeted at the vast reservoir of latently infected people, not in the portfolio, would reduce incidence by 37% and 82%, respectively. The combination of preventive latent therapy and a 2-month drug treatment regimen reduces incidence by 94%. Novel technologies in the pipeline would achieve substantial reductions in TB incidence, but not the Stop TB Partnership target for elimination. Elimination will require new delivery strategies, such as mass vaccination campaigns, and new products targeted at latently infected people.","container-title":"Proceedings of the National Academy of Sciences","DOI":"10.1073/pnas.0901720106","ISSN":"0027-8424, 1091-6490","issue":"33","journalAbbreviation":"PNAS","language":"en","note":"PMID: 19666590","page":"13980-13985","source":"www.pnas.org","title":"Epidemiological benefits of more-effective tuberculosis vaccines, drugs, and diagnostics","volume":"106","author":[{"family":"Abu-Raddad","given":"Laith J."},{"family":"Sabatelli","given":"Lorenzo"},{"family":"Achterberg","given":"Jerusha T."},{"family":"Sugimoto","given":"Jonathan D."},{"family":"Longini","given":"Ira M."},{"family":"Dye","given":"Christopher"},{"family":"Halloran","given":"M. Elizabeth"}],"issued":{"date-parts":[["2009",8,18]]}}}],"schema":"https://github.com/citation-style-language/schema/raw/master/csl-citation.json"} </w:instrText>
            </w:r>
            <w:r>
              <w:rPr>
                <w:rFonts w:ascii="Times New Roman" w:hAnsi="Times New Roman" w:cs="Times New Roman"/>
                <w:sz w:val="20"/>
                <w:szCs w:val="20"/>
              </w:rPr>
              <w:fldChar w:fldCharType="separate"/>
            </w:r>
            <w:r w:rsidRPr="00AE2DF3">
              <w:rPr>
                <w:rFonts w:ascii="Times New Roman" w:hAnsi="Times New Roman" w:cs="Times New Roman"/>
                <w:sz w:val="20"/>
                <w:vertAlign w:val="superscript"/>
              </w:rPr>
              <w:t>7</w:t>
            </w:r>
            <w:r>
              <w:rPr>
                <w:rFonts w:ascii="Times New Roman" w:hAnsi="Times New Roman" w:cs="Times New Roman"/>
                <w:sz w:val="20"/>
                <w:szCs w:val="20"/>
              </w:rPr>
              <w:fldChar w:fldCharType="end"/>
            </w:r>
          </w:p>
        </w:tc>
        <w:tc>
          <w:tcPr>
            <w:tcW w:w="3780" w:type="dxa"/>
            <w:gridSpan w:val="2"/>
            <w:tcBorders>
              <w:top w:val="single" w:sz="2" w:space="0" w:color="C4BC96" w:themeColor="background2" w:themeShade="BF"/>
              <w:bottom w:val="single" w:sz="2" w:space="0" w:color="C4BC96" w:themeColor="background2" w:themeShade="BF"/>
            </w:tcBorders>
            <w:shd w:val="clear" w:color="auto" w:fill="FFFFFF" w:themeFill="background1"/>
          </w:tcPr>
          <w:p w14:paraId="55EF9C38" w14:textId="77777777" w:rsidR="00A06F33" w:rsidRPr="009728D2" w:rsidRDefault="0083391B" w:rsidP="00CA6A29">
            <w:pPr>
              <w:jc w:val="center"/>
              <w:rPr>
                <w:rFonts w:ascii="Times New Roman" w:hAnsi="Times New Roman" w:cs="Times New Roman"/>
                <w:sz w:val="20"/>
                <w:szCs w:val="20"/>
              </w:rPr>
            </w:pPr>
            <w:r w:rsidRPr="00CA6A29">
              <w:rPr>
                <w:noProof/>
                <w:position w:val="-12"/>
              </w:rPr>
              <w:object w:dxaOrig="1660" w:dyaOrig="360" w14:anchorId="76F9E9B5">
                <v:shape id="_x0000_i1049" type="#_x0000_t75" alt="" style="width:82.85pt;height:18.3pt;mso-width-percent:0;mso-height-percent:0;mso-width-percent:0;mso-height-percent:0" o:ole="">
                  <v:imagedata r:id="rId207" o:title=""/>
                </v:shape>
                <o:OLEObject Type="Embed" ProgID="Equation.DSMT4" ShapeID="_x0000_i1049" DrawAspect="Content" ObjectID="_1675249175" r:id="rId208"/>
              </w:object>
            </w:r>
            <w:r w:rsidR="00A06F33">
              <w:rPr>
                <w:rFonts w:ascii="Times New Roman" w:hAnsi="Times New Roman" w:cs="Times New Roman"/>
                <w:sz w:val="20"/>
                <w:szCs w:val="20"/>
              </w:rPr>
              <w:t xml:space="preserve"> </w:t>
            </w:r>
          </w:p>
          <w:p w14:paraId="6448E636" w14:textId="77777777" w:rsidR="00A06F33" w:rsidRPr="009728D2" w:rsidRDefault="00A06F33" w:rsidP="00316F6A">
            <w:pPr>
              <w:rPr>
                <w:rFonts w:ascii="Times New Roman" w:hAnsi="Times New Roman" w:cs="Times New Roman"/>
                <w:sz w:val="20"/>
                <w:szCs w:val="20"/>
              </w:rPr>
            </w:pPr>
          </w:p>
        </w:tc>
      </w:tr>
      <w:tr w:rsidR="00A06F33" w:rsidRPr="009728D2" w14:paraId="28711757" w14:textId="77777777" w:rsidTr="00284AFA">
        <w:trPr>
          <w:jc w:val="center"/>
        </w:trPr>
        <w:tc>
          <w:tcPr>
            <w:tcW w:w="1170" w:type="dxa"/>
            <w:tcBorders>
              <w:top w:val="single" w:sz="2" w:space="0" w:color="C4BC96" w:themeColor="background2" w:themeShade="BF"/>
              <w:bottom w:val="single" w:sz="2" w:space="0" w:color="C4BC96" w:themeColor="background2" w:themeShade="BF"/>
            </w:tcBorders>
            <w:shd w:val="clear" w:color="auto" w:fill="FFFFFF" w:themeFill="background1"/>
          </w:tcPr>
          <w:p w14:paraId="4C7EEBC5" w14:textId="77777777" w:rsidR="00A06F33" w:rsidRPr="009728D2" w:rsidRDefault="0083391B" w:rsidP="00CA6A29">
            <w:pPr>
              <w:rPr>
                <w:rFonts w:ascii="Times New Roman" w:hAnsi="Times New Roman" w:cs="Times New Roman"/>
                <w:sz w:val="20"/>
                <w:szCs w:val="20"/>
              </w:rPr>
            </w:pPr>
            <w:r w:rsidRPr="00CA6A29">
              <w:rPr>
                <w:noProof/>
                <w:position w:val="-10"/>
              </w:rPr>
              <w:object w:dxaOrig="340" w:dyaOrig="320" w14:anchorId="63FD024F">
                <v:shape id="_x0000_i1048" type="#_x0000_t75" alt="" style="width:15.45pt;height:15.45pt;mso-width-percent:0;mso-height-percent:0;mso-width-percent:0;mso-height-percent:0" o:ole="">
                  <v:imagedata r:id="rId209" o:title=""/>
                </v:shape>
                <o:OLEObject Type="Embed" ProgID="Equation.DSMT4" ShapeID="_x0000_i1048" DrawAspect="Content" ObjectID="_1675249176" r:id="rId210"/>
              </w:object>
            </w:r>
            <w:r w:rsidR="00A06F33">
              <w:rPr>
                <w:rFonts w:ascii="Times New Roman" w:hAnsi="Times New Roman" w:cs="Times New Roman"/>
                <w:sz w:val="20"/>
                <w:szCs w:val="20"/>
              </w:rPr>
              <w:t xml:space="preserve"> </w:t>
            </w:r>
          </w:p>
        </w:tc>
        <w:tc>
          <w:tcPr>
            <w:tcW w:w="3330" w:type="dxa"/>
            <w:tcBorders>
              <w:top w:val="single" w:sz="2" w:space="0" w:color="C4BC96" w:themeColor="background2" w:themeShade="BF"/>
              <w:bottom w:val="single" w:sz="2" w:space="0" w:color="C4BC96" w:themeColor="background2" w:themeShade="BF"/>
            </w:tcBorders>
            <w:shd w:val="clear" w:color="auto" w:fill="FFFFFF" w:themeFill="background1"/>
          </w:tcPr>
          <w:p w14:paraId="3C27D183" w14:textId="0D6C75DE" w:rsidR="00A06F33" w:rsidRPr="009728D2" w:rsidRDefault="00A06F33" w:rsidP="00304FE6">
            <w:pPr>
              <w:pStyle w:val="Default"/>
              <w:rPr>
                <w:rFonts w:ascii="Times New Roman" w:hAnsi="Times New Roman" w:cs="Times New Roman"/>
                <w:sz w:val="20"/>
                <w:szCs w:val="20"/>
              </w:rPr>
            </w:pPr>
            <w:r w:rsidRPr="009728D2">
              <w:rPr>
                <w:rFonts w:ascii="Times New Roman" w:hAnsi="Times New Roman" w:cs="Times New Roman"/>
                <w:sz w:val="20"/>
                <w:szCs w:val="20"/>
              </w:rPr>
              <w:t>Progression rate from latency to TB disease for latent-slow progressors (per year)</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{"citationID":"76SvDjgU","properties":{"formattedCitation":"\\super 7\\nosupersub{}","plainCitation":"7","noteIndex":0},"citationItems":[{"id":27169,"uris":["http://zotero.org/users/local/p8g0WsVO/items/RNPEEE8G"],"uri":["http://zotero.org/users/local/p8g0WsVO/items/RNPEEE8G"],"itemData":{"id":27169,"type":"article-journal","abstract":"The Bill and Melinda Gates Foundation supports an ambitious portfolio of novel vaccines, drug regimens, and diagnostic tools for tuberculosis (TB). We elicited the expected efficacies and improvements of the novel interventions in discussions with the foundations managing their development. Using an age-structured mathematical model of TB, we explored the potential benefits of novel interventions under development and those not yet in the portfolio, focusing on the WHO Southeast Asia region. Neonatal vaccination with the portfolio vaccine decreases TB incidence by 39% to 52% by 2050. Drug regimens that shorten treatment duration and are efficacious against drug-resistant strains reduce incidence by 10–27%. New diagnostics reduce incidence by 13–42%. A triple combination of a portfolio vaccine, drug regimen, and diagnostics reduces incidence by 71%. A short mass vaccination catch-up campaign, not yet in the portfolio, to augment the triple combination, accelerates the decrease, preventing &gt;30% more cases by 2050 than just the triple combination. New vaccines and drug regimens targeted at the vast reservoir of latently infected people, not in the portfolio, would reduce incidence by 37% and 82%, respectively. The combination of preventive latent therapy and a 2-month drug treatment regimen reduces incidence by 94%. Novel technologies in the pipeline would achieve substantial reductions in TB incidence, but not the Stop TB Partnership target for elimination. Elimination will require new delivery strategies, such as mass vaccination campaigns, and new products targeted at latently infected people.","container-title":"Proceedings of the National Academy of Sciences","DOI":"10.1073/pnas.0901720106","ISSN":"0027-8424, 1091-6490","issue":"33","journalAbbreviation":"PNAS","language":"en","note":"PMID: 19666590","page":"13980-13985","source":"www.pnas.org","title":"Epidemiological benefits of more-effective tuberculosis vaccines, drugs, and diagnostics","volume":"106","author":[{"family":"Abu-Raddad","given":"Laith J."},{"family":"Sabatelli","given":"Lorenzo"},{"family":"Achterberg","given":"Jerusha T."},{"family":"Sugimoto","given":"Jonathan D."},{"family":"Longini","given":"Ira M."},{"family":"Dye","given":"Christopher"},{"family":"Halloran","given":"M. Elizabeth"}],"issued":{"date-parts":[["2009",8,18]]}}}],"schema":"https://github.com/citation-style-language/schema/raw/master/csl-citation.json"} </w:instrText>
            </w:r>
            <w:r>
              <w:rPr>
                <w:rFonts w:ascii="Times New Roman" w:hAnsi="Times New Roman" w:cs="Times New Roman"/>
                <w:sz w:val="20"/>
                <w:szCs w:val="20"/>
              </w:rPr>
              <w:fldChar w:fldCharType="separate"/>
            </w:r>
            <w:r w:rsidRPr="00AE2DF3">
              <w:rPr>
                <w:rFonts w:ascii="Times New Roman" w:hAnsi="Times New Roman" w:cs="Times New Roman"/>
                <w:sz w:val="20"/>
                <w:vertAlign w:val="superscript"/>
              </w:rPr>
              <w:t>7</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{"citationID":"LvIimdjP","properties":{"formattedCitation":"\\super 10\\nosupersub{}","plainCitation":"10","noteIndex":0},"citationItems":[{"id":28958,"uris":["http://zotero.org/users/local/p8g0WsVO/items/VGI3R6M3"],"uri":["http://zotero.org/users/local/p8g0WsVO/items/VGI3R6M3"],"itemData":{"id":28958,"type":"article-journal","abstract":"Recognizing that tuberculosis (TB) is still the leading cause of human death from a curable infection, the international health community has set ambitious targets for disease control. One target is to eliminate TB by 2050; that is, to cut the annual incidence of new cases to less than 1 per million population. National TB control programmes are working to eliminate TB mainly by intensifying efforts to find and cure patients with active disease. Here, we use mathematical modelling to show that, while most TB patients can be cured with present drug regimens, the 2050 target is far more likely to be achieved with a combination of diagnostics, drugs and vaccines that can detect and treat both latent infection and active disease. We find that the coupling of control methods is particularly effective because treatments for latent infection and active disease act in synergy. This synergistic effect offers new perspectives on the cost-effectiveness of treating latent TB infection and the impact of possible new TB vaccines. Our results should be a stimulus to those who develop, manufacture and implement new technology for TB control, and to their financial donors.","container-title":"Journal of the Royal Society, Interface","DOI":"10.1098/rsif.2007.1138","ISSN":"1742-5689","issue":"23","journalAbbreviation":"J R Soc Interface","language":"eng","note":"PMID: 17690054\nPMCID: PMC3226985","page":"653-662","source":"PubMed","title":"Eliminating human tuberculosis in the twenty-first century","volume":"5","author":[{"family":"Dye","given":"Christopher"},{"family":"Williams","given":"Brian G."}],"issued":{"date-parts":[["2008",6,6]]}}}],"schema":"https://github.com/citation-style-language/schema/raw/master/csl-citation.json"} </w:instrText>
            </w:r>
            <w:r>
              <w:rPr>
                <w:rFonts w:ascii="Times New Roman" w:hAnsi="Times New Roman" w:cs="Times New Roman"/>
                <w:sz w:val="20"/>
                <w:szCs w:val="20"/>
              </w:rPr>
              <w:fldChar w:fldCharType="separate"/>
            </w:r>
            <w:r w:rsidRPr="00AE2DF3">
              <w:rPr>
                <w:rFonts w:ascii="Times New Roman" w:hAnsi="Times New Roman" w:cs="Times New Roman"/>
                <w:sz w:val="20"/>
                <w:vertAlign w:val="superscript"/>
              </w:rPr>
              <w:t>10</w:t>
            </w:r>
            <w:r>
              <w:rPr>
                <w:rFonts w:ascii="Times New Roman" w:hAnsi="Times New Roman" w:cs="Times New Roman"/>
                <w:sz w:val="20"/>
                <w:szCs w:val="20"/>
              </w:rPr>
              <w:fldChar w:fldCharType="end"/>
            </w:r>
            <w:r w:rsidRPr="009728D2">
              <w:rPr>
                <w:rFonts w:ascii="Times New Roman" w:hAnsi="Times New Roman" w:cs="Times New Roman"/>
                <w:sz w:val="20"/>
                <w:szCs w:val="20"/>
              </w:rPr>
              <w:t xml:space="preserve"> </w:t>
            </w:r>
          </w:p>
        </w:tc>
        <w:tc>
          <w:tcPr>
            <w:tcW w:w="3780" w:type="dxa"/>
            <w:gridSpan w:val="2"/>
            <w:tcBorders>
              <w:top w:val="single" w:sz="2" w:space="0" w:color="C4BC96" w:themeColor="background2" w:themeShade="BF"/>
              <w:bottom w:val="single" w:sz="2" w:space="0" w:color="C4BC96" w:themeColor="background2" w:themeShade="BF"/>
            </w:tcBorders>
            <w:shd w:val="clear" w:color="auto" w:fill="FFFFFF" w:themeFill="background1"/>
          </w:tcPr>
          <w:p w14:paraId="5E9D6C79" w14:textId="77777777" w:rsidR="00A06F33" w:rsidRPr="009728D2" w:rsidRDefault="0083391B" w:rsidP="00CA6A29">
            <w:pPr>
              <w:jc w:val="center"/>
              <w:rPr>
                <w:rFonts w:ascii="Times New Roman" w:hAnsi="Times New Roman" w:cs="Times New Roman"/>
                <w:sz w:val="20"/>
                <w:szCs w:val="20"/>
              </w:rPr>
            </w:pPr>
            <w:r w:rsidRPr="00CA6A29">
              <w:rPr>
                <w:noProof/>
                <w:position w:val="-12"/>
              </w:rPr>
              <w:object w:dxaOrig="2659" w:dyaOrig="360" w14:anchorId="1DD4C0D7">
                <v:shape id="_x0000_i1047" type="#_x0000_t75" alt="" style="width:134.3pt;height:18.3pt;mso-width-percent:0;mso-height-percent:0;mso-width-percent:0;mso-height-percent:0" o:ole="">
                  <v:imagedata r:id="rId211" o:title=""/>
                </v:shape>
                <o:OLEObject Type="Embed" ProgID="Equation.DSMT4" ShapeID="_x0000_i1047" DrawAspect="Content" ObjectID="_1675249177" r:id="rId212"/>
              </w:object>
            </w:r>
            <w:r w:rsidR="00A06F33">
              <w:rPr>
                <w:rFonts w:ascii="Times New Roman" w:hAnsi="Times New Roman" w:cs="Times New Roman"/>
                <w:sz w:val="20"/>
                <w:szCs w:val="20"/>
              </w:rPr>
              <w:t xml:space="preserve"> </w:t>
            </w:r>
          </w:p>
        </w:tc>
      </w:tr>
      <w:tr w:rsidR="00A06F33" w:rsidRPr="009728D2" w14:paraId="5A622A47" w14:textId="77777777" w:rsidTr="00284AFA">
        <w:trPr>
          <w:jc w:val="center"/>
        </w:trPr>
        <w:tc>
          <w:tcPr>
            <w:tcW w:w="1170" w:type="dxa"/>
            <w:tcBorders>
              <w:top w:val="single" w:sz="2" w:space="0" w:color="C4BC96" w:themeColor="background2" w:themeShade="BF"/>
              <w:bottom w:val="single" w:sz="2" w:space="0" w:color="948A54" w:themeColor="background2" w:themeShade="80"/>
            </w:tcBorders>
            <w:shd w:val="clear" w:color="auto" w:fill="FFFFFF" w:themeFill="background1"/>
          </w:tcPr>
          <w:p w14:paraId="159920B3" w14:textId="77777777" w:rsidR="00A06F33" w:rsidRPr="009728D2" w:rsidRDefault="0083391B" w:rsidP="00CA6A29">
            <w:pPr>
              <w:rPr>
                <w:rFonts w:ascii="Times New Roman" w:hAnsi="Times New Roman" w:cs="Times New Roman"/>
                <w:sz w:val="20"/>
                <w:szCs w:val="20"/>
              </w:rPr>
            </w:pPr>
            <w:r w:rsidRPr="00CA6A29">
              <w:rPr>
                <w:noProof/>
                <w:position w:val="-10"/>
              </w:rPr>
              <w:object w:dxaOrig="200" w:dyaOrig="300" w14:anchorId="59F972F0">
                <v:shape id="_x0000_i1046" type="#_x0000_t75" alt="" style="width:10.3pt;height:14.85pt;mso-width-percent:0;mso-height-percent:0;mso-width-percent:0;mso-height-percent:0" o:ole="">
                  <v:imagedata r:id="rId213" o:title=""/>
                </v:shape>
                <o:OLEObject Type="Embed" ProgID="Equation.DSMT4" ShapeID="_x0000_i1046" DrawAspect="Content" ObjectID="_1675249178" r:id="rId214"/>
              </w:object>
            </w:r>
            <w:r w:rsidR="00A06F33">
              <w:rPr>
                <w:rFonts w:ascii="Times New Roman" w:hAnsi="Times New Roman" w:cs="Times New Roman"/>
                <w:sz w:val="20"/>
                <w:szCs w:val="20"/>
              </w:rPr>
              <w:t xml:space="preserve"> </w:t>
            </w:r>
          </w:p>
        </w:tc>
        <w:tc>
          <w:tcPr>
            <w:tcW w:w="3330" w:type="dxa"/>
            <w:tcBorders>
              <w:top w:val="single" w:sz="2" w:space="0" w:color="C4BC96" w:themeColor="background2" w:themeShade="BF"/>
              <w:bottom w:val="single" w:sz="2" w:space="0" w:color="948A54" w:themeColor="background2" w:themeShade="80"/>
            </w:tcBorders>
            <w:shd w:val="clear" w:color="auto" w:fill="FFFFFF" w:themeFill="background1"/>
          </w:tcPr>
          <w:p w14:paraId="2E88406E" w14:textId="59E62FEA" w:rsidR="00A06F33" w:rsidRPr="009728D2" w:rsidRDefault="00A06F33" w:rsidP="00864D9B">
            <w:pPr>
              <w:pStyle w:val="Default"/>
              <w:rPr>
                <w:rFonts w:ascii="Times New Roman" w:hAnsi="Times New Roman" w:cs="Times New Roman"/>
                <w:sz w:val="20"/>
                <w:szCs w:val="20"/>
              </w:rPr>
            </w:pPr>
            <w:r w:rsidRPr="009728D2">
              <w:rPr>
                <w:rFonts w:ascii="Times New Roman" w:hAnsi="Times New Roman" w:cs="Times New Roman"/>
                <w:sz w:val="20"/>
                <w:szCs w:val="20"/>
              </w:rPr>
              <w:t>TB disease mortality rate per TB disease category for untreated and treated cases (per year)</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{"citationID":"uy4EjkLJ","properties":{"formattedCitation":"\\super 7\\nosupersub{}","plainCitation":"7","noteIndex":0},"citationItems":[{"id":27169,"uris":["http://zotero.org/users/local/p8g0WsVO/items/RNPEEE8G"],"uri":["http://zotero.org/users/local/p8g0WsVO/items/RNPEEE8G"],"itemData":{"id":27169,"type":"article-journal","abstract":"The Bill and Melinda Gates Foundation supports an ambitious portfolio of novel vaccines, drug regimens, and diagnostic tools for tuberculosis (TB). We elicited the expected efficacies and improvements of the novel interventions in discussions with the foundations managing their development. Using an age-structured mathematical model of TB, we explored the potential benefits of novel interventions under development and those not yet in the portfolio, focusing on the WHO Southeast Asia region. Neonatal vaccination with the portfolio vaccine decreases TB incidence by 39% to 52% by 2050. Drug regimens that shorten treatment duration and are efficacious against drug-resistant strains reduce incidence by 10–27%. New diagnostics reduce incidence by 13–42%. A triple combination of a portfolio vaccine, drug regimen, and diagnostics reduces incidence by 71%. A short mass vaccination catch-up campaign, not yet in the portfolio, to augment the triple combination, accelerates the decrease, preventing &gt;30% more cases by 2050 than just the triple combination. New vaccines and drug regimens targeted at the vast reservoir of latently infected people, not in the portfolio, would reduce incidence by 37% and 82%, respectively. The combination of preventive latent therapy and a 2-month drug treatment regimen reduces incidence by 94%. Novel technologies in the pipeline would achieve substantial reductions in TB incidence, but not the Stop TB Partnership target for elimination. Elimination will require new delivery strategies, such as mass vaccination campaigns, and new products targeted at latently infected people.","container-title":"Proceedings of the National Academy of Sciences","DOI":"10.1073/pnas.0901720106","ISSN":"0027-8424, 1091-6490","issue":"33","journalAbbreviation":"PNAS","language":"en","note":"PMID: 19666590","page":"13980-13985","source":"www.pnas.org","title":"Epidemiological benefits of more-effective tuberculosis vaccines, drugs, and diagnostics","volume":"106","author":[{"family":"Abu-Raddad","given":"Laith J."},{"family":"Sabatelli","given":"Lorenzo"},{"family":"Achterberg","given":"Jerusha T."},{"family":"Sugimoto","given":"Jonathan D."},{"family":"Longini","given":"Ira M."},{"family":"Dye","given":"Christopher"},{"family":"Halloran","given":"M. Elizabeth"}],"issued":{"date-parts":[["2009",8,18]]}}}],"schema":"https://github.com/citation-style-language/schema/raw/master/csl-citation.json"} </w:instrText>
            </w:r>
            <w:r>
              <w:rPr>
                <w:rFonts w:ascii="Times New Roman" w:hAnsi="Times New Roman" w:cs="Times New Roman"/>
                <w:sz w:val="20"/>
                <w:szCs w:val="20"/>
              </w:rPr>
              <w:fldChar w:fldCharType="separate"/>
            </w:r>
            <w:r w:rsidRPr="00AE2DF3">
              <w:rPr>
                <w:rFonts w:ascii="Times New Roman" w:hAnsi="Times New Roman" w:cs="Times New Roman"/>
                <w:sz w:val="20"/>
                <w:vertAlign w:val="superscript"/>
              </w:rPr>
              <w:t>7</w:t>
            </w:r>
            <w:r>
              <w:rPr>
                <w:rFonts w:ascii="Times New Roman" w:hAnsi="Times New Roman" w:cs="Times New Roman"/>
                <w:sz w:val="20"/>
                <w:szCs w:val="20"/>
              </w:rPr>
              <w:fldChar w:fldCharType="end"/>
            </w:r>
            <w:r w:rsidRPr="00AE2DF3">
              <w:rPr>
                <w:rFonts w:ascii="Times New Roman" w:hAnsi="Times New Roman" w:cs="Times New Roman"/>
                <w:sz w:val="20"/>
                <w:szCs w:val="20"/>
                <w:vertAlign w:val="superscript"/>
              </w:rPr>
              <w:t>,</w:t>
            </w:r>
            <w:r>
              <w:rPr>
                <w:rFonts w:ascii="Times New Roman" w:hAnsi="Times New Roman" w:cs="Times New Roman"/>
                <w:sz w:val="20"/>
                <w:szCs w:val="20"/>
                <w:vertAlign w:val="superscript"/>
              </w:rPr>
              <w:fldChar w:fldCharType="begin"/>
            </w:r>
            <w:r>
              <w:rPr>
                <w:rFonts w:ascii="Times New Roman" w:hAnsi="Times New Roman" w:cs="Times New Roman"/>
                <w:sz w:val="20"/>
                <w:szCs w:val="20"/>
                <w:vertAlign w:val="superscript"/>
              </w:rPr>
              <w:instrText xml:space="preserve"> ADDIN ZOTERO_ITEM CSL_CITATION {"citationID":"i68ZPfMx","properties":{"formattedCitation":"\\super 11\\nosupersub{}","plainCitation":"11","noteIndex":0},"citationItems":[{"id":28956,"uris":["http://zotero.org/users/local/p8g0WsVO/items/JDCR53VV"],"uri":["http://zotero.org/users/local/p8g0WsVO/items/JDCR53VV"],"itemData":{"id":28956,"type":"article-journal","container-title":"Tubercle","DOI":"10.1016/0041-3879(71)90015-8","ISSN":"0041-3879","issue":"2","journalAbbreviation":"Tubercle","language":"eng","note":"PMID: 5560737","page":"73-87","source":"PubMed","title":"Ten-year results during the introduction of chemotherapy for tuberculosis","volume":"52","author":[{"family":"Springett","given":"V. H."}],"issued":{"date-parts":[["1971",6]]}}}],"schema":"https://github.com/citation-style-language/schema/raw/master/csl-citation.json"} </w:instrText>
            </w:r>
            <w:r>
              <w:rPr>
                <w:rFonts w:ascii="Times New Roman" w:hAnsi="Times New Roman" w:cs="Times New Roman"/>
                <w:sz w:val="20"/>
                <w:szCs w:val="20"/>
                <w:vertAlign w:val="superscript"/>
              </w:rPr>
              <w:fldChar w:fldCharType="separate"/>
            </w:r>
            <w:r w:rsidRPr="00AE2DF3">
              <w:rPr>
                <w:rFonts w:ascii="Times New Roman" w:hAnsi="Times New Roman" w:cs="Times New Roman"/>
                <w:sz w:val="20"/>
                <w:vertAlign w:val="superscript"/>
              </w:rPr>
              <w:t>11</w:t>
            </w:r>
            <w:r>
              <w:rPr>
                <w:rFonts w:ascii="Times New Roman" w:hAnsi="Times New Roman" w:cs="Times New Roman"/>
                <w:sz w:val="20"/>
                <w:szCs w:val="20"/>
                <w:vertAlign w:val="superscript"/>
              </w:rPr>
              <w:fldChar w:fldCharType="end"/>
            </w:r>
          </w:p>
        </w:tc>
        <w:tc>
          <w:tcPr>
            <w:tcW w:w="3780" w:type="dxa"/>
            <w:gridSpan w:val="2"/>
            <w:tcBorders>
              <w:top w:val="single" w:sz="2" w:space="0" w:color="C4BC96" w:themeColor="background2" w:themeShade="BF"/>
              <w:bottom w:val="single" w:sz="2" w:space="0" w:color="948A54" w:themeColor="background2" w:themeShade="80"/>
            </w:tcBorders>
            <w:shd w:val="clear" w:color="auto" w:fill="FFFFFF" w:themeFill="background1"/>
          </w:tcPr>
          <w:p w14:paraId="3C1C87CA" w14:textId="77777777" w:rsidR="00A06F33" w:rsidRPr="009728D2" w:rsidRDefault="0083391B" w:rsidP="00CA6A29">
            <w:pPr>
              <w:jc w:val="center"/>
              <w:rPr>
                <w:rFonts w:ascii="Times New Roman" w:hAnsi="Times New Roman" w:cs="Times New Roman"/>
                <w:sz w:val="20"/>
                <w:szCs w:val="20"/>
              </w:rPr>
            </w:pPr>
            <w:r w:rsidRPr="00CA6A29">
              <w:rPr>
                <w:noProof/>
                <w:position w:val="-94"/>
              </w:rPr>
              <w:object w:dxaOrig="2220" w:dyaOrig="1980" w14:anchorId="3ED4C508">
                <v:shape id="_x0000_i1045" type="#_x0000_t75" alt="" style="width:110.85pt;height:99.45pt;mso-width-percent:0;mso-height-percent:0;mso-width-percent:0;mso-height-percent:0" o:ole="">
                  <v:imagedata r:id="rId215" o:title=""/>
                </v:shape>
                <o:OLEObject Type="Embed" ProgID="Equation.DSMT4" ShapeID="_x0000_i1045" DrawAspect="Content" ObjectID="_1675249179" r:id="rId216"/>
              </w:object>
            </w:r>
          </w:p>
        </w:tc>
      </w:tr>
      <w:tr w:rsidR="00A06F33" w:rsidRPr="009728D2" w14:paraId="0501E1FA" w14:textId="77777777" w:rsidTr="00284AFA">
        <w:trPr>
          <w:jc w:val="center"/>
        </w:trPr>
        <w:tc>
          <w:tcPr>
            <w:tcW w:w="1170" w:type="dxa"/>
            <w:tcBorders>
              <w:top w:val="single" w:sz="2" w:space="0" w:color="948A54" w:themeColor="background2" w:themeShade="80"/>
              <w:bottom w:val="single" w:sz="2" w:space="0" w:color="948A54" w:themeColor="background2" w:themeShade="80"/>
            </w:tcBorders>
            <w:shd w:val="clear" w:color="auto" w:fill="FFFFFF" w:themeFill="background1"/>
          </w:tcPr>
          <w:p w14:paraId="02FCBAB1" w14:textId="77777777" w:rsidR="00A06F33" w:rsidRPr="009728D2" w:rsidRDefault="0083391B" w:rsidP="00CA6A29">
            <w:pPr>
              <w:rPr>
                <w:rFonts w:ascii="Times New Roman" w:hAnsi="Times New Roman" w:cs="Times New Roman"/>
                <w:sz w:val="20"/>
                <w:szCs w:val="20"/>
              </w:rPr>
            </w:pPr>
            <w:r w:rsidRPr="00025957">
              <w:rPr>
                <w:noProof/>
                <w:position w:val="-4"/>
              </w:rPr>
              <w:object w:dxaOrig="180" w:dyaOrig="200" w14:anchorId="17E55D95">
                <v:shape id="_x0000_i1044" type="#_x0000_t75" alt="" style="width:9.7pt;height:10.3pt;mso-width-percent:0;mso-height-percent:0;mso-width-percent:0;mso-height-percent:0" o:ole="">
                  <v:imagedata r:id="rId217" o:title=""/>
                </v:shape>
                <o:OLEObject Type="Embed" ProgID="Equation.DSMT4" ShapeID="_x0000_i1044" DrawAspect="Content" ObjectID="_1675249180" r:id="rId218"/>
              </w:object>
            </w:r>
            <w:r w:rsidR="00A06F33">
              <w:rPr>
                <w:rFonts w:ascii="Times New Roman" w:hAnsi="Times New Roman" w:cs="Times New Roman"/>
                <w:sz w:val="20"/>
                <w:szCs w:val="20"/>
              </w:rPr>
              <w:t xml:space="preserve"> </w:t>
            </w:r>
          </w:p>
        </w:tc>
        <w:tc>
          <w:tcPr>
            <w:tcW w:w="3330" w:type="dxa"/>
            <w:tcBorders>
              <w:top w:val="single" w:sz="2" w:space="0" w:color="948A54" w:themeColor="background2" w:themeShade="80"/>
              <w:bottom w:val="single" w:sz="2" w:space="0" w:color="948A54" w:themeColor="background2" w:themeShade="80"/>
            </w:tcBorders>
            <w:shd w:val="clear" w:color="auto" w:fill="FFFFFF" w:themeFill="background1"/>
          </w:tcPr>
          <w:p w14:paraId="3492C40F" w14:textId="34638CCC" w:rsidR="00A06F33" w:rsidRPr="009728D2" w:rsidRDefault="00A06F33" w:rsidP="00D81F3C">
            <w:pPr>
              <w:pStyle w:val="Default"/>
              <w:rPr>
                <w:rFonts w:ascii="Times New Roman" w:hAnsi="Times New Roman" w:cs="Times New Roman"/>
                <w:sz w:val="20"/>
                <w:szCs w:val="20"/>
              </w:rPr>
            </w:pPr>
            <w:r w:rsidRPr="009728D2">
              <w:rPr>
                <w:rFonts w:ascii="Times New Roman" w:hAnsi="Times New Roman" w:cs="Times New Roman"/>
                <w:sz w:val="20"/>
                <w:szCs w:val="20"/>
              </w:rPr>
              <w:t>Proportion of TB disease cases that are effectively treated</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{"citationID":"XgqoHq2G","properties":{"formattedCitation":"\\super 2\\nosupersub{}","plainCitation":"2","noteIndex":0},"citationItems":[{"id":27297,"uris":["http://zotero.org/users/local/p8g0WsVO/items/Z2VPJ5CJ"],"uri":["http://zotero.org/users/local/p8g0WsVO/items/Z2VPJ5CJ"],"itemData":{"id":27297,"type":"webpage","abstract":"It provides a comprehensive and up-to-date assessment of the tuberculosis epidemic and progress","container-title":"WHO","title":"WHO | Global tuberculosis report 2019","URL":"http://www.who.int/tb/publications/global_report/en/","accessed":{"date-parts":[["2019",10,25]]}}}],"schema":"https://github.com/citation-style-language/schema/raw/master/csl-citation.json"} </w:instrText>
            </w:r>
            <w:r>
              <w:rPr>
                <w:rFonts w:ascii="Times New Roman" w:hAnsi="Times New Roman" w:cs="Times New Roman"/>
                <w:sz w:val="20"/>
                <w:szCs w:val="20"/>
              </w:rPr>
              <w:fldChar w:fldCharType="separate"/>
            </w:r>
            <w:r w:rsidRPr="00AE2DF3">
              <w:rPr>
                <w:rFonts w:ascii="Times New Roman" w:hAnsi="Times New Roman" w:cs="Times New Roman"/>
                <w:sz w:val="20"/>
                <w:vertAlign w:val="superscript"/>
              </w:rPr>
              <w:t>2</w:t>
            </w:r>
            <w:r>
              <w:rPr>
                <w:rFonts w:ascii="Times New Roman" w:hAnsi="Times New Roman" w:cs="Times New Roman"/>
                <w:sz w:val="20"/>
                <w:szCs w:val="20"/>
              </w:rPr>
              <w:fldChar w:fldCharType="end"/>
            </w:r>
            <w:r w:rsidRPr="009728D2">
              <w:rPr>
                <w:rFonts w:ascii="Times New Roman" w:hAnsi="Times New Roman" w:cs="Times New Roman"/>
                <w:sz w:val="20"/>
                <w:szCs w:val="20"/>
              </w:rPr>
              <w:t xml:space="preserve"> </w:t>
            </w:r>
          </w:p>
        </w:tc>
        <w:tc>
          <w:tcPr>
            <w:tcW w:w="3780" w:type="dxa"/>
            <w:gridSpan w:val="2"/>
            <w:tcBorders>
              <w:top w:val="single" w:sz="2" w:space="0" w:color="948A54" w:themeColor="background2" w:themeShade="80"/>
              <w:bottom w:val="single" w:sz="2" w:space="0" w:color="948A54" w:themeColor="background2" w:themeShade="80"/>
            </w:tcBorders>
            <w:shd w:val="clear" w:color="auto" w:fill="FFFFFF" w:themeFill="background1"/>
          </w:tcPr>
          <w:p w14:paraId="7D785049" w14:textId="77777777" w:rsidR="00A06F33" w:rsidRPr="009728D2" w:rsidRDefault="0083391B" w:rsidP="00CA6A29">
            <w:pPr>
              <w:tabs>
                <w:tab w:val="left" w:pos="1941"/>
              </w:tabs>
              <w:jc w:val="center"/>
              <w:rPr>
                <w:rFonts w:ascii="Times New Roman" w:hAnsi="Times New Roman" w:cs="Times New Roman"/>
                <w:sz w:val="20"/>
                <w:szCs w:val="20"/>
              </w:rPr>
            </w:pPr>
            <w:r w:rsidRPr="00CA6A29">
              <w:rPr>
                <w:noProof/>
                <w:position w:val="-6"/>
              </w:rPr>
              <w:object w:dxaOrig="440" w:dyaOrig="260" w14:anchorId="6389524B">
                <v:shape id="_x0000_i1043" type="#_x0000_t75" alt="" style="width:22.85pt;height:12.55pt;mso-width-percent:0;mso-height-percent:0;mso-width-percent:0;mso-height-percent:0" o:ole="">
                  <v:imagedata r:id="rId219" o:title=""/>
                </v:shape>
                <o:OLEObject Type="Embed" ProgID="Equation.DSMT4" ShapeID="_x0000_i1043" DrawAspect="Content" ObjectID="_1675249181" r:id="rId220"/>
              </w:object>
            </w:r>
            <w:r w:rsidR="00A06F33">
              <w:rPr>
                <w:rFonts w:ascii="Times New Roman" w:hAnsi="Times New Roman" w:cs="Times New Roman"/>
                <w:sz w:val="20"/>
                <w:szCs w:val="20"/>
              </w:rPr>
              <w:t xml:space="preserve"> </w:t>
            </w:r>
          </w:p>
        </w:tc>
      </w:tr>
      <w:tr w:rsidR="00A06F33" w:rsidRPr="009728D2" w14:paraId="7A0BB74B" w14:textId="77777777" w:rsidTr="00284AFA">
        <w:trPr>
          <w:jc w:val="center"/>
        </w:trPr>
        <w:tc>
          <w:tcPr>
            <w:tcW w:w="1170" w:type="dxa"/>
            <w:tcBorders>
              <w:top w:val="single" w:sz="2" w:space="0" w:color="948A54" w:themeColor="background2" w:themeShade="80"/>
              <w:bottom w:val="single" w:sz="2" w:space="0" w:color="948A54" w:themeColor="background2" w:themeShade="80"/>
            </w:tcBorders>
            <w:shd w:val="clear" w:color="auto" w:fill="FFFFFF" w:themeFill="background1"/>
          </w:tcPr>
          <w:p w14:paraId="3446F276" w14:textId="77777777" w:rsidR="00A06F33" w:rsidRPr="009728D2" w:rsidRDefault="0083391B" w:rsidP="00CA6A29">
            <w:pPr>
              <w:rPr>
                <w:rFonts w:ascii="Times New Roman" w:hAnsi="Times New Roman" w:cs="Times New Roman"/>
                <w:sz w:val="20"/>
                <w:szCs w:val="20"/>
              </w:rPr>
            </w:pPr>
            <w:r w:rsidRPr="00CA6A29">
              <w:rPr>
                <w:noProof/>
                <w:position w:val="-6"/>
              </w:rPr>
              <w:object w:dxaOrig="200" w:dyaOrig="220" w14:anchorId="28902D5F">
                <v:shape id="_x0000_i1042" type="#_x0000_t75" alt="" style="width:10.3pt;height:10.3pt;mso-width-percent:0;mso-height-percent:0;mso-width-percent:0;mso-height-percent:0" o:ole="">
                  <v:imagedata r:id="rId221" o:title=""/>
                </v:shape>
                <o:OLEObject Type="Embed" ProgID="Equation.DSMT4" ShapeID="_x0000_i1042" DrawAspect="Content" ObjectID="_1675249182" r:id="rId222"/>
              </w:object>
            </w:r>
            <w:r w:rsidR="00A06F33">
              <w:rPr>
                <w:rFonts w:ascii="Times New Roman" w:hAnsi="Times New Roman" w:cs="Times New Roman"/>
                <w:sz w:val="20"/>
                <w:szCs w:val="20"/>
              </w:rPr>
              <w:t xml:space="preserve"> </w:t>
            </w:r>
          </w:p>
        </w:tc>
        <w:tc>
          <w:tcPr>
            <w:tcW w:w="3330" w:type="dxa"/>
            <w:tcBorders>
              <w:top w:val="single" w:sz="2" w:space="0" w:color="948A54" w:themeColor="background2" w:themeShade="80"/>
              <w:bottom w:val="single" w:sz="2" w:space="0" w:color="948A54" w:themeColor="background2" w:themeShade="80"/>
            </w:tcBorders>
            <w:shd w:val="clear" w:color="auto" w:fill="FFFFFF" w:themeFill="background1"/>
          </w:tcPr>
          <w:p w14:paraId="20D06D04" w14:textId="25792F0D" w:rsidR="00A06F33" w:rsidRPr="009728D2" w:rsidRDefault="00A06F33" w:rsidP="00874F10">
            <w:pPr>
              <w:pStyle w:val="Default"/>
              <w:rPr>
                <w:rFonts w:ascii="Times New Roman" w:hAnsi="Times New Roman" w:cs="Times New Roman"/>
                <w:sz w:val="20"/>
                <w:szCs w:val="20"/>
              </w:rPr>
            </w:pPr>
            <w:r w:rsidRPr="009728D2">
              <w:rPr>
                <w:rFonts w:ascii="Times New Roman" w:hAnsi="Times New Roman" w:cs="Times New Roman"/>
                <w:sz w:val="20"/>
                <w:szCs w:val="20"/>
              </w:rPr>
              <w:t>Spontaneous recovery rate (per year)</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{"citationID":"6xEif81j","properties":{"formattedCitation":"\\super 7\\nosupersub{}","plainCitation":"7","noteIndex":0},"citationItems":[{"id":27169,"uris":["http://zotero.org/users/local/p8g0WsVO/items/RNPEEE8G"],"uri":["http://zotero.org/users/local/p8g0WsVO/items/RNPEEE8G"],"itemData":{"id":27169,"type":"article-journal","abstract":"The Bill and Melinda Gates Foundation supports an ambitious portfolio of novel vaccines, drug regimens, and diagnostic tools for tuberculosis (TB). We elicited the expected efficacies and improvements of the novel interventions in discussions with the foundations managing their development. Using an age-structured mathematical model of TB, we explored the potential benefits of novel interventions under development and those not yet in the portfolio, focusing on the WHO Southeast Asia region. Neonatal vaccination with the portfolio vaccine decreases TB incidence by 39% to 52% by 2050. Drug regimens that shorten treatment duration and are efficacious against drug-resistant strains reduce incidence by 10–27%. New diagnostics reduce incidence by 13–42%. A triple combination of a portfolio vaccine, drug regimen, and diagnostics reduces incidence by 71%. A short mass vaccination catch-up campaign, not yet in the portfolio, to augment the triple combination, accelerates the decrease, preventing &gt;30% more cases by 2050 than just the triple combination. New vaccines and drug regimens targeted at the vast reservoir of latently infected people, not in the portfolio, would reduce incidence by 37% and 82%, respectively. The combination of preventive latent therapy and a 2-month drug treatment regimen reduces incidence by 94%. Novel technologies in the pipeline would achieve substantial reductions in TB incidence, but not the Stop TB Partnership target for elimination. Elimination will require new delivery strategies, such as mass vaccination campaigns, and new products targeted at latently infected people.","container-title":"Proceedings of the National Academy of Sciences","DOI":"10.1073/pnas.0901720106","ISSN":"0027-8424, 1091-6490","issue":"33","journalAbbreviation":"PNAS","language":"en","note":"PMID: 19666590","page":"13980-13985","source":"www.pnas.org","title":"Epidemiological benefits of more-effective tuberculosis vaccines, drugs, and diagnostics","volume":"106","author":[{"family":"Abu-Raddad","given":"Laith J."},{"family":"Sabatelli","given":"Lorenzo"},{"family":"Achterberg","given":"Jerusha T."},{"family":"Sugimoto","given":"Jonathan D."},{"family":"Longini","given":"Ira M."},{"family":"Dye","given":"Christopher"},{"family":"Halloran","given":"M. Elizabeth"}],"issued":{"date-parts":[["2009",8,18]]}}}],"schema":"https://github.com/citation-style-language/schema/raw/master/csl-citation.json"} </w:instrText>
            </w:r>
            <w:r>
              <w:rPr>
                <w:rFonts w:ascii="Times New Roman" w:hAnsi="Times New Roman" w:cs="Times New Roman"/>
                <w:sz w:val="20"/>
                <w:szCs w:val="20"/>
              </w:rPr>
              <w:fldChar w:fldCharType="separate"/>
            </w:r>
            <w:r w:rsidRPr="00AE2DF3">
              <w:rPr>
                <w:rFonts w:ascii="Times New Roman" w:hAnsi="Times New Roman" w:cs="Times New Roman"/>
                <w:sz w:val="20"/>
                <w:vertAlign w:val="superscript"/>
              </w:rPr>
              <w:t>7</w:t>
            </w:r>
            <w:r>
              <w:rPr>
                <w:rFonts w:ascii="Times New Roman" w:hAnsi="Times New Roman" w:cs="Times New Roman"/>
                <w:sz w:val="20"/>
                <w:szCs w:val="20"/>
              </w:rPr>
              <w:fldChar w:fldCharType="end"/>
            </w:r>
            <w:r w:rsidRPr="00AE2DF3">
              <w:rPr>
                <w:rFonts w:ascii="Times New Roman" w:hAnsi="Times New Roman" w:cs="Times New Roman"/>
                <w:sz w:val="20"/>
                <w:szCs w:val="20"/>
                <w:vertAlign w:val="superscript"/>
              </w:rPr>
              <w:t>,</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{"citationID":"LQWWQSIw","properties":{"formattedCitation":"\\super 8\\nosupersub{}","plainCitation":"8","noteIndex":0},"citationItems":[{"id":26911,"uris":["http://zotero.org/users/local/p8g0WsVO/items/FAP76EAA"],"uri":["http://zotero.org/users/local/p8g0WsVO/items/FAP76EAA"],"itemData":{"id":26911,"type":"article-journal","abstract":"BACKGROUND: WHO advocates the use of directly observed treatment with a short-course drug regimen as part of the DOTS strategy, but the potential effect of this strategy worldwide has not been investigated.\nMETHODS: We developed an age-structured mathematical model to explore the characteristics of tuberculosis control under DOTS, and to forecast the effect of improved case finding and cure on tuberculosis epidemics for each of the six WHO regions.\nFINDINGS: In countries where the incidence of tuberculosis is stable and HIV-1 absent, a control programme that reaches the WHO targets of 70% case detection and 85% cure would reduce the incidence rate by 11% (range 8-12) per year and the death rate by 12% (9-13) per year. If tuberculosis has been in decline for some years, the same case detection and cure rates would have a smaller effect on incidence. DOTS saves a greater proportion of deaths than cases, and this difference is bigger in the presence of HIV-1. HIV-1 epidemics cause an increase in tuberculosis incidence, but do not substantially reduce the preventable proportion of cases and deaths. Without greater effort to control tuberculosis, the annual incidence of the disease is expected to increase by 41% (21-61) between 1998 and 2020 (from 7.4 million to 10.6 million cases per year). Achievement of WHO targets by 2010 would prevent 23% (15-30) or 48 million cases by 2020.\nINTERPRETATION: The potential effect of chemotherapy (delivered as DOTS) on tuberculosis is greater in many developing countries now than it was in developed countries 50 years ago. To exploit this potential, case detection and cure rates urgently need to be improved in the main endemic areas.","container-title":"Lancet (London, England)","ISSN":"0140-6736","issue":"9144","journalAbbreviation":"Lancet","language":"eng","note":"PMID: 9863786","page":"1886-1891","source":"PubMed","title":"Prospects for worldwide tuberculosis control under the WHO DOTS strategy. Directly observed short-course therapy","volume":"352","author":[{"family":"Dye","given":"C."},{"family":"Garnett","given":"G. P."},{"family":"Sleeman","given":"K."},{"family":"Williams","given":"B. G."}],"issued":{"date-parts":[["1998",12,12]]}}}],"schema":"https://github.com/citation-style-language/schema/raw/master/csl-citation.json"} </w:instrText>
            </w:r>
            <w:r>
              <w:rPr>
                <w:rFonts w:ascii="Times New Roman" w:hAnsi="Times New Roman" w:cs="Times New Roman"/>
                <w:sz w:val="20"/>
                <w:szCs w:val="20"/>
              </w:rPr>
              <w:fldChar w:fldCharType="separate"/>
            </w:r>
            <w:r w:rsidRPr="00AE2DF3">
              <w:rPr>
                <w:rFonts w:ascii="Times New Roman" w:hAnsi="Times New Roman" w:cs="Times New Roman"/>
                <w:sz w:val="20"/>
                <w:vertAlign w:val="superscript"/>
              </w:rPr>
              <w:t>8</w:t>
            </w:r>
            <w:r>
              <w:rPr>
                <w:rFonts w:ascii="Times New Roman" w:hAnsi="Times New Roman" w:cs="Times New Roman"/>
                <w:sz w:val="20"/>
                <w:szCs w:val="20"/>
              </w:rPr>
              <w:fldChar w:fldCharType="end"/>
            </w:r>
            <w:r w:rsidRPr="00AE2DF3">
              <w:rPr>
                <w:rFonts w:ascii="Times New Roman" w:hAnsi="Times New Roman" w:cs="Times New Roman"/>
                <w:sz w:val="20"/>
                <w:szCs w:val="20"/>
                <w:vertAlign w:val="superscript"/>
              </w:rPr>
              <w:t>,</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{"citationID":"VQ5DkxJf","properties":{"formattedCitation":"\\super 10\\nosupersub{}","plainCitation":"10","noteIndex":0},"citationItems":[{"id":28958,"uris":["http://zotero.org/users/local/p8g0WsVO/items/VGI3R6M3"],"uri":["http://zotero.org/users/local/p8g0WsVO/items/VGI3R6M3"],"itemData":{"id":28958,"type":"article-journal","abstract":"Recognizing that tuberculosis (TB) is still the leading cause of human death from a curable infection, the international health community has set ambitious targets for disease control. One target is to eliminate TB by 2050; that is, to cut the annual incidence of new cases to less than 1 per million population. National TB control programmes are working to eliminate TB mainly by intensifying efforts to find and cure patients with active disease. Here, we use mathematical modelling to show that, while most TB patients can be cured with present drug regimens, the 2050 target is far more likely to be achieved with a combination of diagnostics, drugs and vaccines that can detect and treat both latent infection and active disease. We find that the coupling of control methods is particularly effective because treatments for latent infection and active disease act in synergy. This synergistic effect offers new perspectives on the cost-effectiveness of treating latent TB infection and the impact of possible new TB vaccines. Our results should be a stimulus to those who develop, manufacture and implement new technology for TB control, and to their financial donors.","container-title":"Journal of the Royal Society, Interface","DOI":"10.1098/rsif.2007.1138","ISSN":"1742-5689","issue":"23","journalAbbreviation":"J R Soc Interface","language":"eng","note":"PMID: 17690054\nPMCID: PMC3226985","page":"653-662","source":"PubMed","title":"Eliminating human tuberculosis in the twenty-first century","volume":"5","author":[{"family":"Dye","given":"Christopher"},{"family":"Williams","given":"Brian G."}],"issued":{"date-parts":[["2008",6,6]]}}}],"schema":"https://github.com/citation-style-language/schema/raw/master/csl-citation.json"} </w:instrText>
            </w:r>
            <w:r>
              <w:rPr>
                <w:rFonts w:ascii="Times New Roman" w:hAnsi="Times New Roman" w:cs="Times New Roman"/>
                <w:sz w:val="20"/>
                <w:szCs w:val="20"/>
              </w:rPr>
              <w:fldChar w:fldCharType="separate"/>
            </w:r>
            <w:r w:rsidRPr="00AE2DF3">
              <w:rPr>
                <w:rFonts w:ascii="Times New Roman" w:hAnsi="Times New Roman" w:cs="Times New Roman"/>
                <w:sz w:val="20"/>
                <w:vertAlign w:val="superscript"/>
              </w:rPr>
              <w:t>10</w:t>
            </w:r>
            <w:r>
              <w:rPr>
                <w:rFonts w:ascii="Times New Roman" w:hAnsi="Times New Roman" w:cs="Times New Roman"/>
                <w:sz w:val="20"/>
                <w:szCs w:val="20"/>
              </w:rPr>
              <w:fldChar w:fldCharType="end"/>
            </w:r>
          </w:p>
        </w:tc>
        <w:tc>
          <w:tcPr>
            <w:tcW w:w="3780" w:type="dxa"/>
            <w:gridSpan w:val="2"/>
            <w:tcBorders>
              <w:top w:val="single" w:sz="2" w:space="0" w:color="948A54" w:themeColor="background2" w:themeShade="80"/>
              <w:bottom w:val="single" w:sz="2" w:space="0" w:color="948A54" w:themeColor="background2" w:themeShade="80"/>
            </w:tcBorders>
            <w:shd w:val="clear" w:color="auto" w:fill="FFFFFF" w:themeFill="background1"/>
          </w:tcPr>
          <w:p w14:paraId="76F2E540" w14:textId="77777777" w:rsidR="00A06F33" w:rsidRPr="009728D2" w:rsidRDefault="0083391B" w:rsidP="00CA6A29">
            <w:pPr>
              <w:jc w:val="center"/>
              <w:rPr>
                <w:rFonts w:ascii="Times New Roman" w:hAnsi="Times New Roman" w:cs="Times New Roman"/>
                <w:sz w:val="20"/>
                <w:szCs w:val="20"/>
              </w:rPr>
            </w:pPr>
            <w:r w:rsidRPr="00CA6A29">
              <w:rPr>
                <w:noProof/>
                <w:position w:val="-10"/>
              </w:rPr>
              <w:object w:dxaOrig="920" w:dyaOrig="320" w14:anchorId="26E6CF53">
                <v:shape id="_x0000_i1041" type="#_x0000_t75" alt="" style="width:45.7pt;height:15.45pt;mso-width-percent:0;mso-height-percent:0;mso-width-percent:0;mso-height-percent:0" o:ole="">
                  <v:imagedata r:id="rId223" o:title=""/>
                </v:shape>
                <o:OLEObject Type="Embed" ProgID="Equation.DSMT4" ShapeID="_x0000_i1041" DrawAspect="Content" ObjectID="_1675249183" r:id="rId224"/>
              </w:object>
            </w:r>
            <w:r w:rsidR="00A06F33" w:rsidRPr="009728D2">
              <w:rPr>
                <w:rFonts w:ascii="Times New Roman" w:hAnsi="Times New Roman" w:cs="Times New Roman"/>
                <w:sz w:val="20"/>
                <w:szCs w:val="20"/>
              </w:rPr>
              <w:t xml:space="preserve">, </w:t>
            </w:r>
            <w:r w:rsidRPr="00CA6A29">
              <w:rPr>
                <w:noProof/>
                <w:position w:val="-10"/>
              </w:rPr>
              <w:object w:dxaOrig="940" w:dyaOrig="320" w14:anchorId="40639C63">
                <v:shape id="_x0000_i1040" type="#_x0000_t75" alt="" style="width:46.3pt;height:15.45pt;mso-width-percent:0;mso-height-percent:0;mso-width-percent:0;mso-height-percent:0" o:ole="">
                  <v:imagedata r:id="rId225" o:title=""/>
                </v:shape>
                <o:OLEObject Type="Embed" ProgID="Equation.DSMT4" ShapeID="_x0000_i1040" DrawAspect="Content" ObjectID="_1675249184" r:id="rId226"/>
              </w:object>
            </w:r>
            <w:r w:rsidR="00A06F33" w:rsidRPr="009728D2">
              <w:rPr>
                <w:rFonts w:ascii="Times New Roman" w:hAnsi="Times New Roman" w:cs="Times New Roman"/>
                <w:sz w:val="20"/>
                <w:szCs w:val="20"/>
              </w:rPr>
              <w:t xml:space="preserve">, </w:t>
            </w:r>
            <w:r w:rsidRPr="00CA6A29">
              <w:rPr>
                <w:noProof/>
                <w:position w:val="-10"/>
              </w:rPr>
              <w:object w:dxaOrig="920" w:dyaOrig="320" w14:anchorId="711A98A3">
                <v:shape id="_x0000_i1039" type="#_x0000_t75" alt="" style="width:45.7pt;height:15.45pt;mso-width-percent:0;mso-height-percent:0;mso-width-percent:0;mso-height-percent:0" o:ole="">
                  <v:imagedata r:id="rId227" o:title=""/>
                </v:shape>
                <o:OLEObject Type="Embed" ProgID="Equation.DSMT4" ShapeID="_x0000_i1039" DrawAspect="Content" ObjectID="_1675249185" r:id="rId228"/>
              </w:object>
            </w:r>
          </w:p>
          <w:p w14:paraId="5F51CE4C" w14:textId="77777777" w:rsidR="00A06F33" w:rsidRPr="009728D2" w:rsidRDefault="0083391B" w:rsidP="00CA6A29">
            <w:pPr>
              <w:jc w:val="center"/>
              <w:rPr>
                <w:rFonts w:ascii="Times New Roman" w:hAnsi="Times New Roman" w:cs="Times New Roman"/>
                <w:b/>
                <w:sz w:val="20"/>
                <w:szCs w:val="20"/>
              </w:rPr>
            </w:pPr>
            <w:r w:rsidRPr="00CA6A29">
              <w:rPr>
                <w:noProof/>
                <w:position w:val="-10"/>
              </w:rPr>
              <w:object w:dxaOrig="700" w:dyaOrig="320" w14:anchorId="2C81922B">
                <v:shape id="_x0000_i1038" type="#_x0000_t75" alt="" style="width:34.85pt;height:15.45pt;mso-width-percent:0;mso-height-percent:0;mso-width-percent:0;mso-height-percent:0" o:ole="">
                  <v:imagedata r:id="rId229" o:title=""/>
                </v:shape>
                <o:OLEObject Type="Embed" ProgID="Equation.DSMT4" ShapeID="_x0000_i1038" DrawAspect="Content" ObjectID="_1675249186" r:id="rId230"/>
              </w:object>
            </w:r>
            <w:r w:rsidR="00A06F33" w:rsidRPr="009728D2">
              <w:rPr>
                <w:rFonts w:ascii="Times New Roman" w:hAnsi="Times New Roman" w:cs="Times New Roman"/>
                <w:sz w:val="20"/>
                <w:szCs w:val="20"/>
              </w:rPr>
              <w:t xml:space="preserve">, </w:t>
            </w:r>
            <w:r w:rsidRPr="00CA6A29">
              <w:rPr>
                <w:noProof/>
                <w:position w:val="-10"/>
              </w:rPr>
              <w:object w:dxaOrig="720" w:dyaOrig="320" w14:anchorId="6A195CF5">
                <v:shape id="_x0000_i1037" type="#_x0000_t75" alt="" style="width:36.55pt;height:15.45pt;mso-width-percent:0;mso-height-percent:0;mso-width-percent:0;mso-height-percent:0" o:ole="">
                  <v:imagedata r:id="rId231" o:title=""/>
                </v:shape>
                <o:OLEObject Type="Embed" ProgID="Equation.DSMT4" ShapeID="_x0000_i1037" DrawAspect="Content" ObjectID="_1675249187" r:id="rId232"/>
              </w:object>
            </w:r>
            <w:r w:rsidR="00A06F33" w:rsidRPr="009728D2">
              <w:rPr>
                <w:rFonts w:ascii="Times New Roman" w:hAnsi="Times New Roman" w:cs="Times New Roman"/>
                <w:sz w:val="20"/>
                <w:szCs w:val="20"/>
              </w:rPr>
              <w:t xml:space="preserve">, </w:t>
            </w:r>
            <w:r w:rsidRPr="00CA6A29">
              <w:rPr>
                <w:noProof/>
                <w:position w:val="-10"/>
              </w:rPr>
              <w:object w:dxaOrig="700" w:dyaOrig="320" w14:anchorId="2C924F7E">
                <v:shape id="_x0000_i1036" type="#_x0000_t75" alt="" style="width:34.85pt;height:15.45pt;mso-width-percent:0;mso-height-percent:0;mso-width-percent:0;mso-height-percent:0" o:ole="">
                  <v:imagedata r:id="rId233" o:title=""/>
                </v:shape>
                <o:OLEObject Type="Embed" ProgID="Equation.DSMT4" ShapeID="_x0000_i1036" DrawAspect="Content" ObjectID="_1675249188" r:id="rId234"/>
              </w:object>
            </w:r>
          </w:p>
        </w:tc>
      </w:tr>
      <w:tr w:rsidR="00A06F33" w:rsidRPr="009728D2" w14:paraId="13A92B5C" w14:textId="77777777" w:rsidTr="00284AFA">
        <w:trPr>
          <w:jc w:val="center"/>
        </w:trPr>
        <w:tc>
          <w:tcPr>
            <w:tcW w:w="1170" w:type="dxa"/>
            <w:tcBorders>
              <w:top w:val="single" w:sz="2" w:space="0" w:color="948A54" w:themeColor="background2" w:themeShade="80"/>
              <w:bottom w:val="single" w:sz="2" w:space="0" w:color="948A54" w:themeColor="background2" w:themeShade="80"/>
            </w:tcBorders>
            <w:shd w:val="clear" w:color="auto" w:fill="FFFFFF" w:themeFill="background1"/>
          </w:tcPr>
          <w:p w14:paraId="2E839F93" w14:textId="77777777" w:rsidR="00A06F33" w:rsidRPr="009728D2" w:rsidRDefault="0083391B" w:rsidP="00CA6A29">
            <w:pPr>
              <w:tabs>
                <w:tab w:val="center" w:pos="820"/>
                <w:tab w:val="right" w:pos="1640"/>
              </w:tabs>
              <w:rPr>
                <w:rFonts w:ascii="Times New Roman" w:hAnsi="Times New Roman" w:cs="Times New Roman"/>
                <w:sz w:val="20"/>
                <w:szCs w:val="20"/>
              </w:rPr>
            </w:pPr>
            <w:r w:rsidRPr="00CA6A29">
              <w:rPr>
                <w:noProof/>
                <w:position w:val="-10"/>
              </w:rPr>
              <w:object w:dxaOrig="240" w:dyaOrig="260" w14:anchorId="32890F79">
                <v:shape id="_x0000_i1035" type="#_x0000_t75" alt="" style="width:11.45pt;height:12.55pt;mso-width-percent:0;mso-height-percent:0;mso-width-percent:0;mso-height-percent:0" o:ole="">
                  <v:imagedata r:id="rId235" o:title=""/>
                </v:shape>
                <o:OLEObject Type="Embed" ProgID="Equation.DSMT4" ShapeID="_x0000_i1035" DrawAspect="Content" ObjectID="_1675249189" r:id="rId236"/>
              </w:object>
            </w:r>
            <w:r w:rsidR="00A06F33" w:rsidRPr="009728D2">
              <w:rPr>
                <w:rFonts w:ascii="Times New Roman" w:hAnsi="Times New Roman" w:cs="Times New Roman"/>
                <w:sz w:val="20"/>
                <w:szCs w:val="20"/>
              </w:rPr>
              <w:t xml:space="preserve"> </w:t>
            </w:r>
          </w:p>
        </w:tc>
        <w:tc>
          <w:tcPr>
            <w:tcW w:w="3330" w:type="dxa"/>
            <w:tcBorders>
              <w:top w:val="single" w:sz="2" w:space="0" w:color="948A54" w:themeColor="background2" w:themeShade="80"/>
              <w:bottom w:val="single" w:sz="2" w:space="0" w:color="948A54" w:themeColor="background2" w:themeShade="80"/>
            </w:tcBorders>
            <w:shd w:val="clear" w:color="auto" w:fill="FFFFFF" w:themeFill="background1"/>
          </w:tcPr>
          <w:p w14:paraId="0A8D9077" w14:textId="2C545B8A" w:rsidR="00A06F33" w:rsidRPr="009728D2" w:rsidRDefault="00A06F33" w:rsidP="00B806F1">
            <w:pPr>
              <w:pStyle w:val="Default"/>
              <w:rPr>
                <w:rFonts w:ascii="Times New Roman" w:hAnsi="Times New Roman" w:cs="Times New Roman"/>
                <w:sz w:val="20"/>
                <w:szCs w:val="20"/>
              </w:rPr>
            </w:pPr>
            <w:r w:rsidRPr="009728D2">
              <w:rPr>
                <w:rFonts w:ascii="Times New Roman" w:hAnsi="Times New Roman" w:cs="Times New Roman"/>
                <w:sz w:val="20"/>
                <w:szCs w:val="20"/>
              </w:rPr>
              <w:t>Rate of successful completion of treatment (per year)</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{"citationID":"fLyTlmjY","properties":{"formattedCitation":"\\super 12\\nosupersub{}","plainCitation":"12","noteIndex":0},"citationItems":[{"id":28954,"uris":["http://zotero.org/users/local/p8g0WsVO/items/8RS32IKJ"],"uri":["http://zotero.org/users/local/p8g0WsVO/items/8RS32IKJ"],"itemData":{"id":28954,"type":"book","abstract":"This is fourth edition of Treatment of tuberculosis: guidelines, adhering fully to the new WHO process for evidence-based guidelines. Several important recommendations are being promoted in this new edition. First, the recommendation to discontinue the regimen based on just 2 months of rifampicin (2HRZE/6HE) and change to the regimen based on a full 6 months of rifampicin (2HRZE/4HR) will reduce the number of relapses and failures. This will alleviate patient suffering resulting from a second episode of tuberculosis (TB) and conserve patient and programme resources. Second, this fourth edition confirms prior WHO recommendations for drug susceptibility testing (DST) at the start of therapy for all previously treated patients. Finding and treating multidrug-resistant TB (MDR-TB) in previously treated patients will help to improve the very poor outcomes in these patients. New recommendations for the prompt detection and appropriate treatment of (MDR-TB) cases will also improve access to life-saving care. Third, detecting MDR-TB will require expansion of DST capacity within the context of country-specific, comprehensive plans for laboratory strengthening. This fourth edition provides guidance for treatment approaches in the light of advances in laboratory technology and the country's progress in building laboratory capacity. Fourth, diagnosing MDR-TB cases among previously treated patients and providing effective treatment will greatly help in halting the spread of MDR-TB. This edition also addresses the prevention of acquired MDR-TB, especially among new TB patients who already have isoniazid-resistant Mycobacterium tuberculosis when they start treatment. Finally, this edition strongly reaffirms prior recommendations for supervised treatment, as well as the use of fixed-dose combinations of anti-TB drugs and patient kits as further measures for preventing the acquisition of drug resistance.","call-number":"NBK138748","collection-title":"WHO Guidelines Approved by the Guidelines Review Committee","edition":"4th","event-place":"Geneva","ISBN":"978-92-4-154783-3","language":"eng","note":"PMID: 23741786","publisher":"World Health Organization","publisher-place":"Geneva","source":"PubMed","title":"Treatment of Tuberculosis: Guidelines","title-short":"Treatment of Tuberculosis","URL":"http://www.ncbi.nlm.nih.gov/books/NBK138748/","accessed":{"date-parts":[["2020",10,2]]},"issued":{"date-parts":[["2010"]]}}}],"schema":"https://github.com/citation-style-language/schema/raw/master/csl-citation.json"} </w:instrText>
            </w:r>
            <w:r>
              <w:rPr>
                <w:rFonts w:ascii="Times New Roman" w:hAnsi="Times New Roman" w:cs="Times New Roman"/>
                <w:sz w:val="20"/>
                <w:szCs w:val="20"/>
              </w:rPr>
              <w:fldChar w:fldCharType="separate"/>
            </w:r>
            <w:r w:rsidRPr="00AE2DF3">
              <w:rPr>
                <w:rFonts w:ascii="Times New Roman" w:hAnsi="Times New Roman" w:cs="Times New Roman"/>
                <w:sz w:val="20"/>
                <w:vertAlign w:val="superscript"/>
              </w:rPr>
              <w:t>12</w:t>
            </w:r>
            <w:r>
              <w:rPr>
                <w:rFonts w:ascii="Times New Roman" w:hAnsi="Times New Roman" w:cs="Times New Roman"/>
                <w:sz w:val="20"/>
                <w:szCs w:val="20"/>
              </w:rPr>
              <w:fldChar w:fldCharType="end"/>
            </w:r>
            <w:r w:rsidRPr="009728D2">
              <w:rPr>
                <w:rFonts w:ascii="Times New Roman" w:hAnsi="Times New Roman" w:cs="Times New Roman"/>
                <w:sz w:val="20"/>
                <w:szCs w:val="20"/>
              </w:rPr>
              <w:t xml:space="preserve"> </w:t>
            </w:r>
          </w:p>
        </w:tc>
        <w:tc>
          <w:tcPr>
            <w:tcW w:w="3780" w:type="dxa"/>
            <w:gridSpan w:val="2"/>
            <w:tcBorders>
              <w:top w:val="single" w:sz="2" w:space="0" w:color="948A54" w:themeColor="background2" w:themeShade="80"/>
              <w:bottom w:val="single" w:sz="2" w:space="0" w:color="948A54" w:themeColor="background2" w:themeShade="80"/>
            </w:tcBorders>
            <w:shd w:val="clear" w:color="auto" w:fill="FFFFFF" w:themeFill="background1"/>
          </w:tcPr>
          <w:p w14:paraId="73EBD256" w14:textId="77777777" w:rsidR="00A06F33" w:rsidRPr="009728D2" w:rsidRDefault="0083391B" w:rsidP="00CA6A29">
            <w:pPr>
              <w:jc w:val="center"/>
              <w:rPr>
                <w:rFonts w:ascii="Times New Roman" w:hAnsi="Times New Roman" w:cs="Times New Roman"/>
                <w:sz w:val="20"/>
                <w:szCs w:val="20"/>
              </w:rPr>
            </w:pPr>
            <w:r w:rsidRPr="00CA6A29">
              <w:rPr>
                <w:noProof/>
                <w:position w:val="-44"/>
              </w:rPr>
              <w:object w:dxaOrig="2140" w:dyaOrig="980" w14:anchorId="29DB4AC2">
                <v:shape id="_x0000_i1034" type="#_x0000_t75" alt="" style="width:108pt;height:48.55pt;mso-width-percent:0;mso-height-percent:0;mso-width-percent:0;mso-height-percent:0" o:ole="">
                  <v:imagedata r:id="rId237" o:title=""/>
                </v:shape>
                <o:OLEObject Type="Embed" ProgID="Equation.DSMT4" ShapeID="_x0000_i1034" DrawAspect="Content" ObjectID="_1675249190" r:id="rId238"/>
              </w:object>
            </w:r>
          </w:p>
        </w:tc>
      </w:tr>
      <w:tr w:rsidR="00A06F33" w:rsidRPr="009728D2" w14:paraId="57DAA7B2" w14:textId="77777777" w:rsidTr="00284AFA">
        <w:trPr>
          <w:jc w:val="center"/>
        </w:trPr>
        <w:tc>
          <w:tcPr>
            <w:tcW w:w="1170" w:type="dxa"/>
            <w:tcBorders>
              <w:top w:val="single" w:sz="2" w:space="0" w:color="948A54" w:themeColor="background2" w:themeShade="80"/>
              <w:bottom w:val="single" w:sz="2" w:space="0" w:color="948A54" w:themeColor="background2" w:themeShade="80"/>
            </w:tcBorders>
            <w:shd w:val="clear" w:color="auto" w:fill="FFFFFF" w:themeFill="background1"/>
          </w:tcPr>
          <w:p w14:paraId="5BF11DC5" w14:textId="77777777" w:rsidR="00A06F33" w:rsidRPr="009728D2" w:rsidRDefault="0083391B" w:rsidP="00CA6A29">
            <w:pPr>
              <w:rPr>
                <w:rFonts w:ascii="Times New Roman" w:hAnsi="Times New Roman" w:cs="Times New Roman"/>
                <w:sz w:val="20"/>
                <w:szCs w:val="20"/>
              </w:rPr>
            </w:pPr>
            <w:r w:rsidRPr="00CA6A29">
              <w:rPr>
                <w:noProof/>
                <w:position w:val="-6"/>
              </w:rPr>
              <w:object w:dxaOrig="180" w:dyaOrig="220" w14:anchorId="03EDB39D">
                <v:shape id="_x0000_i1033" type="#_x0000_t75" alt="" style="width:9.7pt;height:10.3pt;mso-width-percent:0;mso-height-percent:0;mso-width-percent:0;mso-height-percent:0" o:ole="">
                  <v:imagedata r:id="rId239" o:title=""/>
                </v:shape>
                <o:OLEObject Type="Embed" ProgID="Equation.DSMT4" ShapeID="_x0000_i1033" DrawAspect="Content" ObjectID="_1675249191" r:id="rId240"/>
              </w:object>
            </w:r>
            <w:r w:rsidR="00A06F33">
              <w:rPr>
                <w:rFonts w:ascii="Times New Roman" w:hAnsi="Times New Roman" w:cs="Times New Roman"/>
                <w:sz w:val="20"/>
                <w:szCs w:val="20"/>
              </w:rPr>
              <w:t xml:space="preserve"> </w:t>
            </w:r>
          </w:p>
        </w:tc>
        <w:tc>
          <w:tcPr>
            <w:tcW w:w="3330" w:type="dxa"/>
            <w:tcBorders>
              <w:top w:val="single" w:sz="2" w:space="0" w:color="948A54" w:themeColor="background2" w:themeShade="80"/>
              <w:bottom w:val="single" w:sz="2" w:space="0" w:color="948A54" w:themeColor="background2" w:themeShade="80"/>
            </w:tcBorders>
            <w:shd w:val="clear" w:color="auto" w:fill="FFFFFF" w:themeFill="background1"/>
          </w:tcPr>
          <w:p w14:paraId="4C0FF4FE" w14:textId="0D8C89FC" w:rsidR="00A06F33" w:rsidRPr="009728D2" w:rsidRDefault="00A06F33" w:rsidP="00B84ABC">
            <w:pPr>
              <w:pStyle w:val="Default"/>
              <w:rPr>
                <w:rFonts w:ascii="Times New Roman" w:hAnsi="Times New Roman" w:cs="Times New Roman"/>
                <w:sz w:val="20"/>
                <w:szCs w:val="20"/>
              </w:rPr>
            </w:pPr>
            <w:r w:rsidRPr="009728D2">
              <w:rPr>
                <w:rFonts w:ascii="Times New Roman" w:hAnsi="Times New Roman" w:cs="Times New Roman"/>
                <w:sz w:val="20"/>
                <w:szCs w:val="20"/>
              </w:rPr>
              <w:t>Transmission probability per respiratory contact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{"citationID":"A8Vcbdx2","properties":{"formattedCitation":"\\super 7\\nosupersub{}","plainCitation":"7","noteIndex":0},"citationItems":[{"id":27169,"uris":["http://zotero.org/users/local/p8g0WsVO/items/RNPEEE8G"],"uri":["http://zotero.org/users/local/p8g0WsVO/items/RNPEEE8G"],"itemData":{"id":27169,"type":"article-journal","abstract":"The Bill and Melinda Gates Foundation supports an ambitious portfolio of novel vaccines, drug regimens, and diagnostic tools for tuberculosis (TB). We elicited the expected efficacies and improvements of the novel interventions in discussions with the foundations managing their development. Using an age-structured mathematical model of TB, we explored the potential benefits of novel interventions under development and those not yet in the portfolio, focusing on the WHO Southeast Asia region. Neonatal vaccination with the portfolio vaccine decreases TB incidence by 39% to 52% by 2050. Drug regimens that shorten treatment duration and are efficacious against drug-resistant strains reduce incidence by 10–27%. New diagnostics reduce incidence by 13–42%. A triple combination of a portfolio vaccine, drug regimen, and diagnostics reduces incidence by 71%. A short mass vaccination catch-up campaign, not yet in the portfolio, to augment the triple combination, accelerates the decrease, preventing &gt;30% more cases by 2050 than just the triple combination. New vaccines and drug regimens targeted at the vast reservoir of latently infected people, not in the portfolio, would reduce incidence by 37% and 82%, respectively. The combination of preventive latent therapy and a 2-month drug treatment regimen reduces incidence by 94%. Novel technologies in the pipeline would achieve substantial reductions in TB incidence, but not the Stop TB Partnership target for elimination. Elimination will require new delivery strategies, such as mass vaccination campaigns, and new products targeted at latently infected people.","container-title":"Proceedings of the National Academy of Sciences","DOI":"10.1073/pnas.0901720106","ISSN":"0027-8424, 1091-6490","issue":"33","journalAbbreviation":"PNAS","language":"en","note":"PMID: 19666590","page":"13980-13985","source":"www.pnas.org","title":"Epidemiological benefits of more-effective tuberculosis vaccines, drugs, and diagnostics","volume":"106","author":[{"family":"Abu-Raddad","given":"Laith J."},{"family":"Sabatelli","given":"Lorenzo"},{"family":"Achterberg","given":"Jerusha T."},{"family":"Sugimoto","given":"Jonathan D."},{"family":"Longini","given":"Ira M."},{"family":"Dye","given":"Christopher"},{"family":"Halloran","given":"M. Elizabeth"}],"issued":{"date-parts":[["2009",8,18]]}}}],"schema":"https://github.com/citation-style-language/schema/raw/master/csl-citation.json"} </w:instrText>
            </w:r>
            <w:r>
              <w:rPr>
                <w:rFonts w:ascii="Times New Roman" w:hAnsi="Times New Roman" w:cs="Times New Roman"/>
                <w:sz w:val="20"/>
                <w:szCs w:val="20"/>
              </w:rPr>
              <w:fldChar w:fldCharType="separate"/>
            </w:r>
            <w:r w:rsidRPr="008D5E01">
              <w:rPr>
                <w:rFonts w:ascii="Times New Roman" w:hAnsi="Times New Roman" w:cs="Times New Roman"/>
                <w:sz w:val="20"/>
                <w:vertAlign w:val="superscript"/>
              </w:rPr>
              <w:t>7</w:t>
            </w:r>
            <w:r>
              <w:rPr>
                <w:rFonts w:ascii="Times New Roman" w:hAnsi="Times New Roman" w:cs="Times New Roman"/>
                <w:sz w:val="20"/>
                <w:szCs w:val="20"/>
              </w:rPr>
              <w:fldChar w:fldCharType="end"/>
            </w:r>
            <w:r w:rsidRPr="009728D2">
              <w:rPr>
                <w:rFonts w:ascii="Times New Roman" w:hAnsi="Times New Roman" w:cs="Times New Roman"/>
                <w:sz w:val="20"/>
                <w:szCs w:val="20"/>
              </w:rPr>
              <w:t xml:space="preserve"> </w:t>
            </w:r>
          </w:p>
        </w:tc>
        <w:tc>
          <w:tcPr>
            <w:tcW w:w="3780" w:type="dxa"/>
            <w:gridSpan w:val="2"/>
            <w:tcBorders>
              <w:top w:val="single" w:sz="2" w:space="0" w:color="948A54" w:themeColor="background2" w:themeShade="80"/>
              <w:bottom w:val="single" w:sz="2" w:space="0" w:color="948A54" w:themeColor="background2" w:themeShade="80"/>
            </w:tcBorders>
            <w:shd w:val="clear" w:color="auto" w:fill="FFFFFF" w:themeFill="background1"/>
          </w:tcPr>
          <w:p w14:paraId="1B3699BB" w14:textId="77777777" w:rsidR="00A06F33" w:rsidRPr="009728D2" w:rsidRDefault="0083391B" w:rsidP="00CA6A29">
            <w:pPr>
              <w:jc w:val="center"/>
              <w:rPr>
                <w:rFonts w:ascii="Times New Roman" w:hAnsi="Times New Roman" w:cs="Times New Roman"/>
                <w:sz w:val="20"/>
                <w:szCs w:val="20"/>
              </w:rPr>
            </w:pPr>
            <w:r w:rsidRPr="00CA6A29">
              <w:rPr>
                <w:noProof/>
                <w:position w:val="-6"/>
              </w:rPr>
              <w:object w:dxaOrig="440" w:dyaOrig="260" w14:anchorId="765AB52D">
                <v:shape id="_x0000_i1032" type="#_x0000_t75" alt="" style="width:22.85pt;height:12.55pt;mso-width-percent:0;mso-height-percent:0;mso-width-percent:0;mso-height-percent:0" o:ole="">
                  <v:imagedata r:id="rId241" o:title=""/>
                </v:shape>
                <o:OLEObject Type="Embed" ProgID="Equation.DSMT4" ShapeID="_x0000_i1032" DrawAspect="Content" ObjectID="_1675249192" r:id="rId242"/>
              </w:object>
            </w:r>
            <w:r w:rsidR="00A06F33">
              <w:rPr>
                <w:rFonts w:ascii="Times New Roman" w:hAnsi="Times New Roman" w:cs="Times New Roman"/>
                <w:sz w:val="20"/>
                <w:szCs w:val="20"/>
              </w:rPr>
              <w:t xml:space="preserve"> </w:t>
            </w:r>
          </w:p>
        </w:tc>
      </w:tr>
      <w:tr w:rsidR="00A06F33" w:rsidRPr="009728D2" w14:paraId="6DCF4FA5" w14:textId="77777777" w:rsidTr="00284AFA">
        <w:trPr>
          <w:jc w:val="center"/>
        </w:trPr>
        <w:tc>
          <w:tcPr>
            <w:tcW w:w="1170" w:type="dxa"/>
            <w:tcBorders>
              <w:top w:val="single" w:sz="2" w:space="0" w:color="948A54" w:themeColor="background2" w:themeShade="80"/>
              <w:bottom w:val="single" w:sz="2" w:space="0" w:color="948A54" w:themeColor="background2" w:themeShade="80"/>
            </w:tcBorders>
            <w:shd w:val="clear" w:color="auto" w:fill="FFFFFF" w:themeFill="background1"/>
          </w:tcPr>
          <w:p w14:paraId="7A603998" w14:textId="77777777" w:rsidR="00A06F33" w:rsidRPr="009728D2" w:rsidRDefault="0083391B" w:rsidP="00CA6A29">
            <w:pPr>
              <w:rPr>
                <w:rFonts w:ascii="Times New Roman" w:hAnsi="Times New Roman" w:cs="Times New Roman"/>
                <w:sz w:val="20"/>
                <w:szCs w:val="20"/>
              </w:rPr>
            </w:pPr>
            <w:r w:rsidRPr="00025957">
              <w:rPr>
                <w:noProof/>
                <w:position w:val="-4"/>
              </w:rPr>
              <w:object w:dxaOrig="180" w:dyaOrig="240" w14:anchorId="3AA01C74">
                <v:shape id="_x0000_i1031" type="#_x0000_t75" alt="" style="width:9.7pt;height:11.45pt;mso-width-percent:0;mso-height-percent:0;mso-width-percent:0;mso-height-percent:0" o:ole="">
                  <v:imagedata r:id="rId243" o:title=""/>
                </v:shape>
                <o:OLEObject Type="Embed" ProgID="Equation.DSMT4" ShapeID="_x0000_i1031" DrawAspect="Content" ObjectID="_1675249193" r:id="rId244"/>
              </w:object>
            </w:r>
            <w:r w:rsidR="00A06F33" w:rsidRPr="009728D2">
              <w:rPr>
                <w:rFonts w:ascii="Times New Roman" w:hAnsi="Times New Roman" w:cs="Times New Roman"/>
                <w:sz w:val="20"/>
                <w:szCs w:val="20"/>
              </w:rPr>
              <w:t xml:space="preserve"> </w:t>
            </w:r>
          </w:p>
        </w:tc>
        <w:tc>
          <w:tcPr>
            <w:tcW w:w="3330" w:type="dxa"/>
            <w:tcBorders>
              <w:top w:val="single" w:sz="2" w:space="0" w:color="948A54" w:themeColor="background2" w:themeShade="80"/>
              <w:bottom w:val="single" w:sz="2" w:space="0" w:color="948A54" w:themeColor="background2" w:themeShade="80"/>
            </w:tcBorders>
            <w:shd w:val="clear" w:color="auto" w:fill="FFFFFF" w:themeFill="background1"/>
          </w:tcPr>
          <w:p w14:paraId="588E6591" w14:textId="019F3769" w:rsidR="00A06F33" w:rsidRPr="009728D2" w:rsidRDefault="00A06F33" w:rsidP="002F2F36">
            <w:pPr>
              <w:rPr>
                <w:rFonts w:ascii="Times New Roman" w:hAnsi="Times New Roman" w:cs="Times New Roman"/>
                <w:sz w:val="20"/>
                <w:szCs w:val="20"/>
              </w:rPr>
            </w:pPr>
            <w:r w:rsidRPr="009728D2">
              <w:rPr>
                <w:rFonts w:ascii="Times New Roman" w:hAnsi="Times New Roman" w:cs="Times New Roman"/>
                <w:sz w:val="20"/>
                <w:szCs w:val="20"/>
              </w:rPr>
              <w:t>Relative infectiousness for each of the three disease categories and treatment categories with respect to smear-positive pulmonary disease</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{"citationID":"6xWoAPLw","properties":{"formattedCitation":"\\super 7\\nosupersub{}","plainCitation":"7","noteIndex":0},"citationItems":[{"id":27169,"uris":["http://zotero.org/users/local/p8g0WsVO/items/RNPEEE8G"],"uri":["http://zotero.org/users/local/p8g0WsVO/items/RNPEEE8G"],"itemData":{"id":27169,"type":"article-journal","abstract":"The Bill and Melinda Gates Foundation supports an ambitious portfolio of novel vaccines, drug regimens, and diagnostic tools for tuberculosis (TB). We elicited the expected efficacies and improvements of the novel interventions in discussions with the foundations managing their development. Using an age-structured mathematical model of TB, we explored the potential benefits of novel interventions under development and those not yet in the portfolio, focusing on the WHO Southeast Asia region. Neonatal vaccination with the portfolio vaccine decreases TB incidence by 39% to 52% by 2050. Drug regimens that shorten treatment duration and are efficacious against drug-resistant strains reduce incidence by 10–27%. New diagnostics reduce incidence by 13–42%. A triple combination of a portfolio vaccine, drug regimen, and diagnostics reduces incidence by 71%. A short mass vaccination catch-up campaign, not yet in the portfolio, to augment the triple combination, accelerates the decrease, preventing &gt;30% more cases by 2050 than just the triple combination. New vaccines and drug regimens targeted at the vast reservoir of latently infected people, not in the portfolio, would reduce incidence by 37% and 82%, respectively. The combination of preventive latent therapy and a 2-month drug treatment regimen reduces incidence by 94%. Novel technologies in the pipeline would achieve substantial reductions in TB incidence, but not the Stop TB Partnership target for elimination. Elimination will require new delivery strategies, such as mass vaccination campaigns, and new products targeted at latently infected people.","container-title":"Proceedings of the National Academy of Sciences","DOI":"10.1073/pnas.0901720106","ISSN":"0027-8424, 1091-6490","issue":"33","journalAbbreviation":"PNAS","language":"en","note":"PMID: 19666590","page":"13980-13985","source":"www.pnas.org","title":"Epidemiological benefits of more-effective tuberculosis vaccines, drugs, and diagnostics","volume":"106","author":[{"family":"Abu-Raddad","given":"Laith J."},{"family":"Sabatelli","given":"Lorenzo"},{"family":"Achterberg","given":"Jerusha T."},{"family":"Sugimoto","given":"Jonathan D."},{"family":"Longini","given":"Ira M."},{"family":"Dye","given":"Christopher"},{"family":"Halloran","given":"M. Elizabeth"}],"issued":{"date-parts":[["2009",8,18]]}}}],"schema":"https://github.com/citation-style-language/schema/raw/master/csl-citation.json"} </w:instrText>
            </w:r>
            <w:r>
              <w:rPr>
                <w:rFonts w:ascii="Times New Roman" w:hAnsi="Times New Roman" w:cs="Times New Roman"/>
                <w:sz w:val="20"/>
                <w:szCs w:val="20"/>
              </w:rPr>
              <w:fldChar w:fldCharType="separate"/>
            </w:r>
            <w:r w:rsidRPr="008D5E01">
              <w:rPr>
                <w:rFonts w:ascii="Times New Roman" w:hAnsi="Times New Roman" w:cs="Times New Roman"/>
                <w:sz w:val="20"/>
                <w:vertAlign w:val="superscript"/>
              </w:rPr>
              <w:t>7</w:t>
            </w:r>
            <w:r>
              <w:rPr>
                <w:rFonts w:ascii="Times New Roman" w:hAnsi="Times New Roman" w:cs="Times New Roman"/>
                <w:sz w:val="20"/>
                <w:szCs w:val="20"/>
              </w:rPr>
              <w:fldChar w:fldCharType="end"/>
            </w:r>
            <w:r w:rsidRPr="008D5E01">
              <w:rPr>
                <w:rFonts w:ascii="Times New Roman" w:hAnsi="Times New Roman" w:cs="Times New Roman"/>
                <w:sz w:val="20"/>
                <w:szCs w:val="20"/>
                <w:vertAlign w:val="superscript"/>
              </w:rPr>
              <w:t>,</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{"citationID":"d5QEbczG","properties":{"formattedCitation":"\\super 13\\nosupersub{}","plainCitation":"13","noteIndex":0},"citationItems":[{"id":28951,"uris":["http://zotero.org/users/local/p8g0WsVO/items/WFDTCE3F"],"uri":["http://zotero.org/users/local/p8g0WsVO/items/WFDTCE3F"],"itemData":{"id":28951,"type":"article-journal","abstract":"Tuberculosis and its recent resurgence are predominantly urban phenomena in the United States, where case rates in large cities are almost two and a half times higher than the national average1. A combination of biologic and social factors has been postulated to account for this situation. In many cities, the number of persons who are immunosuppressed by infection with the human immunodeficiency virus (HIV) and the prevalence of drug-resistant tuberculosis have increased in the face of deteriorating socioeconomic conditions and public systems of health care delivery2. As a result, important changes seem to have occurred in the patterns . . .","container-title":"New England Journal of Medicine","DOI":"10.1056/NEJM199406163302402","ISSN":"0028-4793","issue":"24","note":"publisher: Massachusetts Medical Society\n_eprint: https://doi.org/10.1056/NEJM199406163302402\nPMID: 7910661","page":"1703-1709","source":"Taylor and Francis+NEJM","title":"The Epidemiology of Tuberculosis in San Francisco – A Population-Based Study Using Conventional and Molecular Methods","volume":"330","author":[{"family":"Small","given":"Peter M."},{"family":"Hopewell","given":"Philip C."},{"family":"Singh","given":"Samir P."},{"family":"Paz","given":"Antonio"},{"family":"Parsonnet","given":"Julie"},{"family":"Ruston","given":"Delaney C."},{"family":"Schecter","given":"Gisela F."},{"family":"Daley","given":"Charles L."},{"family":"Schoolnik","given":"Gary K."}],"issued":{"date-parts":[["1994",6,16]]}}}],"schema":"https://github.com/citation-style-language/schema/raw/master/csl-citation.json"} </w:instrText>
            </w:r>
            <w:r>
              <w:rPr>
                <w:rFonts w:ascii="Times New Roman" w:hAnsi="Times New Roman" w:cs="Times New Roman"/>
                <w:sz w:val="20"/>
                <w:szCs w:val="20"/>
              </w:rPr>
              <w:fldChar w:fldCharType="separate"/>
            </w:r>
            <w:r w:rsidRPr="008D5E01">
              <w:rPr>
                <w:rFonts w:ascii="Times New Roman" w:hAnsi="Times New Roman" w:cs="Times New Roman"/>
                <w:sz w:val="20"/>
                <w:vertAlign w:val="superscript"/>
              </w:rPr>
              <w:t>13</w:t>
            </w:r>
            <w:r>
              <w:rPr>
                <w:rFonts w:ascii="Times New Roman" w:hAnsi="Times New Roman" w:cs="Times New Roman"/>
                <w:sz w:val="20"/>
                <w:szCs w:val="20"/>
              </w:rPr>
              <w:fldChar w:fldCharType="end"/>
            </w:r>
            <w:r w:rsidRPr="008D5E01">
              <w:rPr>
                <w:rFonts w:ascii="Times New Roman" w:hAnsi="Times New Roman" w:cs="Times New Roman"/>
                <w:sz w:val="20"/>
                <w:szCs w:val="20"/>
                <w:vertAlign w:val="superscript"/>
              </w:rPr>
              <w:t>,</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{"citationID":"E4sXJM7I","properties":{"formattedCitation":"\\super 14\\nosupersub{}","plainCitation":"14","noteIndex":0},"citationItems":[{"id":28949,"uris":["http://zotero.org/users/local/p8g0WsVO/items/NGFIK7PC"],"uri":["http://zotero.org/users/local/p8g0WsVO/items/NGFIK7PC"],"itemData":{"id":28949,"type":"article-journal","abstract":"BACKGROUND/PURPOSE: A globally increasing trend of type 2 diabetes mellitus (DM), the rising prevalence of tuberculosis (TB) in many countries, and the emergence of multidrug-resistant TB (MDR-TB) in recent years pose a serious challenge for TB control.\nMETHODS: We investigated pulmonary tuberculosis patients with and without type 2 DM (DMTB and TB, respectively) treated at the Chest Hospital, Taiwan, between November 2004 and October 2005.\nRESULTS: One hundred and ninety-two new patients (60 DMTB, 132 TB) were regularly treated for a full course (≥ 6 months) and prospectively followed for more than 1 year. The DMTB patients had more severe infections (far-advanced: 45.0%vs. 22.7%, p &lt; 0.01), higher mycobacterial loads (sputum smear: 2.9 ± 1.3(+)vs. 1.9 ± 1.7(+), p &lt; 0.01), higher treatment failure rates (17%vs. 2%, p &lt; 0.01), and longer delayed clearance of mycobacteria than did the TB patients (2.5 ± 3.0 months vs. 1.6 ± 1.4 months, p &lt; 0.01). After one year, three DMTB patients and one TB patient had MDR-TB (5.0%vs. 0.8%, p = 0.056). Bacterial genotyping revealed that the proportion of mycobacterial strains was not significantly different in DMTB and TB patients (Beijing strain: 46.7%vs. 40.6%, Non-Beijing strain: 53.3%vs. 59.4%, p = 0.632).\nCONCLUSION: DMTB patients have more severe TB infections, which require longer treatment and are more likely to develop MDR-TB than are patients with TB alone.","container-title":"Journal of the Formosan Medical Association = Taiwan Yi Zhi","DOI":"10.1016/S0929-6646(11)60055-7","ISSN":"0929-6646","issue":"6","journalAbbreviation":"J. Formos. Med. Assoc.","language":"eng","note":"PMID: 21741005","page":"372-381","source":"PubMed","title":"Effect of type 2 diabetes mellitus on the clinical severity and treatment outcome in patients with pulmonary tuberculosis: a potential role in the emergence of multidrug-resistance","title-short":"Effect of type 2 diabetes mellitus on the clinical severity and treatment outcome in patients with pulmonary tuberculosis","volume":"110","author":[{"family":"Chang","given":"Jenn-Tyang"},{"family":"Dou","given":"Horng-Yunn"},{"family":"Yen","given":"Chia-Liang"},{"family":"Wu","given":"Ying-Hsun"},{"family":"Huang","given":"Ruay-Ming"},{"family":"Lin","given":"Huey-Juan"},{"family":"Su","given":"Ih-Jen"},{"family":"Shieh","given":"Chi-Chang"}],"issued":{"date-parts":[["2011",6]]}}}],"schema":"https://github.com/citation-style-language/schema/raw/master/csl-citation.json"} </w:instrText>
            </w:r>
            <w:r>
              <w:rPr>
                <w:rFonts w:ascii="Times New Roman" w:hAnsi="Times New Roman" w:cs="Times New Roman"/>
                <w:sz w:val="20"/>
                <w:szCs w:val="20"/>
              </w:rPr>
              <w:fldChar w:fldCharType="separate"/>
            </w:r>
            <w:r w:rsidRPr="008D5E01">
              <w:rPr>
                <w:rFonts w:ascii="Times New Roman" w:hAnsi="Times New Roman" w:cs="Times New Roman"/>
                <w:sz w:val="20"/>
                <w:vertAlign w:val="superscript"/>
              </w:rPr>
              <w:t>14</w:t>
            </w:r>
            <w:r>
              <w:rPr>
                <w:rFonts w:ascii="Times New Roman" w:hAnsi="Times New Roman" w:cs="Times New Roman"/>
                <w:sz w:val="20"/>
                <w:szCs w:val="20"/>
              </w:rPr>
              <w:fldChar w:fldCharType="end"/>
            </w:r>
          </w:p>
        </w:tc>
        <w:tc>
          <w:tcPr>
            <w:tcW w:w="3780" w:type="dxa"/>
            <w:gridSpan w:val="2"/>
            <w:tcBorders>
              <w:top w:val="single" w:sz="2" w:space="0" w:color="948A54" w:themeColor="background2" w:themeShade="80"/>
              <w:bottom w:val="single" w:sz="2" w:space="0" w:color="948A54" w:themeColor="background2" w:themeShade="80"/>
            </w:tcBorders>
            <w:shd w:val="clear" w:color="auto" w:fill="FFFFFF" w:themeFill="background1"/>
          </w:tcPr>
          <w:p w14:paraId="69DB5480" w14:textId="77777777" w:rsidR="00A06F33" w:rsidRPr="009728D2" w:rsidRDefault="0083391B" w:rsidP="00CA6A29">
            <w:pPr>
              <w:jc w:val="center"/>
              <w:rPr>
                <w:rFonts w:ascii="Times New Roman" w:hAnsi="Times New Roman" w:cs="Times New Roman"/>
                <w:sz w:val="20"/>
                <w:szCs w:val="20"/>
              </w:rPr>
            </w:pPr>
            <w:r w:rsidRPr="00CA6A29">
              <w:rPr>
                <w:noProof/>
                <w:position w:val="-94"/>
              </w:rPr>
              <w:object w:dxaOrig="1020" w:dyaOrig="1980" w14:anchorId="7AC917C7">
                <v:shape id="_x0000_i1030" type="#_x0000_t75" alt="" style="width:49.7pt;height:99.45pt;mso-width-percent:0;mso-height-percent:0;mso-width-percent:0;mso-height-percent:0" o:ole="">
                  <v:imagedata r:id="rId245" o:title=""/>
                </v:shape>
                <o:OLEObject Type="Embed" ProgID="Equation.DSMT4" ShapeID="_x0000_i1030" DrawAspect="Content" ObjectID="_1675249194" r:id="rId246"/>
              </w:object>
            </w:r>
          </w:p>
        </w:tc>
      </w:tr>
      <w:tr w:rsidR="00A06F33" w:rsidRPr="009728D2" w14:paraId="16D96537" w14:textId="77777777" w:rsidTr="00284AFA">
        <w:trPr>
          <w:jc w:val="center"/>
        </w:trPr>
        <w:tc>
          <w:tcPr>
            <w:tcW w:w="1170" w:type="dxa"/>
            <w:tcBorders>
              <w:top w:val="single" w:sz="4" w:space="0" w:color="auto"/>
              <w:bottom w:val="single" w:sz="2" w:space="0" w:color="C4BC96" w:themeColor="background2" w:themeShade="BF"/>
            </w:tcBorders>
            <w:shd w:val="clear" w:color="auto" w:fill="FFFFFF" w:themeFill="background1"/>
          </w:tcPr>
          <w:p w14:paraId="3804857F" w14:textId="77777777" w:rsidR="00A06F33" w:rsidRPr="009728D2" w:rsidRDefault="0083391B" w:rsidP="00CA6A29">
            <w:pPr>
              <w:rPr>
                <w:rFonts w:ascii="Times New Roman" w:hAnsi="Times New Roman" w:cs="Times New Roman"/>
                <w:sz w:val="20"/>
                <w:szCs w:val="20"/>
              </w:rPr>
            </w:pPr>
            <w:r w:rsidRPr="00025957">
              <w:rPr>
                <w:noProof/>
                <w:position w:val="-4"/>
              </w:rPr>
              <w:object w:dxaOrig="220" w:dyaOrig="220" w14:anchorId="0222EB6C">
                <v:shape id="_x0000_i1029" type="#_x0000_t75" alt="" style="width:10.3pt;height:10.3pt;mso-width-percent:0;mso-height-percent:0;mso-width-percent:0;mso-height-percent:0" o:ole="">
                  <v:imagedata r:id="rId247" o:title=""/>
                </v:shape>
                <o:OLEObject Type="Embed" ProgID="Equation.DSMT4" ShapeID="_x0000_i1029" DrawAspect="Content" ObjectID="_1675249195" r:id="rId248"/>
              </w:object>
            </w:r>
            <w:r w:rsidR="00A06F33" w:rsidRPr="009728D2">
              <w:rPr>
                <w:rFonts w:ascii="Times New Roman" w:hAnsi="Times New Roman" w:cs="Times New Roman"/>
                <w:sz w:val="20"/>
                <w:szCs w:val="20"/>
              </w:rPr>
              <w:t xml:space="preserve"> </w:t>
            </w:r>
          </w:p>
        </w:tc>
        <w:tc>
          <w:tcPr>
            <w:tcW w:w="3330" w:type="dxa"/>
            <w:tcBorders>
              <w:top w:val="single" w:sz="4" w:space="0" w:color="auto"/>
              <w:bottom w:val="single" w:sz="2" w:space="0" w:color="C4BC96" w:themeColor="background2" w:themeShade="BF"/>
            </w:tcBorders>
            <w:shd w:val="clear" w:color="auto" w:fill="FFFFFF" w:themeFill="background1"/>
          </w:tcPr>
          <w:p w14:paraId="20823108" w14:textId="47DAA768" w:rsidR="00A06F33" w:rsidRPr="009728D2" w:rsidRDefault="00A06F33" w:rsidP="00C74F1F">
            <w:pPr>
              <w:rPr>
                <w:rFonts w:ascii="Times New Roman" w:hAnsi="Times New Roman" w:cs="Times New Roman"/>
                <w:sz w:val="20"/>
                <w:szCs w:val="20"/>
              </w:rPr>
            </w:pPr>
            <w:r w:rsidRPr="009728D2">
              <w:rPr>
                <w:rFonts w:ascii="Times New Roman" w:hAnsi="Times New Roman" w:cs="Times New Roman"/>
                <w:sz w:val="20"/>
                <w:szCs w:val="20"/>
              </w:rPr>
              <w:t>Total population</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{"citationID":"JgzPUhZe","properties":{"formattedCitation":"\\super 3\\nosupersub{}","plainCitation":"3","noteIndex":0},"citationItems":[{"id":28982,"uris":["http://zotero.org/users/local/p8g0WsVO/items/7FJJ8B5G"],"uri":["http://zotero.org/users/local/p8g0WsVO/items/7FJJ8B5G"],"itemData":{"id":28982,"type":"webpage","title":"World Population Prospects - Population Division - United Nations","URL":"https://population.un.org/wpp/Download/Standard/Population/","accessed":{"date-parts":[["2020",10,2]]}}}],"schema":"https://github.com/citation-style-language/schema/raw/master/csl-citation.json"} </w:instrText>
            </w:r>
            <w:r>
              <w:rPr>
                <w:rFonts w:ascii="Times New Roman" w:hAnsi="Times New Roman" w:cs="Times New Roman"/>
                <w:sz w:val="20"/>
                <w:szCs w:val="20"/>
              </w:rPr>
              <w:fldChar w:fldCharType="separate"/>
            </w:r>
            <w:r w:rsidRPr="008D5E01">
              <w:rPr>
                <w:rFonts w:ascii="Times New Roman" w:hAnsi="Times New Roman" w:cs="Times New Roman"/>
                <w:sz w:val="20"/>
                <w:vertAlign w:val="superscript"/>
              </w:rPr>
              <w:t>3</w:t>
            </w:r>
            <w:r>
              <w:rPr>
                <w:rFonts w:ascii="Times New Roman" w:hAnsi="Times New Roman" w:cs="Times New Roman"/>
                <w:sz w:val="20"/>
                <w:szCs w:val="20"/>
              </w:rPr>
              <w:fldChar w:fldCharType="end"/>
            </w:r>
            <w:r w:rsidRPr="009728D2">
              <w:rPr>
                <w:rFonts w:ascii="Times New Roman" w:hAnsi="Times New Roman" w:cs="Times New Roman"/>
                <w:sz w:val="20"/>
                <w:szCs w:val="20"/>
              </w:rPr>
              <w:t xml:space="preserve"> </w:t>
            </w:r>
          </w:p>
        </w:tc>
        <w:tc>
          <w:tcPr>
            <w:tcW w:w="3780" w:type="dxa"/>
            <w:gridSpan w:val="2"/>
            <w:tcBorders>
              <w:top w:val="single" w:sz="4" w:space="0" w:color="auto"/>
              <w:bottom w:val="single" w:sz="2" w:space="0" w:color="C4BC96" w:themeColor="background2" w:themeShade="BF"/>
            </w:tcBorders>
            <w:shd w:val="clear" w:color="auto" w:fill="FFFFFF" w:themeFill="background1"/>
          </w:tcPr>
          <w:p w14:paraId="3D9FB5DB" w14:textId="77777777" w:rsidR="00A06F33" w:rsidRPr="009728D2" w:rsidRDefault="00A06F33">
            <w:pPr>
              <w:rPr>
                <w:rFonts w:ascii="Times New Roman" w:hAnsi="Times New Roman" w:cs="Times New Roman"/>
                <w:sz w:val="20"/>
                <w:szCs w:val="20"/>
              </w:rPr>
            </w:pPr>
            <w:r>
              <w:rPr>
                <w:rFonts w:ascii="Times New Roman" w:hAnsi="Times New Roman" w:cs="Times New Roman"/>
                <w:sz w:val="20"/>
                <w:szCs w:val="20"/>
              </w:rPr>
              <w:t xml:space="preserve">For each year per the </w:t>
            </w:r>
            <w:r w:rsidRPr="00DD7040">
              <w:rPr>
                <w:rFonts w:ascii="Times New Roman" w:hAnsi="Times New Roman" w:cs="Times New Roman"/>
                <w:sz w:val="20"/>
                <w:szCs w:val="20"/>
              </w:rPr>
              <w:t>database of the Population Division of the United Nations Department of Economic and Social Affairs</w:t>
            </w:r>
            <w:r w:rsidRPr="00DD7040" w:rsidDel="00E2033B">
              <w:rPr>
                <w:rFonts w:ascii="Times New Roman" w:hAnsi="Times New Roman" w:cs="Times New Roman"/>
                <w:sz w:val="20"/>
                <w:szCs w:val="20"/>
              </w:rPr>
              <w:t xml:space="preserve"> </w:t>
            </w:r>
          </w:p>
        </w:tc>
      </w:tr>
      <w:tr w:rsidR="00A06F33" w:rsidRPr="009728D2" w14:paraId="406A6CE8" w14:textId="77777777" w:rsidTr="00284AFA">
        <w:trPr>
          <w:jc w:val="center"/>
        </w:trPr>
        <w:tc>
          <w:tcPr>
            <w:tcW w:w="1170" w:type="dxa"/>
            <w:tcBorders>
              <w:top w:val="single" w:sz="2" w:space="0" w:color="C4BC96" w:themeColor="background2" w:themeShade="BF"/>
              <w:bottom w:val="single" w:sz="2" w:space="0" w:color="C4BC96" w:themeColor="background2" w:themeShade="BF"/>
            </w:tcBorders>
            <w:shd w:val="clear" w:color="auto" w:fill="FFFFFF" w:themeFill="background1"/>
          </w:tcPr>
          <w:p w14:paraId="2D0CA335" w14:textId="77777777" w:rsidR="00A06F33" w:rsidRPr="009728D2" w:rsidRDefault="0083391B" w:rsidP="00CA6A29">
            <w:pPr>
              <w:rPr>
                <w:rFonts w:ascii="Times New Roman" w:hAnsi="Times New Roman" w:cs="Times New Roman"/>
                <w:sz w:val="20"/>
                <w:szCs w:val="20"/>
              </w:rPr>
            </w:pPr>
            <w:r w:rsidRPr="00CA6A29">
              <w:rPr>
                <w:noProof/>
                <w:position w:val="-10"/>
              </w:rPr>
              <w:object w:dxaOrig="200" w:dyaOrig="260" w14:anchorId="63DA13F0">
                <v:shape id="_x0000_i1028" type="#_x0000_t75" alt="" style="width:10.3pt;height:12.55pt;mso-width-percent:0;mso-height-percent:0;mso-width-percent:0;mso-height-percent:0" o:ole="">
                  <v:imagedata r:id="rId249" o:title=""/>
                </v:shape>
                <o:OLEObject Type="Embed" ProgID="Equation.DSMT4" ShapeID="_x0000_i1028" DrawAspect="Content" ObjectID="_1675249196" r:id="rId250"/>
              </w:object>
            </w:r>
            <w:r w:rsidR="00A06F33" w:rsidRPr="009728D2">
              <w:rPr>
                <w:rFonts w:ascii="Times New Roman" w:hAnsi="Times New Roman" w:cs="Times New Roman"/>
                <w:sz w:val="20"/>
                <w:szCs w:val="20"/>
              </w:rPr>
              <w:t xml:space="preserve"> </w:t>
            </w:r>
          </w:p>
        </w:tc>
        <w:tc>
          <w:tcPr>
            <w:tcW w:w="3330" w:type="dxa"/>
            <w:tcBorders>
              <w:top w:val="single" w:sz="2" w:space="0" w:color="C4BC96" w:themeColor="background2" w:themeShade="BF"/>
              <w:bottom w:val="single" w:sz="2" w:space="0" w:color="C4BC96" w:themeColor="background2" w:themeShade="BF"/>
            </w:tcBorders>
            <w:shd w:val="clear" w:color="auto" w:fill="FFFFFF" w:themeFill="background1"/>
          </w:tcPr>
          <w:p w14:paraId="58DDF2E2" w14:textId="77777777" w:rsidR="00A06F33" w:rsidRPr="009728D2" w:rsidRDefault="00A06F33" w:rsidP="00C74F1F">
            <w:pPr>
              <w:rPr>
                <w:rFonts w:ascii="Times New Roman" w:hAnsi="Times New Roman" w:cs="Times New Roman"/>
                <w:sz w:val="20"/>
                <w:szCs w:val="20"/>
              </w:rPr>
            </w:pPr>
            <w:r w:rsidRPr="009728D2">
              <w:rPr>
                <w:rFonts w:ascii="Times New Roman" w:hAnsi="Times New Roman" w:cs="Times New Roman"/>
                <w:sz w:val="20"/>
                <w:szCs w:val="20"/>
              </w:rPr>
              <w:t>Birth rate</w:t>
            </w:r>
          </w:p>
        </w:tc>
        <w:tc>
          <w:tcPr>
            <w:tcW w:w="3780" w:type="dxa"/>
            <w:gridSpan w:val="2"/>
            <w:tcBorders>
              <w:top w:val="single" w:sz="2" w:space="0" w:color="C4BC96" w:themeColor="background2" w:themeShade="BF"/>
              <w:bottom w:val="single" w:sz="2" w:space="0" w:color="C4BC96" w:themeColor="background2" w:themeShade="BF"/>
            </w:tcBorders>
            <w:shd w:val="clear" w:color="auto" w:fill="FFFFFF" w:themeFill="background1"/>
          </w:tcPr>
          <w:p w14:paraId="55BB9EA5" w14:textId="77777777" w:rsidR="00A06F33" w:rsidRPr="009728D2" w:rsidRDefault="00A06F33">
            <w:pPr>
              <w:rPr>
                <w:rFonts w:ascii="Times New Roman" w:hAnsi="Times New Roman" w:cs="Times New Roman"/>
                <w:sz w:val="20"/>
                <w:szCs w:val="20"/>
              </w:rPr>
            </w:pPr>
            <w:r w:rsidRPr="009728D2">
              <w:rPr>
                <w:rFonts w:ascii="Times New Roman" w:hAnsi="Times New Roman" w:cs="Times New Roman"/>
                <w:sz w:val="20"/>
                <w:szCs w:val="20"/>
              </w:rPr>
              <w:t xml:space="preserve">Gaussian </w:t>
            </w:r>
            <w:r>
              <w:rPr>
                <w:rFonts w:ascii="Times New Roman" w:hAnsi="Times New Roman" w:cs="Times New Roman"/>
                <w:sz w:val="20"/>
                <w:szCs w:val="20"/>
              </w:rPr>
              <w:t>function</w:t>
            </w:r>
            <w:r w:rsidRPr="009728D2">
              <w:rPr>
                <w:rFonts w:ascii="Times New Roman" w:hAnsi="Times New Roman" w:cs="Times New Roman"/>
                <w:sz w:val="20"/>
                <w:szCs w:val="20"/>
              </w:rPr>
              <w:t xml:space="preserve"> </w:t>
            </w:r>
          </w:p>
        </w:tc>
      </w:tr>
      <w:tr w:rsidR="00A06F33" w:rsidRPr="009728D2" w14:paraId="741C1C8E" w14:textId="77777777" w:rsidTr="00284AFA">
        <w:trPr>
          <w:jc w:val="center"/>
        </w:trPr>
        <w:tc>
          <w:tcPr>
            <w:tcW w:w="1170" w:type="dxa"/>
            <w:tcBorders>
              <w:top w:val="single" w:sz="2" w:space="0" w:color="C4BC96" w:themeColor="background2" w:themeShade="BF"/>
              <w:bottom w:val="single" w:sz="2" w:space="0" w:color="C4BC96" w:themeColor="background2" w:themeShade="BF"/>
            </w:tcBorders>
            <w:shd w:val="clear" w:color="auto" w:fill="FFFFFF" w:themeFill="background1"/>
          </w:tcPr>
          <w:p w14:paraId="4DE0E463" w14:textId="77777777" w:rsidR="00A06F33" w:rsidRPr="009728D2" w:rsidRDefault="0083391B" w:rsidP="00CA6A29">
            <w:pPr>
              <w:rPr>
                <w:rFonts w:ascii="Times New Roman" w:hAnsi="Times New Roman" w:cs="Times New Roman"/>
                <w:sz w:val="20"/>
                <w:szCs w:val="20"/>
              </w:rPr>
            </w:pPr>
            <w:r w:rsidRPr="00CA6A29">
              <w:rPr>
                <w:noProof/>
                <w:position w:val="-10"/>
              </w:rPr>
              <w:object w:dxaOrig="220" w:dyaOrig="240" w14:anchorId="5384C14F">
                <v:shape id="_x0000_i1027" type="#_x0000_t75" alt="" style="width:10.3pt;height:11.45pt;mso-width-percent:0;mso-height-percent:0;mso-width-percent:0;mso-height-percent:0" o:ole="">
                  <v:imagedata r:id="rId251" o:title=""/>
                </v:shape>
                <o:OLEObject Type="Embed" ProgID="Equation.DSMT4" ShapeID="_x0000_i1027" DrawAspect="Content" ObjectID="_1675249197" r:id="rId252"/>
              </w:object>
            </w:r>
            <w:r w:rsidR="00A06F33" w:rsidRPr="009728D2">
              <w:rPr>
                <w:rFonts w:ascii="Times New Roman" w:hAnsi="Times New Roman" w:cs="Times New Roman"/>
                <w:sz w:val="20"/>
                <w:szCs w:val="20"/>
              </w:rPr>
              <w:t xml:space="preserve"> </w:t>
            </w:r>
          </w:p>
        </w:tc>
        <w:tc>
          <w:tcPr>
            <w:tcW w:w="3330" w:type="dxa"/>
            <w:tcBorders>
              <w:top w:val="single" w:sz="2" w:space="0" w:color="C4BC96" w:themeColor="background2" w:themeShade="BF"/>
              <w:bottom w:val="single" w:sz="2" w:space="0" w:color="C4BC96" w:themeColor="background2" w:themeShade="BF"/>
            </w:tcBorders>
            <w:shd w:val="clear" w:color="auto" w:fill="FFFFFF" w:themeFill="background1"/>
          </w:tcPr>
          <w:p w14:paraId="47A67737" w14:textId="77777777" w:rsidR="00A06F33" w:rsidRPr="009728D2" w:rsidRDefault="00A06F33" w:rsidP="00C74F1F">
            <w:pPr>
              <w:rPr>
                <w:rFonts w:ascii="Times New Roman" w:hAnsi="Times New Roman" w:cs="Times New Roman"/>
                <w:sz w:val="20"/>
                <w:szCs w:val="20"/>
              </w:rPr>
            </w:pPr>
            <w:r w:rsidRPr="009728D2">
              <w:rPr>
                <w:rFonts w:ascii="Times New Roman" w:hAnsi="Times New Roman" w:cs="Times New Roman"/>
                <w:sz w:val="20"/>
                <w:szCs w:val="20"/>
              </w:rPr>
              <w:t>Natural mortality rate</w:t>
            </w:r>
          </w:p>
        </w:tc>
        <w:tc>
          <w:tcPr>
            <w:tcW w:w="3780" w:type="dxa"/>
            <w:gridSpan w:val="2"/>
            <w:tcBorders>
              <w:top w:val="single" w:sz="2" w:space="0" w:color="C4BC96" w:themeColor="background2" w:themeShade="BF"/>
              <w:bottom w:val="single" w:sz="2" w:space="0" w:color="C4BC96" w:themeColor="background2" w:themeShade="BF"/>
            </w:tcBorders>
            <w:shd w:val="clear" w:color="auto" w:fill="FFFFFF" w:themeFill="background1"/>
          </w:tcPr>
          <w:p w14:paraId="58385D3C" w14:textId="77777777" w:rsidR="00A06F33" w:rsidRPr="009728D2" w:rsidRDefault="00A06F33">
            <w:pPr>
              <w:rPr>
                <w:rFonts w:ascii="Times New Roman" w:hAnsi="Times New Roman" w:cs="Times New Roman"/>
                <w:sz w:val="20"/>
                <w:szCs w:val="20"/>
              </w:rPr>
            </w:pPr>
            <w:r w:rsidRPr="009728D2">
              <w:rPr>
                <w:rFonts w:ascii="Times New Roman" w:hAnsi="Times New Roman" w:cs="Times New Roman"/>
                <w:sz w:val="20"/>
                <w:szCs w:val="20"/>
              </w:rPr>
              <w:t xml:space="preserve">Combination of logistic and Gaussian </w:t>
            </w:r>
            <w:r>
              <w:rPr>
                <w:rFonts w:ascii="Times New Roman" w:hAnsi="Times New Roman" w:cs="Times New Roman"/>
                <w:sz w:val="20"/>
                <w:szCs w:val="20"/>
              </w:rPr>
              <w:t>functions</w:t>
            </w:r>
          </w:p>
        </w:tc>
      </w:tr>
      <w:tr w:rsidR="00A06F33" w:rsidRPr="009728D2" w14:paraId="3633650A" w14:textId="77777777" w:rsidTr="00284AFA">
        <w:trPr>
          <w:jc w:val="center"/>
        </w:trPr>
        <w:tc>
          <w:tcPr>
            <w:tcW w:w="1170" w:type="dxa"/>
            <w:tcBorders>
              <w:top w:val="single" w:sz="2" w:space="0" w:color="C4BC96" w:themeColor="background2" w:themeShade="BF"/>
              <w:bottom w:val="single" w:sz="2" w:space="0" w:color="C4BC96" w:themeColor="background2" w:themeShade="BF"/>
            </w:tcBorders>
            <w:shd w:val="clear" w:color="auto" w:fill="FFFFFF" w:themeFill="background1"/>
          </w:tcPr>
          <w:p w14:paraId="758075E2" w14:textId="77777777" w:rsidR="00A06F33" w:rsidRPr="009728D2" w:rsidRDefault="0083391B" w:rsidP="00CA6A29">
            <w:pPr>
              <w:jc w:val="both"/>
              <w:rPr>
                <w:rFonts w:ascii="Times New Roman" w:hAnsi="Times New Roman" w:cs="Times New Roman"/>
                <w:sz w:val="20"/>
                <w:szCs w:val="20"/>
              </w:rPr>
            </w:pPr>
            <w:r w:rsidRPr="00CA6A29">
              <w:rPr>
                <w:noProof/>
                <w:position w:val="-6"/>
              </w:rPr>
              <w:object w:dxaOrig="200" w:dyaOrig="260" w14:anchorId="6B3C3F15">
                <v:shape id="_x0000_i1026" type="#_x0000_t75" alt="" style="width:10.3pt;height:12.55pt;mso-width-percent:0;mso-height-percent:0;mso-width-percent:0;mso-height-percent:0" o:ole="">
                  <v:imagedata r:id="rId253" o:title=""/>
                </v:shape>
                <o:OLEObject Type="Embed" ProgID="Equation.DSMT4" ShapeID="_x0000_i1026" DrawAspect="Content" ObjectID="_1675249198" r:id="rId254"/>
              </w:object>
            </w:r>
          </w:p>
        </w:tc>
        <w:tc>
          <w:tcPr>
            <w:tcW w:w="3330" w:type="dxa"/>
            <w:tcBorders>
              <w:top w:val="single" w:sz="2" w:space="0" w:color="C4BC96" w:themeColor="background2" w:themeShade="BF"/>
              <w:bottom w:val="single" w:sz="2" w:space="0" w:color="C4BC96" w:themeColor="background2" w:themeShade="BF"/>
            </w:tcBorders>
            <w:shd w:val="clear" w:color="auto" w:fill="FFFFFF" w:themeFill="background1"/>
          </w:tcPr>
          <w:p w14:paraId="5C375A82" w14:textId="77777777" w:rsidR="00A06F33" w:rsidRPr="009728D2" w:rsidRDefault="00A06F33" w:rsidP="00C74F1F">
            <w:pPr>
              <w:pStyle w:val="Default"/>
              <w:rPr>
                <w:rFonts w:ascii="Times New Roman" w:hAnsi="Times New Roman" w:cs="Times New Roman"/>
                <w:sz w:val="20"/>
                <w:szCs w:val="20"/>
              </w:rPr>
            </w:pPr>
            <w:r w:rsidRPr="009728D2">
              <w:rPr>
                <w:rFonts w:ascii="Times New Roman" w:hAnsi="Times New Roman" w:cs="Times New Roman"/>
                <w:sz w:val="20"/>
                <w:szCs w:val="20"/>
              </w:rPr>
              <w:t xml:space="preserve">Case detection rate per TB disease category </w:t>
            </w:r>
          </w:p>
        </w:tc>
        <w:tc>
          <w:tcPr>
            <w:tcW w:w="3780" w:type="dxa"/>
            <w:gridSpan w:val="2"/>
            <w:tcBorders>
              <w:top w:val="single" w:sz="2" w:space="0" w:color="C4BC96" w:themeColor="background2" w:themeShade="BF"/>
              <w:bottom w:val="single" w:sz="2" w:space="0" w:color="C4BC96" w:themeColor="background2" w:themeShade="BF"/>
            </w:tcBorders>
            <w:shd w:val="clear" w:color="auto" w:fill="FFFFFF" w:themeFill="background1"/>
          </w:tcPr>
          <w:p w14:paraId="52980D5C" w14:textId="77777777" w:rsidR="00A06F33" w:rsidRPr="009728D2" w:rsidRDefault="00A06F33">
            <w:pPr>
              <w:jc w:val="both"/>
              <w:rPr>
                <w:rFonts w:ascii="Times New Roman" w:hAnsi="Times New Roman" w:cs="Times New Roman"/>
                <w:sz w:val="20"/>
                <w:szCs w:val="20"/>
              </w:rPr>
            </w:pPr>
            <w:r w:rsidRPr="009728D2">
              <w:rPr>
                <w:rFonts w:ascii="Times New Roman" w:hAnsi="Times New Roman" w:cs="Times New Roman"/>
                <w:sz w:val="20"/>
                <w:szCs w:val="20"/>
              </w:rPr>
              <w:t xml:space="preserve">Logistic </w:t>
            </w:r>
            <w:r>
              <w:rPr>
                <w:rFonts w:ascii="Times New Roman" w:hAnsi="Times New Roman" w:cs="Times New Roman"/>
                <w:sz w:val="20"/>
                <w:szCs w:val="20"/>
              </w:rPr>
              <w:t>function</w:t>
            </w:r>
          </w:p>
        </w:tc>
      </w:tr>
      <w:tr w:rsidR="00A06F33" w:rsidRPr="009728D2" w14:paraId="5B82283B" w14:textId="77777777" w:rsidTr="00284AFA">
        <w:trPr>
          <w:jc w:val="center"/>
        </w:trPr>
        <w:tc>
          <w:tcPr>
            <w:tcW w:w="1170" w:type="dxa"/>
            <w:tcBorders>
              <w:top w:val="single" w:sz="2" w:space="0" w:color="C4BC96" w:themeColor="background2" w:themeShade="BF"/>
              <w:bottom w:val="single" w:sz="2" w:space="0" w:color="C4BC96" w:themeColor="background2" w:themeShade="BF"/>
            </w:tcBorders>
            <w:shd w:val="clear" w:color="auto" w:fill="FFFFFF" w:themeFill="background1"/>
          </w:tcPr>
          <w:p w14:paraId="6CB7F7F6" w14:textId="77777777" w:rsidR="00A06F33" w:rsidRPr="009728D2" w:rsidRDefault="0083391B" w:rsidP="00CA6A29">
            <w:pPr>
              <w:rPr>
                <w:rFonts w:ascii="Times New Roman" w:hAnsi="Times New Roman" w:cs="Times New Roman"/>
                <w:sz w:val="20"/>
                <w:szCs w:val="20"/>
              </w:rPr>
            </w:pPr>
            <w:r w:rsidRPr="00CA6A29">
              <w:rPr>
                <w:noProof/>
                <w:position w:val="-6"/>
              </w:rPr>
              <w:object w:dxaOrig="200" w:dyaOrig="220" w14:anchorId="7D48C430">
                <v:shape id="_x0000_i1025" type="#_x0000_t75" alt="" style="width:10.3pt;height:10.3pt;mso-width-percent:0;mso-height-percent:0;mso-width-percent:0;mso-height-percent:0" o:ole="">
                  <v:imagedata r:id="rId255" o:title=""/>
                </v:shape>
                <o:OLEObject Type="Embed" ProgID="Equation.DSMT4" ShapeID="_x0000_i1025" DrawAspect="Content" ObjectID="_1675249199" r:id="rId256"/>
              </w:object>
            </w:r>
          </w:p>
        </w:tc>
        <w:tc>
          <w:tcPr>
            <w:tcW w:w="3330" w:type="dxa"/>
            <w:tcBorders>
              <w:top w:val="single" w:sz="2" w:space="0" w:color="C4BC96" w:themeColor="background2" w:themeShade="BF"/>
              <w:bottom w:val="single" w:sz="2" w:space="0" w:color="C4BC96" w:themeColor="background2" w:themeShade="BF"/>
            </w:tcBorders>
            <w:shd w:val="clear" w:color="auto" w:fill="FFFFFF" w:themeFill="background1"/>
          </w:tcPr>
          <w:p w14:paraId="68B09592" w14:textId="77777777" w:rsidR="00A06F33" w:rsidRPr="009728D2" w:rsidRDefault="00A06F33" w:rsidP="00C74F1F">
            <w:pPr>
              <w:pStyle w:val="Default"/>
              <w:rPr>
                <w:rFonts w:ascii="Times New Roman" w:hAnsi="Times New Roman" w:cs="Times New Roman"/>
                <w:sz w:val="20"/>
                <w:szCs w:val="20"/>
              </w:rPr>
            </w:pPr>
            <w:r w:rsidRPr="009728D2">
              <w:rPr>
                <w:rFonts w:ascii="Times New Roman" w:hAnsi="Times New Roman" w:cs="Times New Roman"/>
                <w:sz w:val="20"/>
                <w:szCs w:val="20"/>
              </w:rPr>
              <w:t xml:space="preserve">Respiratory contact rate (per year) </w:t>
            </w:r>
          </w:p>
        </w:tc>
        <w:tc>
          <w:tcPr>
            <w:tcW w:w="3780" w:type="dxa"/>
            <w:gridSpan w:val="2"/>
            <w:tcBorders>
              <w:top w:val="single" w:sz="2" w:space="0" w:color="C4BC96" w:themeColor="background2" w:themeShade="BF"/>
              <w:bottom w:val="single" w:sz="2" w:space="0" w:color="C4BC96" w:themeColor="background2" w:themeShade="BF"/>
            </w:tcBorders>
            <w:shd w:val="clear" w:color="auto" w:fill="FFFFFF" w:themeFill="background1"/>
          </w:tcPr>
          <w:p w14:paraId="5966EFF5" w14:textId="77777777" w:rsidR="00A06F33" w:rsidRPr="009728D2" w:rsidRDefault="00A06F33">
            <w:pPr>
              <w:rPr>
                <w:rFonts w:ascii="Times New Roman" w:hAnsi="Times New Roman" w:cs="Times New Roman"/>
                <w:sz w:val="20"/>
                <w:szCs w:val="20"/>
              </w:rPr>
            </w:pPr>
            <w:r w:rsidRPr="009728D2">
              <w:rPr>
                <w:rFonts w:ascii="Times New Roman" w:hAnsi="Times New Roman" w:cs="Times New Roman"/>
                <w:sz w:val="20"/>
                <w:szCs w:val="20"/>
              </w:rPr>
              <w:t xml:space="preserve">Wood Saxon (logistic </w:t>
            </w:r>
            <w:r>
              <w:rPr>
                <w:rFonts w:ascii="Times New Roman" w:hAnsi="Times New Roman" w:cs="Times New Roman"/>
                <w:sz w:val="20"/>
                <w:szCs w:val="20"/>
              </w:rPr>
              <w:t>function</w:t>
            </w:r>
            <w:r w:rsidRPr="009728D2">
              <w:rPr>
                <w:rFonts w:ascii="Times New Roman" w:hAnsi="Times New Roman" w:cs="Times New Roman"/>
                <w:sz w:val="20"/>
                <w:szCs w:val="20"/>
              </w:rPr>
              <w:t>)</w:t>
            </w:r>
          </w:p>
        </w:tc>
      </w:tr>
    </w:tbl>
    <w:p w14:paraId="2B4E4556" w14:textId="77777777" w:rsidR="008569EB" w:rsidRDefault="000D003D" w:rsidP="00AF0A3B">
      <w:pPr>
        <w:rPr>
          <w:rFonts w:ascii="Times New Roman" w:hAnsi="Times New Roman" w:cs="Times New Roman"/>
          <w:sz w:val="20"/>
          <w:szCs w:val="20"/>
        </w:rPr>
      </w:pPr>
      <w:r w:rsidRPr="009728D2">
        <w:rPr>
          <w:rFonts w:ascii="Times New Roman" w:hAnsi="Times New Roman" w:cs="Times New Roman"/>
          <w:sz w:val="20"/>
          <w:szCs w:val="20"/>
          <w:vertAlign w:val="superscript"/>
        </w:rPr>
        <w:t>#</w:t>
      </w:r>
      <w:r w:rsidRPr="009728D2">
        <w:rPr>
          <w:rFonts w:ascii="Times New Roman" w:hAnsi="Times New Roman" w:cs="Times New Roman"/>
          <w:sz w:val="20"/>
          <w:szCs w:val="20"/>
        </w:rPr>
        <w:t xml:space="preserve">The three clinical categories are smear-positive pulmonary (SP), smear-negative pulmonary (SN), and </w:t>
      </w:r>
      <w:r w:rsidR="0005456F">
        <w:rPr>
          <w:rFonts w:ascii="Times New Roman" w:hAnsi="Times New Roman" w:cs="Times New Roman"/>
          <w:sz w:val="20"/>
          <w:szCs w:val="20"/>
        </w:rPr>
        <w:t>extra</w:t>
      </w:r>
      <w:r w:rsidRPr="009728D2">
        <w:rPr>
          <w:rFonts w:ascii="Times New Roman" w:hAnsi="Times New Roman" w:cs="Times New Roman"/>
          <w:sz w:val="20"/>
          <w:szCs w:val="20"/>
        </w:rPr>
        <w:t>-pulmonary (</w:t>
      </w:r>
      <w:r w:rsidR="0005456F">
        <w:rPr>
          <w:rFonts w:ascii="Times New Roman" w:hAnsi="Times New Roman" w:cs="Times New Roman"/>
          <w:sz w:val="20"/>
          <w:szCs w:val="20"/>
        </w:rPr>
        <w:t>E</w:t>
      </w:r>
      <w:r w:rsidRPr="009728D2">
        <w:rPr>
          <w:rFonts w:ascii="Times New Roman" w:hAnsi="Times New Roman" w:cs="Times New Roman"/>
          <w:sz w:val="20"/>
          <w:szCs w:val="20"/>
        </w:rPr>
        <w:t>P) tuberculosis</w:t>
      </w:r>
      <w:r w:rsidR="005C687D" w:rsidRPr="009728D2">
        <w:rPr>
          <w:rFonts w:ascii="Times New Roman" w:hAnsi="Times New Roman" w:cs="Times New Roman"/>
          <w:sz w:val="20"/>
          <w:szCs w:val="20"/>
        </w:rPr>
        <w:t>.</w:t>
      </w:r>
      <w:r w:rsidR="001F5130" w:rsidRPr="009728D2">
        <w:rPr>
          <w:rFonts w:ascii="Times New Roman" w:hAnsi="Times New Roman" w:cs="Times New Roman"/>
          <w:sz w:val="20"/>
          <w:szCs w:val="20"/>
        </w:rPr>
        <w:t xml:space="preserve"> </w:t>
      </w:r>
      <w:r w:rsidR="005C687D" w:rsidRPr="009728D2">
        <w:rPr>
          <w:rFonts w:ascii="Times New Roman" w:hAnsi="Times New Roman" w:cs="Times New Roman"/>
          <w:i/>
          <w:sz w:val="20"/>
          <w:szCs w:val="20"/>
        </w:rPr>
        <w:t>X</w:t>
      </w:r>
      <w:r w:rsidR="005C687D" w:rsidRPr="009728D2">
        <w:rPr>
          <w:rFonts w:ascii="Times New Roman" w:hAnsi="Times New Roman" w:cs="Times New Roman"/>
          <w:sz w:val="20"/>
          <w:szCs w:val="20"/>
        </w:rPr>
        <w:t xml:space="preserve"> is latent slow (LS) or latent fast (LF).</w:t>
      </w:r>
    </w:p>
    <w:p w14:paraId="4A0155AD" w14:textId="77777777" w:rsidR="008A1522" w:rsidRDefault="008A1522" w:rsidP="008A1522">
      <w:pPr>
        <w:rPr>
          <w:rFonts w:ascii="Times New Roman" w:hAnsi="Times New Roman" w:cs="Times New Roman"/>
          <w:sz w:val="20"/>
          <w:szCs w:val="20"/>
        </w:rPr>
      </w:pPr>
    </w:p>
    <w:p w14:paraId="0A0ACB3C" w14:textId="352AE789" w:rsidR="008569EB" w:rsidRPr="008A1522" w:rsidRDefault="008569EB" w:rsidP="008A1522">
      <w:pPr>
        <w:rPr>
          <w:rFonts w:ascii="Times New Roman" w:hAnsi="Times New Roman" w:cs="Times New Roman"/>
          <w:sz w:val="20"/>
          <w:szCs w:val="20"/>
        </w:rPr>
      </w:pPr>
      <w:r w:rsidRPr="00840827">
        <w:rPr>
          <w:rFonts w:ascii="Times New Roman" w:hAnsi="Times New Roman" w:cs="Times New Roman"/>
          <w:b/>
          <w:sz w:val="24"/>
          <w:szCs w:val="24"/>
        </w:rPr>
        <w:t xml:space="preserve">Section B: </w:t>
      </w:r>
      <w:r w:rsidR="00F81CF4" w:rsidRPr="00840827">
        <w:rPr>
          <w:rFonts w:ascii="Times New Roman" w:hAnsi="Times New Roman" w:cs="Times New Roman"/>
          <w:b/>
          <w:sz w:val="24"/>
          <w:szCs w:val="24"/>
        </w:rPr>
        <w:t>Cause-eliminate</w:t>
      </w:r>
      <w:r w:rsidR="00840827" w:rsidRPr="00840827">
        <w:rPr>
          <w:rFonts w:ascii="Times New Roman" w:hAnsi="Times New Roman" w:cs="Times New Roman"/>
          <w:b/>
          <w:sz w:val="24"/>
          <w:szCs w:val="24"/>
        </w:rPr>
        <w:t>d</w:t>
      </w:r>
      <w:r w:rsidR="00F81CF4" w:rsidRPr="00840827">
        <w:rPr>
          <w:rFonts w:ascii="Times New Roman" w:hAnsi="Times New Roman" w:cs="Times New Roman"/>
          <w:b/>
          <w:sz w:val="24"/>
          <w:szCs w:val="24"/>
        </w:rPr>
        <w:t xml:space="preserve"> Life Expectancy Calculation</w:t>
      </w:r>
    </w:p>
    <w:p w14:paraId="5B237AC3" w14:textId="1A0C1F85" w:rsidR="008569EB" w:rsidRPr="00C6712B" w:rsidRDefault="008569EB" w:rsidP="00D92D8D">
      <w:pPr>
        <w:spacing w:line="360" w:lineRule="auto"/>
        <w:jc w:val="both"/>
        <w:rPr>
          <w:rFonts w:ascii="Times New Roman" w:hAnsi="Times New Roman" w:cs="Times New Roman"/>
        </w:rPr>
      </w:pPr>
      <w:r>
        <w:rPr>
          <w:rFonts w:ascii="Times New Roman" w:hAnsi="Times New Roman" w:cs="Times New Roman"/>
        </w:rPr>
        <w:t>We</w:t>
      </w:r>
      <w:r w:rsidRPr="00C6712B">
        <w:rPr>
          <w:rFonts w:ascii="Times New Roman" w:hAnsi="Times New Roman" w:cs="Times New Roman"/>
        </w:rPr>
        <w:t xml:space="preserve"> first calculated the central death rate </w:t>
      </w: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x</m:t>
            </m:r>
          </m:sub>
        </m:sSub>
        <m:r>
          <w:rPr>
            <w:rFonts w:ascii="Cambria Math" w:hAnsi="Cambria Math" w:cs="Times New Roman"/>
          </w:rPr>
          <m:t xml:space="preserve">) </m:t>
        </m:r>
      </m:oMath>
      <w:r w:rsidRPr="00C6712B">
        <w:rPr>
          <w:rFonts w:ascii="Times New Roman" w:hAnsi="Times New Roman" w:cs="Times New Roman"/>
        </w:rPr>
        <w:t xml:space="preserve">due to all causes, based on the population and deaths by age interval, as a crude rate. </w:t>
      </w:r>
      <w:r w:rsidR="00002841">
        <w:rPr>
          <w:rFonts w:ascii="Times New Roman" w:hAnsi="Times New Roman" w:cs="Times New Roman"/>
        </w:rPr>
        <w:t>We</w:t>
      </w:r>
      <w:r w:rsidRPr="00C6712B">
        <w:rPr>
          <w:rFonts w:ascii="Times New Roman" w:hAnsi="Times New Roman" w:cs="Times New Roman"/>
        </w:rPr>
        <w:t xml:space="preserve"> then calculated the fraction of the age interval lived on average, by those who die in that interval, when all causes are operating </w:t>
      </w: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oMath>
      <w:r w:rsidRPr="00C6712B">
        <w:rPr>
          <w:rFonts w:ascii="Times New Roman" w:hAnsi="Times New Roman" w:cs="Times New Roman"/>
        </w:rPr>
        <w:t xml:space="preserve">. </w:t>
      </w:r>
      <w:r w:rsidR="00002841">
        <w:rPr>
          <w:rFonts w:ascii="Times New Roman" w:hAnsi="Times New Roman" w:cs="Times New Roman"/>
        </w:rPr>
        <w:t>We</w:t>
      </w:r>
      <w:r w:rsidRPr="00C6712B">
        <w:rPr>
          <w:rFonts w:ascii="Times New Roman" w:hAnsi="Times New Roman" w:cs="Times New Roman"/>
        </w:rPr>
        <w:t xml:space="preserve"> then calculated the conditional probabilities of dying by all causes </w:t>
      </w: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x</m:t>
            </m:r>
          </m:sub>
        </m:sSub>
        <m:r>
          <w:rPr>
            <w:rFonts w:ascii="Cambria Math" w:hAnsi="Cambria Math" w:cs="Times New Roman"/>
          </w:rPr>
          <m:t>)</m:t>
        </m:r>
      </m:oMath>
      <w:r w:rsidRPr="00C6712B">
        <w:rPr>
          <w:rFonts w:ascii="Times New Roman" w:hAnsi="Times New Roman" w:cs="Times New Roman"/>
        </w:rPr>
        <w:t xml:space="preserve">, the probability of survival when all causes are operating </w:t>
      </w: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m:t>
            </m:r>
          </m:sub>
        </m:sSub>
        <m:r>
          <w:rPr>
            <w:rFonts w:ascii="Cambria Math" w:hAnsi="Cambria Math" w:cs="Times New Roman"/>
          </w:rPr>
          <m:t>)</m:t>
        </m:r>
      </m:oMath>
      <w:r w:rsidRPr="00C6712B">
        <w:rPr>
          <w:rFonts w:ascii="Times New Roman" w:hAnsi="Times New Roman" w:cs="Times New Roman"/>
        </w:rPr>
        <w:t xml:space="preserve"> and the number of persons reaching each age who will eventually leave the lifetable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m:t>
            </m:r>
          </m:sub>
        </m:sSub>
        <m:r>
          <w:rPr>
            <w:rFonts w:ascii="Cambria Math" w:hAnsi="Cambria Math" w:cs="Times New Roman"/>
          </w:rPr>
          <m:t>)</m:t>
        </m:r>
      </m:oMath>
      <w:r w:rsidRPr="00C6712B">
        <w:rPr>
          <w:rFonts w:ascii="Times New Roman" w:hAnsi="Times New Roman" w:cs="Times New Roman"/>
        </w:rPr>
        <w:t xml:space="preserve">, and the decrements by all causes (assuming a radix of 100,000). Lastly, </w:t>
      </w:r>
      <w:r w:rsidR="00002841">
        <w:rPr>
          <w:rFonts w:ascii="Times New Roman" w:hAnsi="Times New Roman" w:cs="Times New Roman"/>
        </w:rPr>
        <w:t>we</w:t>
      </w:r>
      <w:r w:rsidRPr="00C6712B">
        <w:rPr>
          <w:rFonts w:ascii="Times New Roman" w:hAnsi="Times New Roman" w:cs="Times New Roman"/>
        </w:rPr>
        <w:t xml:space="preserve"> calculated the person-years lived in the age interval due to all causes </w:t>
      </w: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m:t>
            </m:r>
          </m:sub>
        </m:sSub>
        <m:r>
          <w:rPr>
            <w:rFonts w:ascii="Cambria Math" w:hAnsi="Cambria Math" w:cs="Times New Roman"/>
          </w:rPr>
          <m:t>)</m:t>
        </m:r>
      </m:oMath>
      <w:r w:rsidRPr="00C6712B">
        <w:rPr>
          <w:rFonts w:ascii="Times New Roman" w:hAnsi="Times New Roman" w:cs="Times New Roman"/>
        </w:rPr>
        <w:t xml:space="preserve"> and the person-years lived above the age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x</m:t>
            </m:r>
          </m:sub>
        </m:sSub>
        <m:r>
          <w:rPr>
            <w:rFonts w:ascii="Cambria Math" w:hAnsi="Cambria Math" w:cs="Times New Roman"/>
          </w:rPr>
          <m:t>)</m:t>
        </m:r>
      </m:oMath>
      <w:r w:rsidRPr="00C6712B">
        <w:rPr>
          <w:rFonts w:ascii="Times New Roman" w:hAnsi="Times New Roman" w:cs="Times New Roman"/>
        </w:rPr>
        <w:t xml:space="preserve">, based on which  </w:t>
      </w:r>
      <w:r w:rsidR="00002841">
        <w:rPr>
          <w:rFonts w:ascii="Times New Roman" w:hAnsi="Times New Roman" w:cs="Times New Roman"/>
        </w:rPr>
        <w:t xml:space="preserve">we </w:t>
      </w:r>
      <w:r w:rsidRPr="00C6712B">
        <w:rPr>
          <w:rFonts w:ascii="Times New Roman" w:hAnsi="Times New Roman" w:cs="Times New Roman"/>
        </w:rPr>
        <w:t xml:space="preserve">calculated the life expectancy when all causes are operating </w:t>
      </w: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x</m:t>
                </m:r>
              </m:sub>
            </m:sSub>
          </m:e>
        </m:d>
      </m:oMath>
      <w:r w:rsidRPr="00C6712B">
        <w:rPr>
          <w:rFonts w:ascii="Times New Roman" w:hAnsi="Times New Roman" w:cs="Times New Roman"/>
        </w:rPr>
        <w:t>. To summarize:</w:t>
      </w:r>
    </w:p>
    <w:p w14:paraId="7B296CFE" w14:textId="61CB0FD6" w:rsidR="008569EB" w:rsidRPr="00C6712B" w:rsidRDefault="0083391B" w:rsidP="008569EB">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 xml:space="preserve"> </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x</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x</m:t>
                  </m:r>
                </m:sub>
              </m:sSub>
            </m:num>
            <m:den>
              <m:r>
                <w:rPr>
                  <w:rFonts w:ascii="Cambria Math" w:hAnsi="Cambria Math" w:cs="Times New Roman"/>
                </w:rPr>
                <m:t>1+(n-</m:t>
              </m:r>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sPre>
              <m:r>
                <w:rPr>
                  <w:rFonts w:ascii="Cambria Math" w:hAnsi="Cambria Math" w:cs="Times New Roman"/>
                </w:rPr>
                <m:t>)</m:t>
              </m:r>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x</m:t>
                      </m:r>
                    </m:sub>
                  </m:sSub>
                </m:e>
              </m:sPre>
              <m:r>
                <w:rPr>
                  <w:rFonts w:ascii="Cambria Math" w:hAnsi="Cambria Math" w:cs="Times New Roman"/>
                </w:rPr>
                <m:t xml:space="preserve">  </m:t>
              </m:r>
            </m:den>
          </m:f>
          <m:r>
            <w:rPr>
              <w:rFonts w:ascii="Cambria Math" w:hAnsi="Cambria Math" w:cs="Times New Roman"/>
            </w:rPr>
            <m:t xml:space="preserve">                       (1)</m:t>
          </m:r>
        </m:oMath>
      </m:oMathPara>
    </w:p>
    <w:p w14:paraId="7F474A86" w14:textId="77777777" w:rsidR="008569EB" w:rsidRPr="00C6712B" w:rsidRDefault="0083391B" w:rsidP="008569EB">
      <w:pPr>
        <w:jc w:val="both"/>
        <w:rPr>
          <w:rFonts w:ascii="Times New Roman" w:hAnsi="Times New Roman" w:cs="Times New Roman"/>
        </w:rPr>
      </w:pPr>
      <m:oMathPara>
        <m:oMath>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m:t>
                  </m:r>
                </m:sub>
              </m:sSub>
              <m:r>
                <w:rPr>
                  <w:rFonts w:ascii="Cambria Math" w:hAnsi="Cambria Math" w:cs="Times New Roman"/>
                </w:rPr>
                <m:t>=</m:t>
              </m:r>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 xml:space="preserve">x </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m:t>
                      </m:r>
                    </m:sub>
                  </m:sSub>
                </m:e>
              </m:sPre>
            </m:e>
          </m:sPre>
        </m:oMath>
      </m:oMathPara>
    </w:p>
    <w:p w14:paraId="6D02F96D" w14:textId="77777777" w:rsidR="008569EB" w:rsidRPr="001E5875" w:rsidRDefault="0083391B" w:rsidP="008569EB">
      <w:pPr>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m:t>
              </m:r>
            </m:sub>
          </m:sSub>
          <m:r>
            <w:rPr>
              <w:rFonts w:ascii="Cambria Math" w:hAnsi="Cambria Math" w:cs="Times New Roman"/>
            </w:rPr>
            <m:t>-</m:t>
          </m:r>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m:t>
                  </m:r>
                </m:sub>
              </m:sSub>
            </m:e>
          </m:sPre>
        </m:oMath>
      </m:oMathPara>
    </w:p>
    <w:p w14:paraId="2627C974" w14:textId="77777777" w:rsidR="008569EB" w:rsidRPr="001E5875" w:rsidRDefault="0083391B" w:rsidP="008569EB">
      <w:pPr>
        <w:jc w:val="both"/>
        <w:rPr>
          <w:rFonts w:ascii="Times New Roman" w:eastAsiaTheme="minorEastAsia" w:hAnsi="Times New Roman" w:cs="Times New Roman"/>
        </w:rPr>
      </w:pPr>
      <m:oMathPara>
        <m:oMath>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m:t>
                  </m:r>
                </m:sub>
              </m:sSub>
              <m:r>
                <w:rPr>
                  <w:rFonts w:ascii="Cambria Math" w:hAnsi="Cambria Math" w:cs="Times New Roman"/>
                </w:rPr>
                <m:t>=n.</m:t>
              </m:r>
            </m:e>
          </m:sPr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x+n</m:t>
              </m:r>
            </m:sub>
          </m:sSub>
          <m:r>
            <w:rPr>
              <w:rFonts w:ascii="Cambria Math" w:eastAsiaTheme="minorEastAsia" w:hAnsi="Cambria Math" w:cs="Times New Roman"/>
            </w:rPr>
            <m:t>+</m:t>
          </m:r>
          <m:sPre>
            <m:sPrePr>
              <m:ctrlPr>
                <w:rPr>
                  <w:rFonts w:ascii="Cambria Math" w:eastAsiaTheme="minorEastAsia" w:hAnsi="Cambria Math" w:cs="Times New Roman"/>
                  <w:i/>
                </w:rPr>
              </m:ctrlPr>
            </m:sPrePr>
            <m:sub>
              <m:r>
                <w:rPr>
                  <w:rFonts w:ascii="Cambria Math" w:eastAsiaTheme="minorEastAsia" w:hAnsi="Cambria Math" w:cs="Times New Roman"/>
                </w:rPr>
                <m:t>n</m:t>
              </m:r>
            </m:sub>
            <m:sup>
              <m:r>
                <w:rPr>
                  <w:rFonts w:ascii="Cambria Math" w:eastAsiaTheme="minorEastAsia" w:hAnsi="Cambria Math" w:cs="Times New Roman"/>
                </w:rPr>
                <m:t xml:space="preserve"> </m:t>
              </m:r>
            </m:sup>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r>
                <w:rPr>
                  <w:rFonts w:ascii="Cambria Math" w:eastAsiaTheme="minorEastAsia" w:hAnsi="Cambria Math" w:cs="Times New Roman"/>
                </w:rPr>
                <m:t>.</m:t>
              </m:r>
              <m:sPre>
                <m:sPrePr>
                  <m:ctrlPr>
                    <w:rPr>
                      <w:rFonts w:ascii="Cambria Math" w:eastAsiaTheme="minorEastAsia" w:hAnsi="Cambria Math" w:cs="Times New Roman"/>
                      <w:i/>
                    </w:rPr>
                  </m:ctrlPr>
                </m:sPrePr>
                <m:sub>
                  <m:r>
                    <w:rPr>
                      <w:rFonts w:ascii="Cambria Math" w:eastAsiaTheme="minorEastAsia" w:hAnsi="Cambria Math" w:cs="Times New Roman"/>
                    </w:rPr>
                    <m:t>n</m:t>
                  </m:r>
                </m:sub>
                <m:sup>
                  <m:r>
                    <w:rPr>
                      <w:rFonts w:ascii="Cambria Math" w:eastAsiaTheme="minorEastAsia" w:hAnsi="Cambria Math" w:cs="Times New Roman"/>
                    </w:rPr>
                    <m:t xml:space="preserve"> </m:t>
                  </m:r>
                </m:sup>
                <m:e>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x</m:t>
                      </m:r>
                    </m:sub>
                  </m:sSub>
                </m:e>
              </m:sPre>
            </m:e>
          </m:sPre>
        </m:oMath>
      </m:oMathPara>
    </w:p>
    <w:p w14:paraId="5F682E8C" w14:textId="77777777" w:rsidR="008569EB" w:rsidRPr="00C6712B" w:rsidRDefault="008569EB" w:rsidP="001E5875">
      <w:pPr>
        <w:jc w:val="center"/>
        <w:rPr>
          <w:rFonts w:ascii="Times New Roman" w:hAnsi="Times New Roman" w:cs="Times New Roman"/>
        </w:rPr>
      </w:pPr>
      <w:r w:rsidRPr="00C6712B">
        <w:rPr>
          <w:rFonts w:ascii="Times New Roman" w:hAnsi="Times New Roman" w:cs="Times New Roman"/>
        </w:rPr>
        <w:t xml:space="preserve">For the last age interval, </w:t>
      </w:r>
      <w:r w:rsidR="00002841">
        <w:rPr>
          <w:rFonts w:ascii="Times New Roman" w:hAnsi="Times New Roman" w:cs="Times New Roman"/>
        </w:rPr>
        <w:t>we</w:t>
      </w:r>
      <w:r w:rsidRPr="00C6712B">
        <w:rPr>
          <w:rFonts w:ascii="Times New Roman" w:hAnsi="Times New Roman" w:cs="Times New Roman"/>
        </w:rPr>
        <w:t xml:space="preserve"> calculated the following:</w:t>
      </w:r>
    </w:p>
    <w:p w14:paraId="3ACE8EAC" w14:textId="77777777" w:rsidR="008569EB" w:rsidRPr="00C6712B" w:rsidRDefault="0083391B" w:rsidP="008569EB">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ϖ</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x</m:t>
                      </m:r>
                    </m:sub>
                  </m:sSub>
                </m:e>
              </m:sPre>
            </m:den>
          </m:f>
        </m:oMath>
      </m:oMathPara>
    </w:p>
    <w:p w14:paraId="21441FD9" w14:textId="77777777" w:rsidR="008569EB" w:rsidRPr="001E5875" w:rsidRDefault="0083391B" w:rsidP="008569EB">
      <w:pPr>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ϖ</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ϖ</m:t>
              </m:r>
            </m:sub>
          </m:sSub>
          <m:r>
            <w:rPr>
              <w:rFonts w:ascii="Cambria Math" w:eastAsiaTheme="minorEastAsia" w:hAnsi="Cambria Math" w:cs="Times New Roman"/>
            </w:rPr>
            <m:t>.</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ϖ</m:t>
              </m:r>
            </m:sub>
          </m:sSub>
        </m:oMath>
      </m:oMathPara>
    </w:p>
    <w:p w14:paraId="4D86869F" w14:textId="77777777" w:rsidR="008569EB" w:rsidRPr="00C6712B" w:rsidRDefault="008569EB" w:rsidP="001E5875">
      <w:pPr>
        <w:jc w:val="center"/>
        <w:rPr>
          <w:rFonts w:ascii="Times New Roman" w:hAnsi="Times New Roman" w:cs="Times New Roman"/>
        </w:rPr>
      </w:pPr>
      <w:r w:rsidRPr="00C6712B">
        <w:rPr>
          <w:rFonts w:ascii="Times New Roman" w:hAnsi="Times New Roman" w:cs="Times New Roman"/>
        </w:rPr>
        <w:t xml:space="preserve">Populating from the bottom up, </w:t>
      </w:r>
      <w:r w:rsidR="00002841">
        <w:rPr>
          <w:rFonts w:ascii="Times New Roman" w:hAnsi="Times New Roman" w:cs="Times New Roman"/>
        </w:rPr>
        <w:t>we</w:t>
      </w:r>
      <w:r w:rsidRPr="00C6712B">
        <w:rPr>
          <w:rFonts w:ascii="Times New Roman" w:hAnsi="Times New Roman" w:cs="Times New Roman"/>
        </w:rPr>
        <w:t xml:space="preserve"> set:</w:t>
      </w:r>
    </w:p>
    <w:p w14:paraId="3CE763D8" w14:textId="77777777" w:rsidR="008569EB" w:rsidRPr="001E5875" w:rsidRDefault="0083391B" w:rsidP="001E5875">
      <w:pPr>
        <w:jc w:val="center"/>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ϖ</m:t>
            </m:r>
          </m:sub>
        </m:sSub>
        <m:r>
          <w:rPr>
            <w:rFonts w:ascii="Cambria Math" w:hAnsi="Cambria Math" w:cs="Times New Roman"/>
          </w:rPr>
          <m:t>=</m:t>
        </m:r>
      </m:oMath>
      <w:r w:rsidR="008569EB" w:rsidRPr="00C6712B">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ϖ</m:t>
            </m:r>
          </m:sub>
        </m:sSub>
      </m:oMath>
    </w:p>
    <w:p w14:paraId="13EE2665" w14:textId="77777777" w:rsidR="008569EB" w:rsidRPr="00C6712B" w:rsidRDefault="008569EB" w:rsidP="001E5875">
      <w:pPr>
        <w:jc w:val="center"/>
        <w:rPr>
          <w:rFonts w:ascii="Times New Roman" w:hAnsi="Times New Roman" w:cs="Times New Roman"/>
        </w:rPr>
      </w:pPr>
      <w:r w:rsidRPr="00C6712B">
        <w:rPr>
          <w:rFonts w:ascii="Times New Roman" w:hAnsi="Times New Roman" w:cs="Times New Roman"/>
        </w:rPr>
        <w:t>Then calculated:</w:t>
      </w:r>
    </w:p>
    <w:p w14:paraId="3243AAC3" w14:textId="77777777" w:rsidR="008569EB" w:rsidRPr="00C6712B" w:rsidRDefault="0083391B" w:rsidP="008569EB">
      <w:pPr>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x-1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x+n</m:t>
              </m:r>
            </m:sub>
          </m:sSub>
        </m:oMath>
      </m:oMathPara>
    </w:p>
    <w:p w14:paraId="68FACBE9" w14:textId="77777777" w:rsidR="008569EB" w:rsidRPr="00C6712B" w:rsidRDefault="0083391B" w:rsidP="008569EB">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x</m:t>
              </m:r>
            </m:sub>
          </m:sSub>
          <m:r>
            <w:rPr>
              <w:rFonts w:ascii="Cambria Math" w:hAnsi="Cambria Math" w:cs="Times New Roman"/>
            </w:rPr>
            <m:t>=</m:t>
          </m:r>
          <m:f>
            <m:fPr>
              <m:ctrlPr>
                <w:rPr>
                  <w:rFonts w:ascii="Cambria Math" w:eastAsiaTheme="minorEastAsia"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x</m:t>
                  </m:r>
                </m:sub>
              </m:sSub>
              <m:ctrlPr>
                <w:rPr>
                  <w:rFonts w:ascii="Cambria Math" w:hAnsi="Cambria Math" w:cs="Times New Roman"/>
                  <w:i/>
                </w:rPr>
              </m:ctrlPr>
            </m:num>
            <m:den>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m:t>
                  </m:r>
                </m:sub>
              </m:sSub>
            </m:den>
          </m:f>
        </m:oMath>
      </m:oMathPara>
    </w:p>
    <w:p w14:paraId="786D9803" w14:textId="6EABD23E" w:rsidR="008569EB" w:rsidRPr="00C6712B" w:rsidRDefault="00C8056A" w:rsidP="001E5875">
      <w:pPr>
        <w:spacing w:line="360" w:lineRule="auto"/>
        <w:jc w:val="both"/>
        <w:rPr>
          <w:rFonts w:ascii="Times New Roman" w:hAnsi="Times New Roman" w:cs="Times New Roman"/>
        </w:rPr>
      </w:pPr>
      <w:r>
        <w:rPr>
          <w:rFonts w:ascii="Times New Roman" w:hAnsi="Times New Roman" w:cs="Times New Roman"/>
        </w:rPr>
        <w:lastRenderedPageBreak/>
        <w:t>W</w:t>
      </w:r>
      <w:r w:rsidR="00002841">
        <w:rPr>
          <w:rFonts w:ascii="Times New Roman" w:hAnsi="Times New Roman" w:cs="Times New Roman"/>
        </w:rPr>
        <w:t>e</w:t>
      </w:r>
      <w:r w:rsidR="008569EB" w:rsidRPr="00C6712B">
        <w:rPr>
          <w:rFonts w:ascii="Times New Roman" w:hAnsi="Times New Roman" w:cs="Times New Roman"/>
        </w:rPr>
        <w:t xml:space="preserve"> then extended the lifetable by first calculating the proportion of observed deaths in each age interval due to all causes but with reductions in TB deaths </w:t>
      </w:r>
      <m:oMath>
        <m:d>
          <m:dPr>
            <m:ctrlPr>
              <w:rPr>
                <w:rFonts w:ascii="Cambria Math" w:hAnsi="Cambria Math" w:cs="Times New Roman"/>
                <w:i/>
              </w:rPr>
            </m:ctrlPr>
          </m:dPr>
          <m:e>
            <m:r>
              <w:rPr>
                <w:rFonts w:ascii="Cambria Math" w:hAnsi="Cambria Math" w:cs="Times New Roman"/>
              </w:rPr>
              <m:t>R</m:t>
            </m:r>
          </m:e>
        </m:d>
      </m:oMath>
      <w:r w:rsidR="008569EB" w:rsidRPr="00C6712B">
        <w:rPr>
          <w:rFonts w:ascii="Times New Roman" w:eastAsiaTheme="minorEastAsia" w:hAnsi="Times New Roman" w:cs="Times New Roman"/>
        </w:rPr>
        <w:t xml:space="preserve"> corresponding to the scenarios considered</w:t>
      </w:r>
      <w:r w:rsidR="008569EB" w:rsidRPr="00C6712B">
        <w:rPr>
          <w:rFonts w:ascii="Times New Roman" w:hAnsi="Times New Roman" w:cs="Times New Roman"/>
        </w:rPr>
        <w:t xml:space="preserve">. </w:t>
      </w:r>
      <w:r w:rsidR="00002841">
        <w:rPr>
          <w:rFonts w:ascii="Times New Roman" w:hAnsi="Times New Roman" w:cs="Times New Roman"/>
        </w:rPr>
        <w:t>We</w:t>
      </w:r>
      <w:r w:rsidR="008569EB" w:rsidRPr="00C6712B">
        <w:rPr>
          <w:rFonts w:ascii="Times New Roman" w:hAnsi="Times New Roman" w:cs="Times New Roman"/>
        </w:rPr>
        <w:t xml:space="preserve"> calculated the probability of survival </w:t>
      </w: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 (-TB)</m:t>
            </m:r>
          </m:sub>
        </m:sSub>
        <m:r>
          <w:rPr>
            <w:rFonts w:ascii="Cambria Math" w:hAnsi="Cambria Math" w:cs="Times New Roman"/>
          </w:rPr>
          <m:t>)</m:t>
        </m:r>
      </m:oMath>
      <w:r w:rsidR="008569EB" w:rsidRPr="00C6712B">
        <w:rPr>
          <w:rFonts w:ascii="Times New Roman" w:hAnsi="Times New Roman" w:cs="Times New Roman"/>
        </w:rPr>
        <w:t xml:space="preserve">, the number of persons reaching each age who will eventually leave the lifetable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 (-TB)</m:t>
            </m:r>
          </m:sub>
        </m:sSub>
        <m:r>
          <w:rPr>
            <w:rFonts w:ascii="Cambria Math" w:hAnsi="Cambria Math" w:cs="Times New Roman"/>
          </w:rPr>
          <m:t>)</m:t>
        </m:r>
      </m:oMath>
      <w:r w:rsidR="008569EB" w:rsidRPr="00C6712B">
        <w:rPr>
          <w:rFonts w:ascii="Times New Roman" w:hAnsi="Times New Roman" w:cs="Times New Roman"/>
        </w:rPr>
        <w:t xml:space="preserve">, the decrements due to reduced TB mortality </w:t>
      </w: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 (-TB)</m:t>
            </m:r>
          </m:sub>
        </m:sSub>
        <m:r>
          <w:rPr>
            <w:rFonts w:ascii="Cambria Math" w:hAnsi="Cambria Math" w:cs="Times New Roman"/>
          </w:rPr>
          <m:t>)</m:t>
        </m:r>
      </m:oMath>
      <w:r w:rsidR="008569EB" w:rsidRPr="00C6712B">
        <w:rPr>
          <w:rFonts w:ascii="Times New Roman" w:hAnsi="Times New Roman" w:cs="Times New Roman"/>
        </w:rPr>
        <w:t xml:space="preserve">, the conditional probabilities of dying </w:t>
      </w: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x, (-TB)</m:t>
            </m:r>
          </m:sub>
        </m:sSub>
        <m:r>
          <w:rPr>
            <w:rFonts w:ascii="Cambria Math" w:hAnsi="Cambria Math" w:cs="Times New Roman"/>
          </w:rPr>
          <m:t>)</m:t>
        </m:r>
      </m:oMath>
      <w:r w:rsidR="008569EB" w:rsidRPr="00C6712B">
        <w:rPr>
          <w:rFonts w:ascii="Times New Roman" w:hAnsi="Times New Roman" w:cs="Times New Roman"/>
        </w:rPr>
        <w:t xml:space="preserve">, and the fraction of the age interval lived on average by those who die in that interval </w:t>
      </w: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 (-TB)</m:t>
            </m:r>
          </m:sub>
        </m:sSub>
        <m:r>
          <w:rPr>
            <w:rFonts w:ascii="Cambria Math" w:hAnsi="Cambria Math" w:cs="Times New Roman"/>
          </w:rPr>
          <m:t>)</m:t>
        </m:r>
      </m:oMath>
      <w:r w:rsidR="008569EB" w:rsidRPr="00C6712B">
        <w:rPr>
          <w:rFonts w:ascii="Times New Roman" w:hAnsi="Times New Roman" w:cs="Times New Roman"/>
        </w:rPr>
        <w:t xml:space="preserve">. Based on those parameters, </w:t>
      </w:r>
      <w:r w:rsidR="00002841">
        <w:rPr>
          <w:rFonts w:ascii="Times New Roman" w:hAnsi="Times New Roman" w:cs="Times New Roman"/>
        </w:rPr>
        <w:t>we</w:t>
      </w:r>
      <w:r w:rsidR="008569EB" w:rsidRPr="00C6712B">
        <w:rPr>
          <w:rFonts w:ascii="Times New Roman" w:hAnsi="Times New Roman" w:cs="Times New Roman"/>
        </w:rPr>
        <w:t xml:space="preserve"> calculated the person-years lived in the age interval </w:t>
      </w: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x,(-TB)</m:t>
            </m:r>
          </m:sub>
        </m:sSub>
        <m:r>
          <w:rPr>
            <w:rFonts w:ascii="Cambria Math" w:hAnsi="Cambria Math" w:cs="Times New Roman"/>
          </w:rPr>
          <m:t>)</m:t>
        </m:r>
      </m:oMath>
      <w:r w:rsidR="008569EB" w:rsidRPr="00C6712B">
        <w:rPr>
          <w:rFonts w:ascii="Times New Roman" w:hAnsi="Times New Roman" w:cs="Times New Roman"/>
        </w:rPr>
        <w:t xml:space="preserve"> and the person-years lived above the age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x, (-TB)</m:t>
            </m:r>
          </m:sub>
        </m:sSub>
        <m:r>
          <w:rPr>
            <w:rFonts w:ascii="Cambria Math" w:hAnsi="Cambria Math" w:cs="Times New Roman"/>
          </w:rPr>
          <m:t>)</m:t>
        </m:r>
      </m:oMath>
      <w:r w:rsidR="008569EB" w:rsidRPr="00C6712B">
        <w:rPr>
          <w:rFonts w:ascii="Times New Roman" w:hAnsi="Times New Roman" w:cs="Times New Roman"/>
        </w:rPr>
        <w:t xml:space="preserve">, based on which </w:t>
      </w:r>
      <w:r w:rsidR="00002841">
        <w:rPr>
          <w:rFonts w:ascii="Times New Roman" w:hAnsi="Times New Roman" w:cs="Times New Roman"/>
        </w:rPr>
        <w:t>we</w:t>
      </w:r>
      <w:r w:rsidR="008569EB" w:rsidRPr="00C6712B">
        <w:rPr>
          <w:rFonts w:ascii="Times New Roman" w:hAnsi="Times New Roman" w:cs="Times New Roman"/>
        </w:rPr>
        <w:t xml:space="preserve"> calculated the life expectancies </w:t>
      </w: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x(-TB)</m:t>
                </m:r>
              </m:sub>
            </m:sSub>
          </m:e>
        </m:d>
      </m:oMath>
      <w:r w:rsidR="008569EB" w:rsidRPr="00C6712B">
        <w:rPr>
          <w:rFonts w:ascii="Times New Roman" w:hAnsi="Times New Roman" w:cs="Times New Roman"/>
        </w:rPr>
        <w:t xml:space="preserve"> for the scenarios</w:t>
      </w:r>
      <w:r w:rsidR="008569EB" w:rsidRPr="00C6712B">
        <w:rPr>
          <w:rFonts w:ascii="Times New Roman" w:hAnsi="Times New Roman" w:cs="Times New Roman"/>
        </w:rPr>
        <w:fldChar w:fldCharType="begin"/>
      </w:r>
      <w:r w:rsidR="008D5E01">
        <w:rPr>
          <w:rFonts w:ascii="Times New Roman" w:hAnsi="Times New Roman" w:cs="Times New Roman"/>
        </w:rPr>
        <w:instrText xml:space="preserve"> ADDIN ZOTERO_ITEM CSL_CITATION {"citationID":"am99jrorhc","properties":{"formattedCitation":"\\super 15\\nosupersub{}","plainCitation":"15","noteIndex":0},"citationItems":[{"id":27469,"uris":["http://zotero.org/users/local/p8g0WsVO/items/K4BL4ZI8"],"uri":["http://zotero.org/users/local/p8g0WsVO/items/K4BL4ZI8"],"itemData":{"id":27469,"type":"book","abstract":"This book presents and develops the basic methods and models that are used by demographers to study the behaviour of human populations. The procedures are clearly and concisely developed from first principles and extensive applications are presented.","edition":"1 edition","event-place":"Malden, MA","ISBN":"978-1-55786-451-2","language":"English","number-of-pages":"308","publisher":"Wiley-Blackwell","publisher-place":"Malden, MA","source":"Amazon","title":"Demography: Measuring and Modeling Population Processes","title-short":"Demography","author":[{"family":"Preston","given":"Samuel"},{"family":"Heuveline","given":"Patrick"},{"family":"Guillot","given":"Michel"}],"issued":{"date-parts":[["2000",10,3]]}}}],"schema":"https://github.com/citation-style-language/schema/raw/master/csl-citation.json"} </w:instrText>
      </w:r>
      <w:r w:rsidR="008569EB" w:rsidRPr="00C6712B">
        <w:rPr>
          <w:rFonts w:ascii="Times New Roman" w:hAnsi="Times New Roman" w:cs="Times New Roman"/>
        </w:rPr>
        <w:fldChar w:fldCharType="separate"/>
      </w:r>
      <w:r w:rsidR="008D5E01" w:rsidRPr="008D5E01">
        <w:rPr>
          <w:rFonts w:ascii="Times New Roman" w:hAnsi="Times New Roman" w:cs="Times New Roman"/>
          <w:vertAlign w:val="superscript"/>
        </w:rPr>
        <w:t>15</w:t>
      </w:r>
      <w:r w:rsidR="008569EB" w:rsidRPr="00C6712B">
        <w:rPr>
          <w:rFonts w:ascii="Times New Roman" w:hAnsi="Times New Roman" w:cs="Times New Roman"/>
        </w:rPr>
        <w:fldChar w:fldCharType="end"/>
      </w:r>
      <w:r w:rsidR="008569EB" w:rsidRPr="00C6712B">
        <w:rPr>
          <w:rFonts w:ascii="Times New Roman" w:hAnsi="Times New Roman" w:cs="Times New Roman"/>
        </w:rPr>
        <w:t xml:space="preserve">. </w:t>
      </w:r>
      <w:r w:rsidR="00002841">
        <w:rPr>
          <w:rFonts w:ascii="Times New Roman" w:hAnsi="Times New Roman" w:cs="Times New Roman"/>
        </w:rPr>
        <w:t>We</w:t>
      </w:r>
      <w:r w:rsidR="008569EB" w:rsidRPr="00C6712B">
        <w:rPr>
          <w:rFonts w:ascii="Times New Roman" w:hAnsi="Times New Roman" w:cs="Times New Roman"/>
        </w:rPr>
        <w:t xml:space="preserve"> calculated the difference in life expectancies </w:t>
      </w: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x</m:t>
                </m:r>
              </m:sub>
            </m:sSub>
          </m:e>
        </m:d>
      </m:oMath>
      <w:r w:rsidR="008569EB" w:rsidRPr="00C6712B">
        <w:rPr>
          <w:rFonts w:ascii="Times New Roman" w:hAnsi="Times New Roman" w:cs="Times New Roman"/>
        </w:rPr>
        <w:t xml:space="preserve"> between the </w:t>
      </w:r>
      <w:r w:rsidR="00274516">
        <w:rPr>
          <w:rFonts w:ascii="Times New Roman" w:hAnsi="Times New Roman" w:cs="Times New Roman"/>
        </w:rPr>
        <w:t xml:space="preserve">counterfactual </w:t>
      </w:r>
      <w:r w:rsidR="008569EB" w:rsidRPr="00C6712B">
        <w:rPr>
          <w:rFonts w:ascii="Times New Roman" w:hAnsi="Times New Roman" w:cs="Times New Roman"/>
        </w:rPr>
        <w:t xml:space="preserve">scenario and the </w:t>
      </w:r>
      <w:r w:rsidR="00274516">
        <w:rPr>
          <w:rFonts w:ascii="Times New Roman" w:hAnsi="Times New Roman" w:cs="Times New Roman"/>
        </w:rPr>
        <w:t>vaccination</w:t>
      </w:r>
      <w:r w:rsidR="008569EB" w:rsidRPr="00C6712B">
        <w:rPr>
          <w:rFonts w:ascii="Times New Roman" w:hAnsi="Times New Roman" w:cs="Times New Roman"/>
        </w:rPr>
        <w:t xml:space="preserve"> scenario.</w:t>
      </w:r>
    </w:p>
    <w:p w14:paraId="1F6D9A49" w14:textId="4B356B9A" w:rsidR="008569EB" w:rsidRPr="001E5875" w:rsidRDefault="008569EB" w:rsidP="008569EB">
      <w:pPr>
        <w:jc w:val="both"/>
        <w:rPr>
          <w:rFonts w:ascii="Times New Roman" w:hAnsi="Times New Roman" w:cs="Times New Roman"/>
        </w:rPr>
      </w:pPr>
      <m:oMathPara>
        <m:oMath>
          <m:r>
            <w:rPr>
              <w:rFonts w:ascii="Cambria Math" w:hAnsi="Cambria Math" w:cs="Times New Roman"/>
            </w:rPr>
            <m:t>R=(</m:t>
          </m:r>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m:t>
                  </m:r>
                </m:sub>
              </m:sSub>
            </m:e>
          </m:sPre>
          <m:r>
            <w:rPr>
              <w:rFonts w:ascii="Cambria Math" w:hAnsi="Cambria Math" w:cs="Times New Roman"/>
            </w:rPr>
            <m:t>-</m:t>
          </m:r>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m:t>
                  </m:r>
                  <m:d>
                    <m:dPr>
                      <m:ctrlPr>
                        <w:rPr>
                          <w:rFonts w:ascii="Cambria Math" w:hAnsi="Cambria Math" w:cs="Times New Roman"/>
                          <w:i/>
                        </w:rPr>
                      </m:ctrlPr>
                    </m:dPr>
                    <m:e>
                      <m:r>
                        <w:rPr>
                          <w:rFonts w:ascii="Cambria Math" w:hAnsi="Cambria Math" w:cs="Times New Roman"/>
                        </w:rPr>
                        <m:t>-TB</m:t>
                      </m:r>
                    </m:e>
                  </m:d>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 xml:space="preserve">1 </m:t>
                  </m:r>
                </m:num>
                <m:den>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m:t>
                          </m:r>
                        </m:sub>
                      </m:sSub>
                    </m:e>
                  </m:sPre>
                </m:den>
              </m:f>
            </m:e>
          </m:sPre>
          <m:r>
            <w:rPr>
              <w:rFonts w:ascii="Cambria Math" w:hAnsi="Cambria Math" w:cs="Times New Roman"/>
            </w:rPr>
            <m:t xml:space="preserve">                       (2)</m:t>
          </m:r>
        </m:oMath>
      </m:oMathPara>
    </w:p>
    <w:p w14:paraId="4AC4AB46" w14:textId="77777777" w:rsidR="008569EB" w:rsidRPr="00C6712B" w:rsidRDefault="0083391B" w:rsidP="001E5875">
      <w:pPr>
        <w:jc w:val="both"/>
        <w:rPr>
          <w:rFonts w:ascii="Times New Roman" w:hAnsi="Times New Roman" w:cs="Times New Roman"/>
        </w:rPr>
      </w:pPr>
      <m:oMathPara>
        <m:oMath>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m:t>
                  </m:r>
                </m:sub>
              </m:sSub>
              <m:r>
                <w:rPr>
                  <w:rFonts w:ascii="Cambria Math" w:hAnsi="Cambria Math" w:cs="Times New Roman"/>
                </w:rPr>
                <m:t>=1-</m:t>
              </m:r>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x</m:t>
                      </m:r>
                    </m:sub>
                  </m:sSub>
                </m:e>
              </m:sPre>
            </m:e>
          </m:sPre>
        </m:oMath>
      </m:oMathPara>
    </w:p>
    <w:p w14:paraId="75EB8494" w14:textId="77777777" w:rsidR="008569EB" w:rsidRPr="00C6712B" w:rsidRDefault="0083391B" w:rsidP="001E5875">
      <w:pPr>
        <w:rPr>
          <w:rFonts w:ascii="Times New Roman" w:hAnsi="Times New Roman" w:cs="Times New Roman"/>
        </w:rPr>
      </w:pPr>
      <m:oMathPara>
        <m:oMath>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x(-TB)</m:t>
                  </m:r>
                </m:sub>
              </m:sSub>
            </m:e>
          </m:sPre>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m:t>
                          </m:r>
                        </m:sub>
                      </m:sSub>
                    </m:e>
                  </m:sPre>
                </m:e>
              </m:d>
            </m:e>
            <m:sup>
              <m:r>
                <w:rPr>
                  <w:rFonts w:ascii="Cambria Math" w:hAnsi="Cambria Math" w:cs="Times New Roman"/>
                </w:rPr>
                <m:t>R</m:t>
              </m:r>
            </m:sup>
          </m:sSup>
        </m:oMath>
      </m:oMathPara>
    </w:p>
    <w:p w14:paraId="674A0E09" w14:textId="77777777" w:rsidR="008569EB" w:rsidRPr="00C6712B" w:rsidRDefault="00002841" w:rsidP="001E5875">
      <w:pPr>
        <w:jc w:val="center"/>
        <w:rPr>
          <w:rFonts w:ascii="Times New Roman" w:hAnsi="Times New Roman" w:cs="Times New Roman"/>
        </w:rPr>
      </w:pPr>
      <w:r>
        <w:rPr>
          <w:rFonts w:ascii="Times New Roman" w:hAnsi="Times New Roman" w:cs="Times New Roman"/>
        </w:rPr>
        <w:t>We</w:t>
      </w:r>
      <w:r w:rsidR="008569EB" w:rsidRPr="00C6712B">
        <w:rPr>
          <w:rFonts w:ascii="Times New Roman" w:hAnsi="Times New Roman" w:cs="Times New Roman"/>
        </w:rPr>
        <w:t xml:space="preserve"> started with a radix of 100,000 and calculated:</w:t>
      </w:r>
    </w:p>
    <w:p w14:paraId="1F095B3E" w14:textId="77777777" w:rsidR="008569EB" w:rsidRPr="001E5875" w:rsidRDefault="0083391B" w:rsidP="008569EB">
      <w:pPr>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x+n(-TB)</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m:t>
              </m:r>
              <m:d>
                <m:dPr>
                  <m:ctrlPr>
                    <w:rPr>
                      <w:rFonts w:ascii="Cambria Math" w:hAnsi="Cambria Math" w:cs="Times New Roman"/>
                      <w:i/>
                    </w:rPr>
                  </m:ctrlPr>
                </m:dPr>
                <m:e>
                  <m:r>
                    <w:rPr>
                      <w:rFonts w:ascii="Cambria Math" w:hAnsi="Cambria Math" w:cs="Times New Roman"/>
                    </w:rPr>
                    <m:t>-TB</m:t>
                  </m:r>
                </m:e>
              </m:d>
            </m:sub>
          </m:sSub>
          <m:r>
            <w:rPr>
              <w:rFonts w:ascii="Cambria Math" w:hAnsi="Cambria Math" w:cs="Times New Roman"/>
            </w:rPr>
            <m:t>*</m:t>
          </m:r>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x(-TB)</m:t>
                  </m:r>
                </m:sub>
              </m:sSub>
            </m:e>
          </m:sPre>
        </m:oMath>
      </m:oMathPara>
    </w:p>
    <w:p w14:paraId="44FE298C" w14:textId="77777777" w:rsidR="008569EB" w:rsidRPr="00C6712B" w:rsidRDefault="0083391B" w:rsidP="008569EB">
      <w:pPr>
        <w:jc w:val="both"/>
        <w:rPr>
          <w:rFonts w:ascii="Times New Roman" w:hAnsi="Times New Roman" w:cs="Times New Roman"/>
        </w:rPr>
      </w:pPr>
      <m:oMathPara>
        <m:oMath>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x(-TB)</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x(-TB)</m:t>
                  </m:r>
                </m:sub>
              </m:sSub>
              <m:r>
                <w:rPr>
                  <w:rFonts w:ascii="Cambria Math" w:hAnsi="Cambria Math" w:cs="Times New Roman"/>
                </w:rPr>
                <m:t>-</m:t>
              </m:r>
            </m:e>
          </m:sPr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x+n(-TB)</m:t>
              </m:r>
            </m:sub>
          </m:sSub>
        </m:oMath>
      </m:oMathPara>
    </w:p>
    <w:p w14:paraId="658CB966" w14:textId="77777777" w:rsidR="008569EB" w:rsidRPr="00C6712B" w:rsidRDefault="0083391B" w:rsidP="008569EB">
      <w:pPr>
        <w:jc w:val="both"/>
        <w:rPr>
          <w:rFonts w:ascii="Times New Roman" w:hAnsi="Times New Roman" w:cs="Times New Roman"/>
        </w:rPr>
      </w:pPr>
      <m:oMathPara>
        <m:oMath>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x(-TB)</m:t>
                  </m:r>
                </m:sub>
              </m:sSub>
              <m:r>
                <w:rPr>
                  <w:rFonts w:ascii="Cambria Math" w:hAnsi="Cambria Math" w:cs="Times New Roman"/>
                </w:rPr>
                <m:t>=</m:t>
              </m:r>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d</m:t>
                      </m:r>
                    </m:e>
                    <m:sub>
                      <m:f>
                        <m:fPr>
                          <m:ctrlPr>
                            <w:rPr>
                              <w:rFonts w:ascii="Cambria Math" w:hAnsi="Cambria Math" w:cs="Times New Roman"/>
                              <w:i/>
                            </w:rPr>
                          </m:ctrlPr>
                        </m:fPr>
                        <m:num>
                          <m:r>
                            <w:rPr>
                              <w:rFonts w:ascii="Cambria Math" w:hAnsi="Cambria Math" w:cs="Times New Roman"/>
                            </w:rPr>
                            <m:t>x</m:t>
                          </m:r>
                          <m:d>
                            <m:dPr>
                              <m:ctrlPr>
                                <w:rPr>
                                  <w:rFonts w:ascii="Cambria Math" w:hAnsi="Cambria Math" w:cs="Times New Roman"/>
                                  <w:i/>
                                </w:rPr>
                              </m:ctrlPr>
                            </m:dPr>
                            <m:e>
                              <m:r>
                                <w:rPr>
                                  <w:rFonts w:ascii="Cambria Math" w:hAnsi="Cambria Math" w:cs="Times New Roman"/>
                                </w:rPr>
                                <m:t>-TB</m:t>
                              </m:r>
                            </m:e>
                          </m:d>
                        </m:num>
                        <m:den>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x(-TB)</m:t>
                              </m:r>
                            </m:sub>
                          </m:sSub>
                        </m:den>
                      </m:f>
                    </m:sub>
                  </m:sSub>
                </m:e>
              </m:sPre>
            </m:e>
          </m:sPre>
        </m:oMath>
      </m:oMathPara>
    </w:p>
    <w:p w14:paraId="62B15A37" w14:textId="77777777" w:rsidR="008569EB" w:rsidRPr="00C6712B" w:rsidRDefault="0083391B" w:rsidP="008569EB">
      <w:pPr>
        <w:jc w:val="both"/>
        <w:rPr>
          <w:rFonts w:ascii="Times New Roman" w:eastAsiaTheme="minorEastAsia" w:hAnsi="Times New Roman" w:cs="Times New Roman"/>
        </w:rPr>
      </w:pPr>
      <m:oMathPara>
        <m:oMath>
          <m:sPre>
            <m:sPrePr>
              <m:ctrlPr>
                <w:rPr>
                  <w:rFonts w:ascii="Cambria Math" w:eastAsiaTheme="minorEastAsia" w:hAnsi="Cambria Math" w:cs="Times New Roman"/>
                  <w:i/>
                </w:rPr>
              </m:ctrlPr>
            </m:sPrePr>
            <m:sub>
              <m:r>
                <w:rPr>
                  <w:rFonts w:ascii="Cambria Math" w:eastAsiaTheme="minorEastAsia" w:hAnsi="Cambria Math" w:cs="Times New Roman"/>
                </w:rPr>
                <m:t>n</m:t>
              </m:r>
            </m:sub>
            <m:sup>
              <m:r>
                <w:rPr>
                  <w:rFonts w:ascii="Cambria Math" w:eastAsiaTheme="minorEastAsia" w:hAnsi="Cambria Math" w:cs="Times New Roman"/>
                </w:rPr>
                <m:t xml:space="preserve"> </m:t>
              </m:r>
            </m:sup>
            <m:e>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x</m:t>
                  </m:r>
                  <m:d>
                    <m:dPr>
                      <m:ctrlPr>
                        <w:rPr>
                          <w:rFonts w:ascii="Cambria Math" w:eastAsiaTheme="minorEastAsia" w:hAnsi="Cambria Math" w:cs="Times New Roman"/>
                          <w:i/>
                        </w:rPr>
                      </m:ctrlPr>
                    </m:dPr>
                    <m:e>
                      <m:r>
                        <w:rPr>
                          <w:rFonts w:ascii="Cambria Math" w:eastAsiaTheme="minorEastAsia" w:hAnsi="Cambria Math" w:cs="Times New Roman"/>
                        </w:rPr>
                        <m:t>-TB</m:t>
                      </m:r>
                    </m:e>
                  </m:d>
                </m:sub>
              </m:sSub>
              <m:r>
                <w:rPr>
                  <w:rFonts w:ascii="Cambria Math" w:eastAsiaTheme="minorEastAsia" w:hAnsi="Cambria Math" w:cs="Times New Roman"/>
                </w:rPr>
                <m:t>=n*</m:t>
              </m:r>
            </m:e>
          </m:sPr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x+n(-TB)</m:t>
              </m:r>
            </m:sub>
          </m:sSub>
          <m:r>
            <w:rPr>
              <w:rFonts w:ascii="Cambria Math" w:hAnsi="Cambria Math" w:cs="Times New Roman"/>
            </w:rPr>
            <m:t>+</m:t>
          </m:r>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x(-TB)</m:t>
                  </m:r>
                </m:sub>
              </m:sSub>
              <m:r>
                <w:rPr>
                  <w:rFonts w:ascii="Cambria Math" w:hAnsi="Cambria Math" w:cs="Times New Roman"/>
                </w:rPr>
                <m:t>*</m:t>
              </m:r>
              <m:sPre>
                <m:sPrePr>
                  <m:ctrlPr>
                    <w:rPr>
                      <w:rFonts w:ascii="Cambria Math" w:hAnsi="Cambria Math" w:cs="Times New Roman"/>
                      <w:i/>
                    </w:rPr>
                  </m:ctrlPr>
                </m:sPrePr>
                <m:sub>
                  <m:r>
                    <w:rPr>
                      <w:rFonts w:ascii="Cambria Math" w:hAnsi="Cambria Math" w:cs="Times New Roman"/>
                    </w:rPr>
                    <m:t>n</m:t>
                  </m:r>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x(-TB)</m:t>
                      </m:r>
                    </m:sub>
                  </m:sSub>
                </m:e>
              </m:sPre>
            </m:e>
          </m:sPre>
        </m:oMath>
      </m:oMathPara>
    </w:p>
    <w:p w14:paraId="48DED9DB" w14:textId="77777777" w:rsidR="008569EB" w:rsidRPr="00C6712B" w:rsidRDefault="0083391B" w:rsidP="008569EB">
      <w:pPr>
        <w:jc w:val="both"/>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x</m:t>
              </m:r>
              <m:d>
                <m:dPr>
                  <m:ctrlPr>
                    <w:rPr>
                      <w:rFonts w:ascii="Cambria Math" w:eastAsiaTheme="minorEastAsia" w:hAnsi="Cambria Math" w:cs="Times New Roman"/>
                      <w:i/>
                    </w:rPr>
                  </m:ctrlPr>
                </m:dPr>
                <m:e>
                  <m:r>
                    <w:rPr>
                      <w:rFonts w:ascii="Cambria Math" w:eastAsiaTheme="minorEastAsia" w:hAnsi="Cambria Math" w:cs="Times New Roman"/>
                    </w:rPr>
                    <m:t>-TB</m:t>
                  </m:r>
                </m:e>
              </m:d>
            </m:sub>
          </m:sSub>
          <m:r>
            <w:rPr>
              <w:rFonts w:ascii="Cambria Math" w:eastAsiaTheme="minorEastAsia" w:hAnsi="Cambria Math" w:cs="Times New Roman"/>
            </w:rPr>
            <m:t>=</m:t>
          </m:r>
          <m:nary>
            <m:naryPr>
              <m:chr m:val="∑"/>
              <m:limLoc m:val="undOvr"/>
              <m:subHide m:val="1"/>
              <m:supHide m:val="1"/>
              <m:ctrlPr>
                <w:rPr>
                  <w:rFonts w:ascii="Cambria Math" w:eastAsiaTheme="minorEastAsia" w:hAnsi="Cambria Math" w:cs="Times New Roman"/>
                  <w:i/>
                </w:rPr>
              </m:ctrlPr>
            </m:naryPr>
            <m:sub/>
            <m:sup/>
            <m:e>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i(-TB)</m:t>
                  </m:r>
                </m:sub>
              </m:sSub>
              <m:r>
                <w:rPr>
                  <w:rFonts w:ascii="Cambria Math" w:eastAsiaTheme="minorEastAsia" w:hAnsi="Cambria Math" w:cs="Times New Roman"/>
                </w:rPr>
                <m:t xml:space="preserve"> for i≥x</m:t>
              </m:r>
            </m:e>
          </m:nary>
        </m:oMath>
      </m:oMathPara>
    </w:p>
    <w:p w14:paraId="28587349" w14:textId="77777777" w:rsidR="008569EB" w:rsidRPr="001E5875" w:rsidRDefault="0083391B" w:rsidP="008569EB">
      <w:pPr>
        <w:jc w:val="both"/>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x</m:t>
              </m:r>
              <m:d>
                <m:dPr>
                  <m:ctrlPr>
                    <w:rPr>
                      <w:rFonts w:ascii="Cambria Math" w:eastAsiaTheme="minorEastAsia" w:hAnsi="Cambria Math" w:cs="Times New Roman"/>
                      <w:i/>
                    </w:rPr>
                  </m:ctrlPr>
                </m:dPr>
                <m:e>
                  <m:r>
                    <w:rPr>
                      <w:rFonts w:ascii="Cambria Math" w:eastAsiaTheme="minorEastAsia" w:hAnsi="Cambria Math" w:cs="Times New Roman"/>
                    </w:rPr>
                    <m:t>-TB</m:t>
                  </m:r>
                </m:e>
              </m:d>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f>
                <m:fPr>
                  <m:ctrlPr>
                    <w:rPr>
                      <w:rFonts w:ascii="Cambria Math" w:eastAsiaTheme="minorEastAsia" w:hAnsi="Cambria Math" w:cs="Times New Roman"/>
                      <w:i/>
                    </w:rPr>
                  </m:ctrlPr>
                </m:fPr>
                <m:num>
                  <m:r>
                    <w:rPr>
                      <w:rFonts w:ascii="Cambria Math" w:eastAsiaTheme="minorEastAsia" w:hAnsi="Cambria Math" w:cs="Times New Roman"/>
                    </w:rPr>
                    <m:t>x</m:t>
                  </m:r>
                  <m:d>
                    <m:dPr>
                      <m:ctrlPr>
                        <w:rPr>
                          <w:rFonts w:ascii="Cambria Math" w:eastAsiaTheme="minorEastAsia" w:hAnsi="Cambria Math" w:cs="Times New Roman"/>
                          <w:i/>
                        </w:rPr>
                      </m:ctrlPr>
                    </m:dPr>
                    <m:e>
                      <m:r>
                        <w:rPr>
                          <w:rFonts w:ascii="Cambria Math" w:eastAsiaTheme="minorEastAsia" w:hAnsi="Cambria Math" w:cs="Times New Roman"/>
                        </w:rPr>
                        <m:t>-TB</m:t>
                      </m:r>
                    </m:e>
                  </m:d>
                </m:num>
                <m:den>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x</m:t>
                      </m:r>
                    </m:sub>
                  </m:sSub>
                  <m:r>
                    <w:rPr>
                      <w:rFonts w:ascii="Cambria Math" w:eastAsiaTheme="minorEastAsia" w:hAnsi="Cambria Math" w:cs="Times New Roman"/>
                    </w:rPr>
                    <m:t>(-TB)</m:t>
                  </m:r>
                </m:den>
              </m:f>
            </m:sub>
          </m:sSub>
        </m:oMath>
      </m:oMathPara>
    </w:p>
    <w:p w14:paraId="03F82B84" w14:textId="55CC7319" w:rsidR="008A1522" w:rsidRPr="00C773B4" w:rsidRDefault="008569EB" w:rsidP="00C773B4">
      <w:pPr>
        <w:jc w:val="both"/>
        <w:rPr>
          <w:rFonts w:ascii="Times New Roman" w:hAnsi="Times New Roman" w:cs="Times New Roman"/>
        </w:rPr>
      </w:pPr>
      <m:oMathPara>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x</m:t>
              </m:r>
              <m:d>
                <m:dPr>
                  <m:ctrlPr>
                    <w:rPr>
                      <w:rFonts w:ascii="Cambria Math" w:hAnsi="Cambria Math" w:cs="Times New Roman"/>
                      <w:i/>
                    </w:rPr>
                  </m:ctrlPr>
                </m:dPr>
                <m:e>
                  <m:r>
                    <w:rPr>
                      <w:rFonts w:ascii="Cambria Math" w:hAnsi="Cambria Math" w:cs="Times New Roman"/>
                    </w:rPr>
                    <m:t>-TB</m:t>
                  </m:r>
                </m:e>
              </m:d>
              <m:r>
                <w:rPr>
                  <w:rFonts w:ascii="Cambria Math" w:hAnsi="Cambria Math" w:cs="Times New Roman"/>
                </w:rPr>
                <m:t xml:space="preserve"> </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x</m:t>
              </m:r>
            </m:sub>
          </m:sSub>
        </m:oMath>
      </m:oMathPara>
    </w:p>
    <w:p w14:paraId="66A87463" w14:textId="3C9A3BE2" w:rsidR="00D92D8D" w:rsidRDefault="00D92D8D" w:rsidP="00D92D8D">
      <w:pPr>
        <w:rPr>
          <w:rFonts w:ascii="Times New Roman" w:hAnsi="Times New Roman" w:cs="Times New Roman"/>
          <w:b/>
          <w:sz w:val="24"/>
          <w:szCs w:val="24"/>
        </w:rPr>
      </w:pPr>
      <w:r w:rsidRPr="00840827">
        <w:rPr>
          <w:rFonts w:ascii="Times New Roman" w:hAnsi="Times New Roman" w:cs="Times New Roman"/>
          <w:b/>
          <w:sz w:val="24"/>
          <w:szCs w:val="24"/>
        </w:rPr>
        <w:t xml:space="preserve">Section </w:t>
      </w:r>
      <w:r>
        <w:rPr>
          <w:rFonts w:ascii="Times New Roman" w:hAnsi="Times New Roman" w:cs="Times New Roman"/>
          <w:b/>
          <w:sz w:val="24"/>
          <w:szCs w:val="24"/>
        </w:rPr>
        <w:t>C</w:t>
      </w:r>
      <w:r w:rsidRPr="00840827">
        <w:rPr>
          <w:rFonts w:ascii="Times New Roman" w:hAnsi="Times New Roman" w:cs="Times New Roman"/>
          <w:b/>
          <w:sz w:val="24"/>
          <w:szCs w:val="24"/>
        </w:rPr>
        <w:t xml:space="preserve">: </w:t>
      </w:r>
      <w:r>
        <w:rPr>
          <w:rFonts w:ascii="Times New Roman" w:hAnsi="Times New Roman" w:cs="Times New Roman"/>
          <w:b/>
          <w:sz w:val="24"/>
          <w:szCs w:val="24"/>
        </w:rPr>
        <w:t>Full-Income Calculation</w:t>
      </w:r>
    </w:p>
    <w:p w14:paraId="029A5020" w14:textId="27DE5C98" w:rsidR="008A1522" w:rsidRPr="008A1522" w:rsidRDefault="008A1522" w:rsidP="008A1522">
      <w:pPr>
        <w:spacing w:line="360" w:lineRule="auto"/>
        <w:jc w:val="both"/>
        <w:rPr>
          <w:rFonts w:ascii="Times New Roman" w:eastAsiaTheme="minorEastAsia" w:hAnsi="Times New Roman" w:cs="Times New Roman"/>
        </w:rPr>
      </w:pPr>
      <w:r w:rsidRPr="008A1522">
        <w:rPr>
          <w:rFonts w:ascii="Times New Roman" w:hAnsi="Times New Roman" w:cs="Times New Roman"/>
        </w:rPr>
        <w:t>Following Jamison et al.</w:t>
      </w:r>
      <w:r w:rsidRPr="008A1522">
        <w:rPr>
          <w:rFonts w:ascii="Times New Roman" w:hAnsi="Times New Roman" w:cs="Times New Roman"/>
        </w:rPr>
        <w:fldChar w:fldCharType="begin"/>
      </w:r>
      <w:r w:rsidR="0099656E">
        <w:rPr>
          <w:rFonts w:ascii="Times New Roman" w:hAnsi="Times New Roman" w:cs="Times New Roman"/>
        </w:rPr>
        <w:instrText xml:space="preserve"> ADDIN ZOTERO_ITEM CSL_CITATION {"citationID":"oCpMh1Gv","properties":{"formattedCitation":"\\super 16\\nosupersub{}","plainCitation":"16","noteIndex":0},"citationItems":[{"id":780,"uris":["http://zotero.org/users/local/p8g0WsVO/items/HXHHA77D"],"uri":["http://zotero.org/users/local/p8g0WsVO/items/HXHHA77D"],"itemData":{"id":780,"type":"article-journal","container-title":"The Lancet","DOI":"10.1016/S0140-6736(13)62105-4","ISSN":"01406736","issue":"9908","language":"en","page":"1898-1955","source":"CrossRef","title":"Global health 2035: a world converging within a generation","title-short":"Global health 2035","volume":"382","author":[{"family":"Jamison","given":"Dean T"},{"family":"Summers","given":"Lawrence H"},{"family":"Alleyne","given":"George"},{"family":"Arrow","given":"Kenneth J"},{"family":"Berkley","given":"Seth"},{"family":"Binagwaho","given":"Agnes"},{"family":"Bustreo","given":"Flavia"},{"family":"Evans","given":"David"},{"family":"Feachem","given":"Richard G A"},{"family":"Frenk","given":"Julio"},{"family":"Ghosh","given":"Gargee"},{"family":"Goldie","given":"Sue J"},{"family":"Guo","given":"Yan"},{"family":"Gupta","given":"Sanjeev"},{"family":"Horton","given":"Richard"},{"family":"Kruk","given":"Margaret E"},{"family":"Mahmoud","given":"Adel"},{"family":"Mohohlo","given":"Linah K"},{"family":"Ncube","given":"Mthuli"},{"family":"Pablos-Mendez","given":"Ariel"},{"family":"Reddy","given":"K Srinath"},{"family":"Saxenian","given":"Helen"},{"family":"Soucat","given":"Agnes"},{"family":"Ulltveit-Moe","given":"Karen H"},{"family":"Yamey","given":"Gavin"}],"issued":{"date-parts":[["2013",12]]}}}],"schema":"https://github.com/citation-style-language/schema/raw/master/csl-citation.json"} </w:instrText>
      </w:r>
      <w:r w:rsidRPr="008A1522">
        <w:rPr>
          <w:rFonts w:ascii="Times New Roman" w:hAnsi="Times New Roman" w:cs="Times New Roman"/>
        </w:rPr>
        <w:fldChar w:fldCharType="separate"/>
      </w:r>
      <w:r w:rsidR="0099656E" w:rsidRPr="0099656E">
        <w:rPr>
          <w:rFonts w:ascii="Times New Roman" w:hAnsi="Times New Roman" w:cs="Times New Roman"/>
          <w:vertAlign w:val="superscript"/>
        </w:rPr>
        <w:t>16</w:t>
      </w:r>
      <w:r w:rsidRPr="008A1522">
        <w:rPr>
          <w:rFonts w:ascii="Times New Roman" w:hAnsi="Times New Roman" w:cs="Times New Roman"/>
        </w:rPr>
        <w:fldChar w:fldCharType="end"/>
      </w:r>
      <w:r w:rsidRPr="008A1522">
        <w:rPr>
          <w:rFonts w:ascii="Times New Roman" w:hAnsi="Times New Roman" w:cs="Times New Roman"/>
        </w:rPr>
        <w:t xml:space="preserve">, we transformed the change in mortality </w:t>
      </w:r>
      <w:r w:rsidR="00A858A9">
        <w:rPr>
          <w:rFonts w:ascii="Times New Roman" w:hAnsi="Times New Roman" w:cs="Times New Roman"/>
        </w:rPr>
        <w:t>risk</w:t>
      </w:r>
      <w:r w:rsidRPr="008A1522">
        <w:rPr>
          <w:rFonts w:ascii="Times New Roman" w:hAnsi="Times New Roman" w:cs="Times New Roman"/>
        </w:rPr>
        <w:t xml:space="preserve"> to Standardized Mortality Units </w:t>
      </w:r>
      <m:oMath>
        <m:d>
          <m:dPr>
            <m:ctrlPr>
              <w:rPr>
                <w:rFonts w:ascii="Cambria Math" w:hAnsi="Cambria Math" w:cs="Times New Roman"/>
                <w:i/>
              </w:rPr>
            </m:ctrlPr>
          </m:dPr>
          <m:e>
            <m:r>
              <w:rPr>
                <w:rFonts w:ascii="Cambria Math" w:hAnsi="Cambria Math" w:cs="Times New Roman"/>
              </w:rPr>
              <m:t>∆smu</m:t>
            </m:r>
          </m:e>
        </m:d>
      </m:oMath>
      <w:r w:rsidRPr="008A1522">
        <w:rPr>
          <w:rFonts w:ascii="Times New Roman" w:hAnsi="Times New Roman" w:cs="Times New Roman"/>
        </w:rPr>
        <w:t xml:space="preserve"> (a 1/</w:t>
      </w:r>
      <w:r w:rsidRPr="008A1522">
        <w:rPr>
          <w:rFonts w:ascii="Times New Roman" w:eastAsiaTheme="minorEastAsia" w:hAnsi="Times New Roman" w:cs="Times New Roman"/>
        </w:rPr>
        <w:t>10,000 change in mortality risk), then calculated the population value of this risk change for each country and year (</w:t>
      </w:r>
      <m:oMath>
        <m:r>
          <w:rPr>
            <w:rFonts w:ascii="Cambria Math" w:eastAsiaTheme="minorEastAsia" w:hAnsi="Cambria Math" w:cs="Times New Roman"/>
          </w:rPr>
          <m:t>∆smu</m:t>
        </m:r>
        <m:d>
          <m:dPr>
            <m:ctrlPr>
              <w:rPr>
                <w:rFonts w:ascii="Cambria Math" w:eastAsiaTheme="minorEastAsia" w:hAnsi="Cambria Math" w:cs="Times New Roman"/>
                <w:i/>
              </w:rPr>
            </m:ctrlPr>
          </m:dPr>
          <m:e>
            <m:r>
              <w:rPr>
                <w:rFonts w:ascii="Cambria Math" w:eastAsiaTheme="minorEastAsia" w:hAnsi="Cambria Math" w:cs="Times New Roman"/>
              </w:rPr>
              <m:t>a</m:t>
            </m:r>
          </m:e>
        </m:d>
      </m:oMath>
      <w:r w:rsidRPr="008A1522">
        <w:rPr>
          <w:rFonts w:ascii="Times New Roman" w:eastAsiaTheme="minorEastAsia" w:hAnsi="Times New Roman" w:cs="Times New Roman"/>
        </w:rPr>
        <w:t>), by</w:t>
      </w:r>
      <w:r w:rsidRPr="008A1522">
        <w:rPr>
          <w:rFonts w:ascii="Times New Roman" w:hAnsi="Times New Roman" w:cs="Times New Roman"/>
        </w:rPr>
        <w:t xml:space="preserve"> multiplying the </w:t>
      </w:r>
      <m:oMath>
        <m:r>
          <w:rPr>
            <w:rFonts w:ascii="Cambria Math" w:hAnsi="Cambria Math" w:cs="Times New Roman"/>
          </w:rPr>
          <m:t>∆smu</m:t>
        </m:r>
      </m:oMath>
      <w:r w:rsidRPr="008A1522">
        <w:rPr>
          <w:rFonts w:ascii="Times New Roman" w:hAnsi="Times New Roman" w:cs="Times New Roman"/>
        </w:rPr>
        <w:t xml:space="preserve"> value by </w:t>
      </w:r>
      <w:proofErr w:type="spellStart"/>
      <w:r w:rsidRPr="008A1522">
        <w:rPr>
          <w:rFonts w:ascii="Times New Roman" w:hAnsi="Times New Roman" w:cs="Times New Roman"/>
        </w:rPr>
        <w:t>the</w:t>
      </w:r>
      <w:proofErr w:type="spellEnd"/>
      <w:r w:rsidRPr="008A1522">
        <w:rPr>
          <w:rFonts w:ascii="Times New Roman" w:hAnsi="Times New Roman" w:cs="Times New Roman"/>
        </w:rPr>
        <w:t xml:space="preserve"> population in each age interval (</w:t>
      </w:r>
      <m:oMath>
        <m:r>
          <w:rPr>
            <w:rFonts w:ascii="Cambria Math" w:hAnsi="Cambria Math" w:cs="Times New Roman"/>
          </w:rPr>
          <m:t>n</m:t>
        </m:r>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oMath>
      <w:r w:rsidRPr="008A1522">
        <w:rPr>
          <w:rFonts w:ascii="Times New Roman" w:hAnsi="Times New Roman" w:cs="Times New Roman"/>
        </w:rPr>
        <w:t xml:space="preserve"> and rescaling </w:t>
      </w:r>
      <w:r w:rsidRPr="008A1522">
        <w:rPr>
          <w:rFonts w:ascii="Times New Roman" w:eastAsiaTheme="minorEastAsia" w:hAnsi="Times New Roman" w:cs="Times New Roman"/>
        </w:rPr>
        <w:t xml:space="preserve">for the age interval using age 35 as the reference age. </w:t>
      </w:r>
    </w:p>
    <w:p w14:paraId="2F28C505" w14:textId="77777777" w:rsidR="008A1522" w:rsidRDefault="008A1522" w:rsidP="008A1522">
      <w:pPr>
        <w:spacing w:line="360" w:lineRule="auto"/>
        <w:jc w:val="both"/>
        <w:rPr>
          <w:rFonts w:eastAsiaTheme="minorEastAsia"/>
        </w:rPr>
      </w:pPr>
      <m:oMathPara>
        <m:oMath>
          <m:r>
            <w:rPr>
              <w:rFonts w:ascii="Cambria Math" w:eastAsiaTheme="minorEastAsia" w:hAnsi="Cambria Math"/>
            </w:rPr>
            <w:lastRenderedPageBreak/>
            <m:t>∆smu</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a</m:t>
                  </m:r>
                </m:e>
              </m:d>
            </m:num>
            <m:den>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35</m:t>
                  </m:r>
                </m:e>
              </m:d>
            </m:den>
          </m:f>
          <m:r>
            <w:rPr>
              <w:rFonts w:ascii="Cambria Math" w:eastAsiaTheme="minorEastAsia" w:hAnsi="Cambria Math"/>
            </w:rPr>
            <m:t>∆smu</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 xml:space="preserve"> e</m:t>
                  </m:r>
                </m:e>
                <m:sub>
                  <m:r>
                    <w:rPr>
                      <w:rFonts w:ascii="Cambria Math" w:eastAsiaTheme="minorEastAsia" w:hAnsi="Cambria Math"/>
                    </w:rPr>
                    <m:t>j</m:t>
                  </m:r>
                </m:sub>
              </m:sSub>
            </m:e>
          </m:d>
          <m:sSub>
            <m:sSubPr>
              <m:ctrlPr>
                <w:rPr>
                  <w:rFonts w:ascii="Cambria Math" w:eastAsiaTheme="minorEastAsia" w:hAnsi="Cambria Math"/>
                  <w:i/>
                </w:rPr>
              </m:ctrlPr>
            </m:sSubPr>
            <m:e>
              <m:r>
                <w:rPr>
                  <w:rFonts w:ascii="Cambria Math" w:eastAsiaTheme="minorEastAsia" w:hAnsi="Cambria Math"/>
                </w:rPr>
                <m:t>n(a)</m:t>
              </m:r>
            </m:e>
            <m:sub>
              <m:r>
                <w:rPr>
                  <w:rFonts w:ascii="Cambria Math" w:eastAsiaTheme="minorEastAsia" w:hAnsi="Cambria Math"/>
                </w:rPr>
                <m:t xml:space="preserve"> </m:t>
              </m:r>
            </m:sub>
          </m:sSub>
        </m:oMath>
      </m:oMathPara>
    </w:p>
    <w:p w14:paraId="7AB02584" w14:textId="57ACC313" w:rsidR="00A858A9" w:rsidRPr="008A1522" w:rsidRDefault="008A1522" w:rsidP="00A858A9">
      <w:pPr>
        <w:spacing w:line="360" w:lineRule="auto"/>
        <w:jc w:val="both"/>
        <w:rPr>
          <w:rFonts w:ascii="Times New Roman" w:hAnsi="Times New Roman" w:cs="Times New Roman"/>
        </w:rPr>
      </w:pPr>
      <w:r w:rsidRPr="008A1522">
        <w:rPr>
          <w:rFonts w:ascii="Times New Roman" w:hAnsi="Times New Roman" w:cs="Times New Roman"/>
        </w:rPr>
        <w:t>To arrive at the monetary value of the risk change</w:t>
      </w:r>
      <w:r w:rsidR="00E528FF">
        <w:rPr>
          <w:rFonts w:ascii="Times New Roman" w:hAnsi="Times New Roman" w:cs="Times New Roman"/>
        </w:rPr>
        <w:t xml:space="preserve"> (</w:t>
      </w:r>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j</m:t>
                </m:r>
              </m:sub>
            </m:sSub>
            <m:r>
              <w:rPr>
                <w:rFonts w:ascii="Cambria Math" w:hAnsi="Cambria Math"/>
              </w:rPr>
              <m:t>, y</m:t>
            </m:r>
          </m:e>
        </m:d>
      </m:oMath>
      <w:r w:rsidR="00E528FF">
        <w:rPr>
          <w:rFonts w:ascii="Times New Roman" w:eastAsiaTheme="minorEastAsia" w:hAnsi="Times New Roman" w:cs="Times New Roman"/>
        </w:rPr>
        <w:t>)</w:t>
      </w:r>
      <w:r w:rsidRPr="008A1522">
        <w:rPr>
          <w:rFonts w:ascii="Times New Roman" w:hAnsi="Times New Roman" w:cs="Times New Roman"/>
        </w:rPr>
        <w:t xml:space="preserve">, we summed the age-specific population values for each country and year and then multiplied by the value of a statistical life year (VSLY) (for the country and year), calculated as a proportion of the income per capita </w:t>
      </w:r>
      <m:oMath>
        <m:r>
          <w:rPr>
            <w:rFonts w:ascii="Cambria Math" w:eastAsiaTheme="minorEastAsia" w:hAnsi="Cambria Math" w:cs="Times New Roman"/>
          </w:rPr>
          <m:t>(</m:t>
        </m:r>
        <m:r>
          <w:rPr>
            <w:rFonts w:ascii="Cambria Math" w:hAnsi="Cambria Math" w:cs="Times New Roman"/>
          </w:rPr>
          <m:t>γ)</m:t>
        </m:r>
      </m:oMath>
      <w:r w:rsidRPr="008A1522">
        <w:rPr>
          <w:rFonts w:ascii="Times New Roman" w:hAnsi="Times New Roman" w:cs="Times New Roman"/>
        </w:rPr>
        <w:t xml:space="preserve">. We </w:t>
      </w:r>
      <w:r w:rsidR="00A858A9">
        <w:rPr>
          <w:rFonts w:ascii="Times New Roman" w:hAnsi="Times New Roman" w:cs="Times New Roman"/>
        </w:rPr>
        <w:t xml:space="preserve">used empirically estimated country VSL values where available and </w:t>
      </w:r>
      <w:r w:rsidRPr="008A1522">
        <w:rPr>
          <w:rFonts w:ascii="Times New Roman" w:hAnsi="Times New Roman" w:cs="Times New Roman"/>
        </w:rPr>
        <w:t xml:space="preserve">calculated </w:t>
      </w:r>
      <w:r w:rsidR="00A858A9">
        <w:rPr>
          <w:rFonts w:ascii="Times New Roman" w:hAnsi="Times New Roman" w:cs="Times New Roman"/>
        </w:rPr>
        <w:t xml:space="preserve">where not available </w:t>
      </w:r>
      <w:r w:rsidRPr="008A1522">
        <w:rPr>
          <w:rFonts w:ascii="Times New Roman" w:hAnsi="Times New Roman" w:cs="Times New Roman"/>
        </w:rPr>
        <w:t>based on benefits transfer, by adjusting the VSL in the United States (US$9,702,616) at an income of US$63,280 (in purchasing power parity adjusted international $ rates)</w:t>
      </w:r>
      <w:r w:rsidRPr="008A1522">
        <w:rPr>
          <w:rFonts w:ascii="Times New Roman" w:hAnsi="Times New Roman" w:cs="Times New Roman"/>
        </w:rPr>
        <w:fldChar w:fldCharType="begin"/>
      </w:r>
      <w:r w:rsidR="0099656E">
        <w:rPr>
          <w:rFonts w:ascii="Times New Roman" w:hAnsi="Times New Roman" w:cs="Times New Roman"/>
        </w:rPr>
        <w:instrText xml:space="preserve"> ADDIN ZOTERO_ITEM CSL_CITATION {"citationID":"8fh3dlZM","properties":{"formattedCitation":"\\super 17\\nosupersub{}","plainCitation":"17","noteIndex":0},"citationItems":[{"id":28945,"uris":["http://zotero.org/users/local/p8g0WsVO/items/9CCCB55I"],"uri":["http://zotero.org/users/local/p8g0WsVO/items/9CCCB55I"],"itemData":{"id":28945,"type":"webpage","abstract":"Guidance from NCEE on how to create an economic analysis.","container-title":"US EPA","genre":"Other Policies and Guidance","language":"en","title":"Guidelines for Preparing Economic Analyses","URL":"https://www.epa.gov/environmental-economics/guidelines-preparing-economic-analyses","author":[{"family":"US EPA","given":"OP"}],"accessed":{"date-parts":[["2020",9,21]]},"issued":{"date-parts":[["2014",4,21]]}}}],"schema":"https://github.com/citation-style-language/schema/raw/master/csl-citation.json"} </w:instrText>
      </w:r>
      <w:r w:rsidRPr="008A1522">
        <w:rPr>
          <w:rFonts w:ascii="Times New Roman" w:hAnsi="Times New Roman" w:cs="Times New Roman"/>
        </w:rPr>
        <w:fldChar w:fldCharType="separate"/>
      </w:r>
      <w:r w:rsidR="0099656E" w:rsidRPr="0099656E">
        <w:rPr>
          <w:rFonts w:ascii="Times New Roman" w:hAnsi="Times New Roman" w:cs="Times New Roman"/>
          <w:vertAlign w:val="superscript"/>
        </w:rPr>
        <w:t>17</w:t>
      </w:r>
      <w:r w:rsidRPr="008A1522">
        <w:rPr>
          <w:rFonts w:ascii="Times New Roman" w:hAnsi="Times New Roman" w:cs="Times New Roman"/>
        </w:rPr>
        <w:fldChar w:fldCharType="end"/>
      </w:r>
      <w:r w:rsidRPr="008A1522">
        <w:rPr>
          <w:rFonts w:ascii="Times New Roman" w:hAnsi="Times New Roman" w:cs="Times New Roman"/>
        </w:rPr>
        <w:t>, assuming an income elasticity of 1.0 (1.5 considered in the sensitivity analysis). We calculated the present value of the gains</w:t>
      </w:r>
      <m:oMath>
        <m:r>
          <w:rPr>
            <w:rFonts w:ascii="Cambria Math" w:hAnsi="Cambria Math" w:cs="Times New Roman"/>
          </w:rPr>
          <m:t xml:space="preserve"> </m:t>
        </m:r>
      </m:oMath>
      <w:r w:rsidRPr="008A1522">
        <w:rPr>
          <w:rFonts w:ascii="Times New Roman" w:hAnsi="Times New Roman" w:cs="Times New Roman"/>
        </w:rPr>
        <w:t xml:space="preserve">from the perspective of 2020, assuming a discount rate of 3% (and 5% in the sensitivity analysis). </w:t>
      </w:r>
      <w:r w:rsidR="00A858A9" w:rsidRPr="008A1522">
        <w:rPr>
          <w:rFonts w:ascii="Times New Roman" w:hAnsi="Times New Roman" w:cs="Times New Roman"/>
        </w:rPr>
        <w:t>All calculations including the life table calculations and the sensitivity analysis, were performed using Stata (Stata/IC version 14.2).</w:t>
      </w:r>
    </w:p>
    <w:p w14:paraId="3201486E" w14:textId="4609A29C" w:rsidR="008A1522" w:rsidRPr="00A858A9" w:rsidRDefault="008A1522" w:rsidP="00A858A9">
      <w:pPr>
        <w:spacing w:line="360" w:lineRule="auto"/>
        <w:jc w:val="both"/>
      </w:pPr>
      <m:oMathPara>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j</m:t>
                  </m:r>
                </m:sub>
              </m:sSub>
              <m:r>
                <w:rPr>
                  <w:rFonts w:ascii="Cambria Math" w:hAnsi="Cambria Math"/>
                </w:rPr>
                <m:t>, y</m:t>
              </m:r>
            </m:e>
          </m:d>
          <m:r>
            <w:rPr>
              <w:rFonts w:ascii="Cambria Math" w:hAnsi="Cambria Math"/>
            </w:rPr>
            <m:t>=</m:t>
          </m:r>
          <m:f>
            <m:fPr>
              <m:ctrlPr>
                <w:rPr>
                  <w:rFonts w:ascii="Cambria Math" w:hAnsi="Cambria Math"/>
                  <w:i/>
                </w:rPr>
              </m:ctrlPr>
            </m:fPr>
            <m:num>
              <m:r>
                <w:rPr>
                  <w:rFonts w:ascii="Cambria Math" w:hAnsi="Cambria Math"/>
                </w:rPr>
                <m:t>GDP</m:t>
              </m:r>
            </m:num>
            <m:den>
              <m:r>
                <w:rPr>
                  <w:rFonts w:ascii="Cambria Math" w:hAnsi="Cambria Math"/>
                </w:rPr>
                <m:t>capita</m:t>
              </m:r>
            </m:den>
          </m:f>
          <m:r>
            <w:rPr>
              <w:rFonts w:ascii="Cambria Math" w:hAnsi="Cambria Math"/>
            </w:rPr>
            <m:t>.γ</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n</m:t>
              </m:r>
              <m:d>
                <m:dPr>
                  <m:ctrlPr>
                    <w:rPr>
                      <w:rFonts w:ascii="Cambria Math" w:hAnsi="Cambria Math"/>
                      <w:i/>
                    </w:rPr>
                  </m:ctrlPr>
                </m:dPr>
                <m:e>
                  <m:r>
                    <w:rPr>
                      <w:rFonts w:ascii="Cambria Math" w:hAnsi="Cambria Math"/>
                    </w:rPr>
                    <m:t>a</m:t>
                  </m:r>
                </m:e>
              </m:d>
              <m:r>
                <w:rPr>
                  <w:rFonts w:ascii="Cambria Math" w:hAnsi="Cambria Math"/>
                </w:rPr>
                <m:t xml:space="preserve"> ∆smu</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 xml:space="preserve">i </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j</m:t>
                      </m:r>
                    </m:sub>
                  </m:sSub>
                </m:e>
              </m:d>
              <m:f>
                <m:fPr>
                  <m:ctrlPr>
                    <w:rPr>
                      <w:rFonts w:ascii="Cambria Math" w:hAnsi="Cambria Math"/>
                      <w:i/>
                    </w:rPr>
                  </m:ctrlPr>
                </m:fPr>
                <m:num>
                  <m:r>
                    <w:rPr>
                      <w:rFonts w:ascii="Cambria Math" w:hAnsi="Cambria Math"/>
                    </w:rPr>
                    <m:t>e</m:t>
                  </m:r>
                  <m:d>
                    <m:dPr>
                      <m:ctrlPr>
                        <w:rPr>
                          <w:rFonts w:ascii="Cambria Math" w:hAnsi="Cambria Math"/>
                          <w:i/>
                        </w:rPr>
                      </m:ctrlPr>
                    </m:dPr>
                    <m:e>
                      <m:r>
                        <w:rPr>
                          <w:rFonts w:ascii="Cambria Math" w:hAnsi="Cambria Math"/>
                        </w:rPr>
                        <m:t>a</m:t>
                      </m:r>
                    </m:e>
                  </m:d>
                </m:num>
                <m:den>
                  <m:r>
                    <w:rPr>
                      <w:rFonts w:ascii="Cambria Math" w:hAnsi="Cambria Math"/>
                    </w:rPr>
                    <m:t>e(35)</m:t>
                  </m:r>
                </m:den>
              </m:f>
              <m:r>
                <w:rPr>
                  <w:rFonts w:ascii="Cambria Math" w:hAnsi="Cambria Math"/>
                </w:rPr>
                <m:t>da</m:t>
              </m:r>
            </m:e>
          </m:nary>
        </m:oMath>
      </m:oMathPara>
    </w:p>
    <w:p w14:paraId="5C21BD0E" w14:textId="62AA1555" w:rsidR="008A1522" w:rsidRPr="008A1522" w:rsidRDefault="008A1522" w:rsidP="00D92D8D">
      <w:pPr>
        <w:rPr>
          <w:rFonts w:ascii="Times New Roman" w:hAnsi="Times New Roman" w:cs="Times New Roman"/>
          <w:b/>
          <w:sz w:val="24"/>
          <w:szCs w:val="24"/>
        </w:rPr>
      </w:pPr>
      <w:r w:rsidRPr="008A1522">
        <w:rPr>
          <w:rFonts w:ascii="Times New Roman" w:hAnsi="Times New Roman" w:cs="Times New Roman"/>
          <w:b/>
          <w:sz w:val="24"/>
          <w:szCs w:val="24"/>
        </w:rPr>
        <w:t>Section D: Per Capita Income Prediction</w:t>
      </w:r>
    </w:p>
    <w:p w14:paraId="5AF39A6A" w14:textId="56BF400C" w:rsidR="00840827" w:rsidRPr="008A1522" w:rsidRDefault="008A1522" w:rsidP="008A1522">
      <w:pPr>
        <w:spacing w:line="360" w:lineRule="auto"/>
        <w:jc w:val="both"/>
        <w:rPr>
          <w:rFonts w:ascii="Times New Roman" w:hAnsi="Times New Roman" w:cs="Times New Roman"/>
        </w:rPr>
      </w:pPr>
      <w:r w:rsidRPr="008A1522">
        <w:rPr>
          <w:rFonts w:ascii="Times New Roman" w:hAnsi="Times New Roman" w:cs="Times New Roman"/>
        </w:rPr>
        <w:t xml:space="preserve">To model per capita income from 2020 to 2050, we employed two approaches. In the first approach, we predicted future growth rates based on historical growth rates from 2000 to 2018 (available from the World Bank) using a non-parametric locally weighted smoothing regression with a bandwidth of 0.8. For this purpose, we used the Locally Weighted Scatter-plot Smoother (LOWESS) function available from Stata. We then applied the predicted growth rates recursively to each predicted value of per capita income. In the second approach, we identified a probability distribution function that best described the per capita income from 1960 to 2018, by iteratively fitting 14 distributions based on Maximum Likelihood Estimation (MLE) (using </w:t>
      </w:r>
      <w:proofErr w:type="spellStart"/>
      <w:r w:rsidRPr="008A1522">
        <w:rPr>
          <w:rFonts w:ascii="Times New Roman" w:hAnsi="Times New Roman" w:cs="Times New Roman"/>
        </w:rPr>
        <w:t>Matlab</w:t>
      </w:r>
      <w:proofErr w:type="spellEnd"/>
      <w:r w:rsidRPr="008A1522">
        <w:rPr>
          <w:rFonts w:ascii="Times New Roman" w:hAnsi="Times New Roman" w:cs="Times New Roman"/>
        </w:rPr>
        <w:t xml:space="preserve"> version R2017a). To determine the distribution that best described the data, we evaluated the significance level (P&lt;0.05), the Anderson-Darling statistic, the Akaike Information Criterion (AIC), which takes into account the log likelihood</w:t>
      </w:r>
      <w:r w:rsidRPr="008A1522">
        <w:rPr>
          <w:rFonts w:ascii="Times New Roman" w:hAnsi="Times New Roman" w:cs="Times New Roman"/>
        </w:rPr>
        <w:fldChar w:fldCharType="begin"/>
      </w:r>
      <w:r w:rsidR="0099656E">
        <w:rPr>
          <w:rFonts w:ascii="Times New Roman" w:hAnsi="Times New Roman" w:cs="Times New Roman"/>
        </w:rPr>
        <w:instrText xml:space="preserve"> ADDIN ZOTERO_ITEM CSL_CITATION {"citationID":"K4qzbft0","properties":{"formattedCitation":"\\super 18\\nosupersub{}","plainCitation":"18","noteIndex":0},"citationItems":[{"id":26966,"uris":["http://zotero.org/users/local/p8g0WsVO/items/JNQFGK4E"],"uri":["http://zotero.org/users/local/p8g0WsVO/items/JNQFGK4E"],"itemData":{"id":26966,"type":"article-journal","abstract":"The history of the development of statistical hypothesis testing in time series analysis is reviewed briefly and it is pointed out that the hypothesis testing procedure is not adequately defined as the procedure for statistical model identification. The classical maximum likelihood estimation procedure is reviewed and a new estimate minimum information theoretical criterion (AIC) estimate (MAICE) which is designed for the purpose of statistical identification is introduced. When there are several competing models the MAICE is defined by the model and the maximum likelihood estimates of the parameters which give the minimum of AIC defined by AIC = (-2)log-(maximum likelihood) + 2(number of independently adjusted parameters within the model). MAICE provides a versatile procedure for statistical model identification which is free from the ambiguities inherent in the application of conventional hypothesis testing procedure. The practical utility of MAICE in time series analysis is demonstrated with some numerical examples.","container-title":"IEEE Transactions on Automatic Control","DOI":"10.1109/TAC.1974.1100705","ISSN":"0018-9286","issue":"6","page":"716-723","source":"IEEE Xplore","title":"A new look at the statistical model identification","volume":"19","author":[{"family":"Akaike","given":"H."}],"issued":{"date-parts":[["1974",12]]}}}],"schema":"https://github.com/citation-style-language/schema/raw/master/csl-citation.json"} </w:instrText>
      </w:r>
      <w:r w:rsidRPr="008A1522">
        <w:rPr>
          <w:rFonts w:ascii="Times New Roman" w:hAnsi="Times New Roman" w:cs="Times New Roman"/>
        </w:rPr>
        <w:fldChar w:fldCharType="separate"/>
      </w:r>
      <w:r w:rsidR="0099656E" w:rsidRPr="0099656E">
        <w:rPr>
          <w:rFonts w:ascii="Times New Roman" w:hAnsi="Times New Roman" w:cs="Times New Roman"/>
          <w:vertAlign w:val="superscript"/>
        </w:rPr>
        <w:t>18</w:t>
      </w:r>
      <w:r w:rsidRPr="008A1522">
        <w:rPr>
          <w:rFonts w:ascii="Times New Roman" w:hAnsi="Times New Roman" w:cs="Times New Roman"/>
        </w:rPr>
        <w:fldChar w:fldCharType="end"/>
      </w:r>
      <w:r w:rsidRPr="008A1522">
        <w:rPr>
          <w:rFonts w:ascii="Times New Roman" w:hAnsi="Times New Roman" w:cs="Times New Roman"/>
        </w:rPr>
        <w:t>) and the likelihood ratio test result. Once we had identified the probability distribution function, to evaluate its parameter values (for example the shape and scale of a Weibull distribution), we used a least-squares minimization routine that we implemented via the Microsoft Excel Optimizer. Using the parameter values and the distribution, we predicted future per capita income through 2050. The second approach was much more resource intensive and did not provide an improvement in fit that was justifiable. We therefore relied on the fitting from the first approach.</w:t>
      </w:r>
    </w:p>
    <w:p w14:paraId="5DA8DD19" w14:textId="3236E72B" w:rsidR="00D92D8D" w:rsidRDefault="00D92D8D">
      <w:pPr>
        <w:rPr>
          <w:rFonts w:ascii="Times New Roman" w:hAnsi="Times New Roman" w:cs="Times New Roman"/>
          <w:b/>
        </w:rPr>
      </w:pPr>
      <w:r>
        <w:rPr>
          <w:rFonts w:ascii="Times New Roman" w:hAnsi="Times New Roman" w:cs="Times New Roman"/>
          <w:b/>
        </w:rPr>
        <w:br w:type="page"/>
      </w:r>
    </w:p>
    <w:p w14:paraId="247CC0AC" w14:textId="269CACEE" w:rsidR="004E70A1" w:rsidRDefault="006E7B20" w:rsidP="006722C2">
      <w:pPr>
        <w:pStyle w:val="p"/>
        <w:spacing w:before="360" w:line="240" w:lineRule="auto"/>
        <w:ind w:firstLine="0"/>
        <w:rPr>
          <w:b/>
          <w:lang w:val="en-US"/>
        </w:rPr>
      </w:pPr>
      <w:r w:rsidRPr="009728D2">
        <w:rPr>
          <w:b/>
          <w:lang w:val="en-US"/>
        </w:rPr>
        <w:lastRenderedPageBreak/>
        <w:t>REFERENCE</w:t>
      </w:r>
      <w:r w:rsidR="00F81C92">
        <w:rPr>
          <w:b/>
          <w:lang w:val="en-US"/>
        </w:rPr>
        <w:t>S</w:t>
      </w:r>
    </w:p>
    <w:p w14:paraId="3AB26DDC" w14:textId="77777777" w:rsidR="0099656E" w:rsidRPr="0099656E" w:rsidRDefault="00A06F33" w:rsidP="0099656E">
      <w:pPr>
        <w:pStyle w:val="Bibliography"/>
        <w:rPr>
          <w:rFonts w:ascii="Times New Roman" w:hAnsi="Times New Roman" w:cs="Times New Roman"/>
          <w:sz w:val="24"/>
        </w:rPr>
      </w:pPr>
      <w:r>
        <w:rPr>
          <w:b/>
        </w:rPr>
        <w:fldChar w:fldCharType="begin"/>
      </w:r>
      <w:r w:rsidR="0099656E">
        <w:rPr>
          <w:b/>
        </w:rPr>
        <w:instrText xml:space="preserve"> ADDIN ZOTERO_BIBL {"uncited":[],"omitted":[],"custom":[]} CSL_BIBLIOGRAPHY </w:instrText>
      </w:r>
      <w:r>
        <w:rPr>
          <w:b/>
        </w:rPr>
        <w:fldChar w:fldCharType="separate"/>
      </w:r>
      <w:r w:rsidR="0099656E" w:rsidRPr="0099656E">
        <w:rPr>
          <w:rFonts w:ascii="Times New Roman" w:hAnsi="Times New Roman" w:cs="Times New Roman"/>
          <w:sz w:val="24"/>
        </w:rPr>
        <w:t>1.</w:t>
      </w:r>
      <w:r w:rsidR="0099656E" w:rsidRPr="0099656E">
        <w:rPr>
          <w:rFonts w:ascii="Times New Roman" w:hAnsi="Times New Roman" w:cs="Times New Roman"/>
          <w:sz w:val="24"/>
        </w:rPr>
        <w:tab/>
      </w:r>
      <w:r w:rsidR="0099656E" w:rsidRPr="0099656E">
        <w:rPr>
          <w:rFonts w:ascii="Times New Roman" w:hAnsi="Times New Roman" w:cs="Times New Roman"/>
          <w:i/>
          <w:iCs/>
          <w:sz w:val="24"/>
        </w:rPr>
        <w:t>MATLAB: The Language of Technical Computing. Getting started with MATLAB, version 7</w:t>
      </w:r>
      <w:r w:rsidR="0099656E" w:rsidRPr="0099656E">
        <w:rPr>
          <w:rFonts w:ascii="Times New Roman" w:hAnsi="Times New Roman" w:cs="Times New Roman"/>
          <w:sz w:val="24"/>
        </w:rPr>
        <w:t>. (MathWorks, Incorporated, 2005).</w:t>
      </w:r>
    </w:p>
    <w:p w14:paraId="6A2D648A"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2.</w:t>
      </w:r>
      <w:r w:rsidRPr="0099656E">
        <w:rPr>
          <w:rFonts w:ascii="Times New Roman" w:hAnsi="Times New Roman" w:cs="Times New Roman"/>
          <w:sz w:val="24"/>
        </w:rPr>
        <w:tab/>
        <w:t xml:space="preserve">WHO | Global tuberculosis report 2019. </w:t>
      </w:r>
      <w:r w:rsidRPr="0099656E">
        <w:rPr>
          <w:rFonts w:ascii="Times New Roman" w:hAnsi="Times New Roman" w:cs="Times New Roman"/>
          <w:i/>
          <w:iCs/>
          <w:sz w:val="24"/>
        </w:rPr>
        <w:t>WHO</w:t>
      </w:r>
      <w:r w:rsidRPr="0099656E">
        <w:rPr>
          <w:rFonts w:ascii="Times New Roman" w:hAnsi="Times New Roman" w:cs="Times New Roman"/>
          <w:sz w:val="24"/>
        </w:rPr>
        <w:t xml:space="preserve"> http://www.who.int/tb/publications/global_report/en/.</w:t>
      </w:r>
    </w:p>
    <w:p w14:paraId="6A76F73E"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3.</w:t>
      </w:r>
      <w:r w:rsidRPr="0099656E">
        <w:rPr>
          <w:rFonts w:ascii="Times New Roman" w:hAnsi="Times New Roman" w:cs="Times New Roman"/>
          <w:sz w:val="24"/>
        </w:rPr>
        <w:tab/>
        <w:t>World Population Prospects - Population Division - United Nations. https://population.un.org/wpp/Download/Standard/Population/.</w:t>
      </w:r>
    </w:p>
    <w:p w14:paraId="70F8020D"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4.</w:t>
      </w:r>
      <w:r w:rsidRPr="0099656E">
        <w:rPr>
          <w:rFonts w:ascii="Times New Roman" w:hAnsi="Times New Roman" w:cs="Times New Roman"/>
          <w:sz w:val="24"/>
        </w:rPr>
        <w:tab/>
        <w:t xml:space="preserve">Woods, R. D. &amp; Saxon, D. S. Diffuse Surface Optical Model for Nucleon-Nuclei Scattering. </w:t>
      </w:r>
      <w:r w:rsidRPr="0099656E">
        <w:rPr>
          <w:rFonts w:ascii="Times New Roman" w:hAnsi="Times New Roman" w:cs="Times New Roman"/>
          <w:i/>
          <w:iCs/>
          <w:sz w:val="24"/>
        </w:rPr>
        <w:t>Phys. Rev.</w:t>
      </w:r>
      <w:r w:rsidRPr="0099656E">
        <w:rPr>
          <w:rFonts w:ascii="Times New Roman" w:hAnsi="Times New Roman" w:cs="Times New Roman"/>
          <w:sz w:val="24"/>
        </w:rPr>
        <w:t xml:space="preserve"> </w:t>
      </w:r>
      <w:r w:rsidRPr="0099656E">
        <w:rPr>
          <w:rFonts w:ascii="Times New Roman" w:hAnsi="Times New Roman" w:cs="Times New Roman"/>
          <w:b/>
          <w:bCs/>
          <w:sz w:val="24"/>
        </w:rPr>
        <w:t>95</w:t>
      </w:r>
      <w:r w:rsidRPr="0099656E">
        <w:rPr>
          <w:rFonts w:ascii="Times New Roman" w:hAnsi="Times New Roman" w:cs="Times New Roman"/>
          <w:sz w:val="24"/>
        </w:rPr>
        <w:t>, 577–578 (1954).</w:t>
      </w:r>
    </w:p>
    <w:p w14:paraId="7573A894"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5.</w:t>
      </w:r>
      <w:r w:rsidRPr="0099656E">
        <w:rPr>
          <w:rFonts w:ascii="Times New Roman" w:hAnsi="Times New Roman" w:cs="Times New Roman"/>
          <w:sz w:val="24"/>
        </w:rPr>
        <w:tab/>
        <w:t xml:space="preserve">Velicia, F. J. F. On the moments of a Wood Saxon beta distribution. </w:t>
      </w:r>
      <w:r w:rsidRPr="0099656E">
        <w:rPr>
          <w:rFonts w:ascii="Times New Roman" w:hAnsi="Times New Roman" w:cs="Times New Roman"/>
          <w:i/>
          <w:iCs/>
          <w:sz w:val="24"/>
        </w:rPr>
        <w:t>J. Phys. A: Math. Gen.</w:t>
      </w:r>
      <w:r w:rsidRPr="0099656E">
        <w:rPr>
          <w:rFonts w:ascii="Times New Roman" w:hAnsi="Times New Roman" w:cs="Times New Roman"/>
          <w:sz w:val="24"/>
        </w:rPr>
        <w:t xml:space="preserve"> </w:t>
      </w:r>
      <w:r w:rsidRPr="0099656E">
        <w:rPr>
          <w:rFonts w:ascii="Times New Roman" w:hAnsi="Times New Roman" w:cs="Times New Roman"/>
          <w:b/>
          <w:bCs/>
          <w:sz w:val="24"/>
        </w:rPr>
        <w:t>20</w:t>
      </w:r>
      <w:r w:rsidRPr="0099656E">
        <w:rPr>
          <w:rFonts w:ascii="Times New Roman" w:hAnsi="Times New Roman" w:cs="Times New Roman"/>
          <w:sz w:val="24"/>
        </w:rPr>
        <w:t>, 2293–2306 (1987).</w:t>
      </w:r>
    </w:p>
    <w:p w14:paraId="71171958"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6.</w:t>
      </w:r>
      <w:r w:rsidRPr="0099656E">
        <w:rPr>
          <w:rFonts w:ascii="Times New Roman" w:hAnsi="Times New Roman" w:cs="Times New Roman"/>
          <w:sz w:val="24"/>
        </w:rPr>
        <w:tab/>
        <w:t xml:space="preserve">GHO | By category. </w:t>
      </w:r>
      <w:r w:rsidRPr="0099656E">
        <w:rPr>
          <w:rFonts w:ascii="Times New Roman" w:hAnsi="Times New Roman" w:cs="Times New Roman"/>
          <w:i/>
          <w:iCs/>
          <w:sz w:val="24"/>
        </w:rPr>
        <w:t>WHO</w:t>
      </w:r>
      <w:r w:rsidRPr="0099656E">
        <w:rPr>
          <w:rFonts w:ascii="Times New Roman" w:hAnsi="Times New Roman" w:cs="Times New Roman"/>
          <w:sz w:val="24"/>
        </w:rPr>
        <w:t xml:space="preserve"> https://apps.who.int/gho/data/node.main.526.</w:t>
      </w:r>
    </w:p>
    <w:p w14:paraId="1E342E3F"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7.</w:t>
      </w:r>
      <w:r w:rsidRPr="0099656E">
        <w:rPr>
          <w:rFonts w:ascii="Times New Roman" w:hAnsi="Times New Roman" w:cs="Times New Roman"/>
          <w:sz w:val="24"/>
        </w:rPr>
        <w:tab/>
        <w:t xml:space="preserve">Abu-Raddad, L. J. </w:t>
      </w:r>
      <w:r w:rsidRPr="0099656E">
        <w:rPr>
          <w:rFonts w:ascii="Times New Roman" w:hAnsi="Times New Roman" w:cs="Times New Roman"/>
          <w:i/>
          <w:iCs/>
          <w:sz w:val="24"/>
        </w:rPr>
        <w:t>et al.</w:t>
      </w:r>
      <w:r w:rsidRPr="0099656E">
        <w:rPr>
          <w:rFonts w:ascii="Times New Roman" w:hAnsi="Times New Roman" w:cs="Times New Roman"/>
          <w:sz w:val="24"/>
        </w:rPr>
        <w:t xml:space="preserve"> Epidemiological benefits of more-effective tuberculosis vaccines, drugs, and diagnostics. </w:t>
      </w:r>
      <w:r w:rsidRPr="0099656E">
        <w:rPr>
          <w:rFonts w:ascii="Times New Roman" w:hAnsi="Times New Roman" w:cs="Times New Roman"/>
          <w:i/>
          <w:iCs/>
          <w:sz w:val="24"/>
        </w:rPr>
        <w:t>PNAS</w:t>
      </w:r>
      <w:r w:rsidRPr="0099656E">
        <w:rPr>
          <w:rFonts w:ascii="Times New Roman" w:hAnsi="Times New Roman" w:cs="Times New Roman"/>
          <w:sz w:val="24"/>
        </w:rPr>
        <w:t xml:space="preserve"> </w:t>
      </w:r>
      <w:r w:rsidRPr="0099656E">
        <w:rPr>
          <w:rFonts w:ascii="Times New Roman" w:hAnsi="Times New Roman" w:cs="Times New Roman"/>
          <w:b/>
          <w:bCs/>
          <w:sz w:val="24"/>
        </w:rPr>
        <w:t>106</w:t>
      </w:r>
      <w:r w:rsidRPr="0099656E">
        <w:rPr>
          <w:rFonts w:ascii="Times New Roman" w:hAnsi="Times New Roman" w:cs="Times New Roman"/>
          <w:sz w:val="24"/>
        </w:rPr>
        <w:t>, 13980–13985 (2009).</w:t>
      </w:r>
    </w:p>
    <w:p w14:paraId="52DEE24E"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8.</w:t>
      </w:r>
      <w:r w:rsidRPr="0099656E">
        <w:rPr>
          <w:rFonts w:ascii="Times New Roman" w:hAnsi="Times New Roman" w:cs="Times New Roman"/>
          <w:sz w:val="24"/>
        </w:rPr>
        <w:tab/>
        <w:t xml:space="preserve">Dye, C., Garnett, G. P., Sleeman, K. &amp; Williams, B. G. Prospects for worldwide tuberculosis control under the WHO DOTS strategy. Directly observed short-course therapy. </w:t>
      </w:r>
      <w:r w:rsidRPr="0099656E">
        <w:rPr>
          <w:rFonts w:ascii="Times New Roman" w:hAnsi="Times New Roman" w:cs="Times New Roman"/>
          <w:i/>
          <w:iCs/>
          <w:sz w:val="24"/>
        </w:rPr>
        <w:t>Lancet</w:t>
      </w:r>
      <w:r w:rsidRPr="0099656E">
        <w:rPr>
          <w:rFonts w:ascii="Times New Roman" w:hAnsi="Times New Roman" w:cs="Times New Roman"/>
          <w:sz w:val="24"/>
        </w:rPr>
        <w:t xml:space="preserve"> </w:t>
      </w:r>
      <w:r w:rsidRPr="0099656E">
        <w:rPr>
          <w:rFonts w:ascii="Times New Roman" w:hAnsi="Times New Roman" w:cs="Times New Roman"/>
          <w:b/>
          <w:bCs/>
          <w:sz w:val="24"/>
        </w:rPr>
        <w:t>352</w:t>
      </w:r>
      <w:r w:rsidRPr="0099656E">
        <w:rPr>
          <w:rFonts w:ascii="Times New Roman" w:hAnsi="Times New Roman" w:cs="Times New Roman"/>
          <w:sz w:val="24"/>
        </w:rPr>
        <w:t>, 1886–1891 (1998).</w:t>
      </w:r>
    </w:p>
    <w:p w14:paraId="4B9CA5C0"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9.</w:t>
      </w:r>
      <w:r w:rsidRPr="0099656E">
        <w:rPr>
          <w:rFonts w:ascii="Times New Roman" w:hAnsi="Times New Roman" w:cs="Times New Roman"/>
          <w:sz w:val="24"/>
        </w:rPr>
        <w:tab/>
        <w:t xml:space="preserve">Barnett, G. &amp; Styblo, K. Bacteriological and X-ray status of tuberculosis following primary infection acquired during adolescence or later. </w:t>
      </w:r>
      <w:r w:rsidRPr="0099656E">
        <w:rPr>
          <w:rFonts w:ascii="Times New Roman" w:hAnsi="Times New Roman" w:cs="Times New Roman"/>
          <w:i/>
          <w:iCs/>
          <w:sz w:val="24"/>
        </w:rPr>
        <w:t>Bull Int Union Tuberc</w:t>
      </w:r>
      <w:r w:rsidRPr="0099656E">
        <w:rPr>
          <w:rFonts w:ascii="Times New Roman" w:hAnsi="Times New Roman" w:cs="Times New Roman"/>
          <w:sz w:val="24"/>
        </w:rPr>
        <w:t xml:space="preserve"> </w:t>
      </w:r>
      <w:r w:rsidRPr="0099656E">
        <w:rPr>
          <w:rFonts w:ascii="Times New Roman" w:hAnsi="Times New Roman" w:cs="Times New Roman"/>
          <w:b/>
          <w:bCs/>
          <w:sz w:val="24"/>
        </w:rPr>
        <w:t>52</w:t>
      </w:r>
      <w:r w:rsidRPr="0099656E">
        <w:rPr>
          <w:rFonts w:ascii="Times New Roman" w:hAnsi="Times New Roman" w:cs="Times New Roman"/>
          <w:sz w:val="24"/>
        </w:rPr>
        <w:t>, 5–16 (1977).</w:t>
      </w:r>
    </w:p>
    <w:p w14:paraId="538F814E"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10.</w:t>
      </w:r>
      <w:r w:rsidRPr="0099656E">
        <w:rPr>
          <w:rFonts w:ascii="Times New Roman" w:hAnsi="Times New Roman" w:cs="Times New Roman"/>
          <w:sz w:val="24"/>
        </w:rPr>
        <w:tab/>
        <w:t xml:space="preserve">Dye, C. &amp; Williams, B. G. Eliminating human tuberculosis in the twenty-first century. </w:t>
      </w:r>
      <w:r w:rsidRPr="0099656E">
        <w:rPr>
          <w:rFonts w:ascii="Times New Roman" w:hAnsi="Times New Roman" w:cs="Times New Roman"/>
          <w:i/>
          <w:iCs/>
          <w:sz w:val="24"/>
        </w:rPr>
        <w:t>J R Soc Interface</w:t>
      </w:r>
      <w:r w:rsidRPr="0099656E">
        <w:rPr>
          <w:rFonts w:ascii="Times New Roman" w:hAnsi="Times New Roman" w:cs="Times New Roman"/>
          <w:sz w:val="24"/>
        </w:rPr>
        <w:t xml:space="preserve"> </w:t>
      </w:r>
      <w:r w:rsidRPr="0099656E">
        <w:rPr>
          <w:rFonts w:ascii="Times New Roman" w:hAnsi="Times New Roman" w:cs="Times New Roman"/>
          <w:b/>
          <w:bCs/>
          <w:sz w:val="24"/>
        </w:rPr>
        <w:t>5</w:t>
      </w:r>
      <w:r w:rsidRPr="0099656E">
        <w:rPr>
          <w:rFonts w:ascii="Times New Roman" w:hAnsi="Times New Roman" w:cs="Times New Roman"/>
          <w:sz w:val="24"/>
        </w:rPr>
        <w:t>, 653–662 (2008).</w:t>
      </w:r>
    </w:p>
    <w:p w14:paraId="43605CE9"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11.</w:t>
      </w:r>
      <w:r w:rsidRPr="0099656E">
        <w:rPr>
          <w:rFonts w:ascii="Times New Roman" w:hAnsi="Times New Roman" w:cs="Times New Roman"/>
          <w:sz w:val="24"/>
        </w:rPr>
        <w:tab/>
        <w:t xml:space="preserve">Springett, V. H. Ten-year results during the introduction of chemotherapy for tuberculosis. </w:t>
      </w:r>
      <w:r w:rsidRPr="0099656E">
        <w:rPr>
          <w:rFonts w:ascii="Times New Roman" w:hAnsi="Times New Roman" w:cs="Times New Roman"/>
          <w:i/>
          <w:iCs/>
          <w:sz w:val="24"/>
        </w:rPr>
        <w:t>Tubercle</w:t>
      </w:r>
      <w:r w:rsidRPr="0099656E">
        <w:rPr>
          <w:rFonts w:ascii="Times New Roman" w:hAnsi="Times New Roman" w:cs="Times New Roman"/>
          <w:sz w:val="24"/>
        </w:rPr>
        <w:t xml:space="preserve"> </w:t>
      </w:r>
      <w:r w:rsidRPr="0099656E">
        <w:rPr>
          <w:rFonts w:ascii="Times New Roman" w:hAnsi="Times New Roman" w:cs="Times New Roman"/>
          <w:b/>
          <w:bCs/>
          <w:sz w:val="24"/>
        </w:rPr>
        <w:t>52</w:t>
      </w:r>
      <w:r w:rsidRPr="0099656E">
        <w:rPr>
          <w:rFonts w:ascii="Times New Roman" w:hAnsi="Times New Roman" w:cs="Times New Roman"/>
          <w:sz w:val="24"/>
        </w:rPr>
        <w:t>, 73–87 (1971).</w:t>
      </w:r>
    </w:p>
    <w:p w14:paraId="62D92CBC"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lastRenderedPageBreak/>
        <w:t>12.</w:t>
      </w:r>
      <w:r w:rsidRPr="0099656E">
        <w:rPr>
          <w:rFonts w:ascii="Times New Roman" w:hAnsi="Times New Roman" w:cs="Times New Roman"/>
          <w:sz w:val="24"/>
        </w:rPr>
        <w:tab/>
      </w:r>
      <w:r w:rsidRPr="0099656E">
        <w:rPr>
          <w:rFonts w:ascii="Times New Roman" w:hAnsi="Times New Roman" w:cs="Times New Roman"/>
          <w:i/>
          <w:iCs/>
          <w:sz w:val="24"/>
        </w:rPr>
        <w:t>Treatment of Tuberculosis: Guidelines</w:t>
      </w:r>
      <w:r w:rsidRPr="0099656E">
        <w:rPr>
          <w:rFonts w:ascii="Times New Roman" w:hAnsi="Times New Roman" w:cs="Times New Roman"/>
          <w:sz w:val="24"/>
        </w:rPr>
        <w:t>. (World Health Organization, 2010).</w:t>
      </w:r>
    </w:p>
    <w:p w14:paraId="40961D2F"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13.</w:t>
      </w:r>
      <w:r w:rsidRPr="0099656E">
        <w:rPr>
          <w:rFonts w:ascii="Times New Roman" w:hAnsi="Times New Roman" w:cs="Times New Roman"/>
          <w:sz w:val="24"/>
        </w:rPr>
        <w:tab/>
        <w:t xml:space="preserve">Small, P. M. </w:t>
      </w:r>
      <w:r w:rsidRPr="0099656E">
        <w:rPr>
          <w:rFonts w:ascii="Times New Roman" w:hAnsi="Times New Roman" w:cs="Times New Roman"/>
          <w:i/>
          <w:iCs/>
          <w:sz w:val="24"/>
        </w:rPr>
        <w:t>et al.</w:t>
      </w:r>
      <w:r w:rsidRPr="0099656E">
        <w:rPr>
          <w:rFonts w:ascii="Times New Roman" w:hAnsi="Times New Roman" w:cs="Times New Roman"/>
          <w:sz w:val="24"/>
        </w:rPr>
        <w:t xml:space="preserve"> The Epidemiology of Tuberculosis in San Francisco – A Population-Based Study Using Conventional and Molecular Methods. </w:t>
      </w:r>
      <w:r w:rsidRPr="0099656E">
        <w:rPr>
          <w:rFonts w:ascii="Times New Roman" w:hAnsi="Times New Roman" w:cs="Times New Roman"/>
          <w:i/>
          <w:iCs/>
          <w:sz w:val="24"/>
        </w:rPr>
        <w:t>New England Journal of Medicine</w:t>
      </w:r>
      <w:r w:rsidRPr="0099656E">
        <w:rPr>
          <w:rFonts w:ascii="Times New Roman" w:hAnsi="Times New Roman" w:cs="Times New Roman"/>
          <w:sz w:val="24"/>
        </w:rPr>
        <w:t xml:space="preserve"> </w:t>
      </w:r>
      <w:r w:rsidRPr="0099656E">
        <w:rPr>
          <w:rFonts w:ascii="Times New Roman" w:hAnsi="Times New Roman" w:cs="Times New Roman"/>
          <w:b/>
          <w:bCs/>
          <w:sz w:val="24"/>
        </w:rPr>
        <w:t>330</w:t>
      </w:r>
      <w:r w:rsidRPr="0099656E">
        <w:rPr>
          <w:rFonts w:ascii="Times New Roman" w:hAnsi="Times New Roman" w:cs="Times New Roman"/>
          <w:sz w:val="24"/>
        </w:rPr>
        <w:t>, 1703–1709 (1994).</w:t>
      </w:r>
    </w:p>
    <w:p w14:paraId="59EA7BB3"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14.</w:t>
      </w:r>
      <w:r w:rsidRPr="0099656E">
        <w:rPr>
          <w:rFonts w:ascii="Times New Roman" w:hAnsi="Times New Roman" w:cs="Times New Roman"/>
          <w:sz w:val="24"/>
        </w:rPr>
        <w:tab/>
        <w:t xml:space="preserve">Chang, J.-T. </w:t>
      </w:r>
      <w:r w:rsidRPr="0099656E">
        <w:rPr>
          <w:rFonts w:ascii="Times New Roman" w:hAnsi="Times New Roman" w:cs="Times New Roman"/>
          <w:i/>
          <w:iCs/>
          <w:sz w:val="24"/>
        </w:rPr>
        <w:t>et al.</w:t>
      </w:r>
      <w:r w:rsidRPr="0099656E">
        <w:rPr>
          <w:rFonts w:ascii="Times New Roman" w:hAnsi="Times New Roman" w:cs="Times New Roman"/>
          <w:sz w:val="24"/>
        </w:rPr>
        <w:t xml:space="preserve"> Effect of type 2 diabetes mellitus on the clinical severity and treatment outcome in patients with pulmonary tuberculosis: a potential role in the emergence of multidrug-resistance. </w:t>
      </w:r>
      <w:r w:rsidRPr="0099656E">
        <w:rPr>
          <w:rFonts w:ascii="Times New Roman" w:hAnsi="Times New Roman" w:cs="Times New Roman"/>
          <w:i/>
          <w:iCs/>
          <w:sz w:val="24"/>
        </w:rPr>
        <w:t>J. Formos. Med. Assoc.</w:t>
      </w:r>
      <w:r w:rsidRPr="0099656E">
        <w:rPr>
          <w:rFonts w:ascii="Times New Roman" w:hAnsi="Times New Roman" w:cs="Times New Roman"/>
          <w:sz w:val="24"/>
        </w:rPr>
        <w:t xml:space="preserve"> </w:t>
      </w:r>
      <w:r w:rsidRPr="0099656E">
        <w:rPr>
          <w:rFonts w:ascii="Times New Roman" w:hAnsi="Times New Roman" w:cs="Times New Roman"/>
          <w:b/>
          <w:bCs/>
          <w:sz w:val="24"/>
        </w:rPr>
        <w:t>110</w:t>
      </w:r>
      <w:r w:rsidRPr="0099656E">
        <w:rPr>
          <w:rFonts w:ascii="Times New Roman" w:hAnsi="Times New Roman" w:cs="Times New Roman"/>
          <w:sz w:val="24"/>
        </w:rPr>
        <w:t>, 372–381 (2011).</w:t>
      </w:r>
    </w:p>
    <w:p w14:paraId="139863E3"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15.</w:t>
      </w:r>
      <w:r w:rsidRPr="0099656E">
        <w:rPr>
          <w:rFonts w:ascii="Times New Roman" w:hAnsi="Times New Roman" w:cs="Times New Roman"/>
          <w:sz w:val="24"/>
        </w:rPr>
        <w:tab/>
        <w:t xml:space="preserve">Preston, S., Heuveline, P. &amp; Guillot, M. </w:t>
      </w:r>
      <w:r w:rsidRPr="0099656E">
        <w:rPr>
          <w:rFonts w:ascii="Times New Roman" w:hAnsi="Times New Roman" w:cs="Times New Roman"/>
          <w:i/>
          <w:iCs/>
          <w:sz w:val="24"/>
        </w:rPr>
        <w:t>Demography: Measuring and Modeling Population Processes</w:t>
      </w:r>
      <w:r w:rsidRPr="0099656E">
        <w:rPr>
          <w:rFonts w:ascii="Times New Roman" w:hAnsi="Times New Roman" w:cs="Times New Roman"/>
          <w:sz w:val="24"/>
        </w:rPr>
        <w:t>. (Wiley-Blackwell, 2000).</w:t>
      </w:r>
    </w:p>
    <w:p w14:paraId="583CB77B"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16.</w:t>
      </w:r>
      <w:r w:rsidRPr="0099656E">
        <w:rPr>
          <w:rFonts w:ascii="Times New Roman" w:hAnsi="Times New Roman" w:cs="Times New Roman"/>
          <w:sz w:val="24"/>
        </w:rPr>
        <w:tab/>
        <w:t xml:space="preserve">Jamison, D. T. </w:t>
      </w:r>
      <w:r w:rsidRPr="0099656E">
        <w:rPr>
          <w:rFonts w:ascii="Times New Roman" w:hAnsi="Times New Roman" w:cs="Times New Roman"/>
          <w:i/>
          <w:iCs/>
          <w:sz w:val="24"/>
        </w:rPr>
        <w:t>et al.</w:t>
      </w:r>
      <w:r w:rsidRPr="0099656E">
        <w:rPr>
          <w:rFonts w:ascii="Times New Roman" w:hAnsi="Times New Roman" w:cs="Times New Roman"/>
          <w:sz w:val="24"/>
        </w:rPr>
        <w:t xml:space="preserve"> Global health 2035: a world converging within a generation. </w:t>
      </w:r>
      <w:r w:rsidRPr="0099656E">
        <w:rPr>
          <w:rFonts w:ascii="Times New Roman" w:hAnsi="Times New Roman" w:cs="Times New Roman"/>
          <w:i/>
          <w:iCs/>
          <w:sz w:val="24"/>
        </w:rPr>
        <w:t>The Lancet</w:t>
      </w:r>
      <w:r w:rsidRPr="0099656E">
        <w:rPr>
          <w:rFonts w:ascii="Times New Roman" w:hAnsi="Times New Roman" w:cs="Times New Roman"/>
          <w:sz w:val="24"/>
        </w:rPr>
        <w:t xml:space="preserve"> </w:t>
      </w:r>
      <w:r w:rsidRPr="0099656E">
        <w:rPr>
          <w:rFonts w:ascii="Times New Roman" w:hAnsi="Times New Roman" w:cs="Times New Roman"/>
          <w:b/>
          <w:bCs/>
          <w:sz w:val="24"/>
        </w:rPr>
        <w:t>382</w:t>
      </w:r>
      <w:r w:rsidRPr="0099656E">
        <w:rPr>
          <w:rFonts w:ascii="Times New Roman" w:hAnsi="Times New Roman" w:cs="Times New Roman"/>
          <w:sz w:val="24"/>
        </w:rPr>
        <w:t>, 1898–1955 (2013).</w:t>
      </w:r>
    </w:p>
    <w:p w14:paraId="2C57D67B"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17.</w:t>
      </w:r>
      <w:r w:rsidRPr="0099656E">
        <w:rPr>
          <w:rFonts w:ascii="Times New Roman" w:hAnsi="Times New Roman" w:cs="Times New Roman"/>
          <w:sz w:val="24"/>
        </w:rPr>
        <w:tab/>
        <w:t xml:space="preserve">US EPA, O. Guidelines for Preparing Economic Analyses. </w:t>
      </w:r>
      <w:r w:rsidRPr="0099656E">
        <w:rPr>
          <w:rFonts w:ascii="Times New Roman" w:hAnsi="Times New Roman" w:cs="Times New Roman"/>
          <w:i/>
          <w:iCs/>
          <w:sz w:val="24"/>
        </w:rPr>
        <w:t>US EPA</w:t>
      </w:r>
      <w:r w:rsidRPr="0099656E">
        <w:rPr>
          <w:rFonts w:ascii="Times New Roman" w:hAnsi="Times New Roman" w:cs="Times New Roman"/>
          <w:sz w:val="24"/>
        </w:rPr>
        <w:t xml:space="preserve"> https://www.epa.gov/environmental-economics/guidelines-preparing-economic-analyses (2014).</w:t>
      </w:r>
    </w:p>
    <w:p w14:paraId="40CBFCA2" w14:textId="77777777" w:rsidR="0099656E" w:rsidRPr="0099656E" w:rsidRDefault="0099656E" w:rsidP="0099656E">
      <w:pPr>
        <w:pStyle w:val="Bibliography"/>
        <w:rPr>
          <w:rFonts w:ascii="Times New Roman" w:hAnsi="Times New Roman" w:cs="Times New Roman"/>
          <w:sz w:val="24"/>
        </w:rPr>
      </w:pPr>
      <w:r w:rsidRPr="0099656E">
        <w:rPr>
          <w:rFonts w:ascii="Times New Roman" w:hAnsi="Times New Roman" w:cs="Times New Roman"/>
          <w:sz w:val="24"/>
        </w:rPr>
        <w:t>18.</w:t>
      </w:r>
      <w:r w:rsidRPr="0099656E">
        <w:rPr>
          <w:rFonts w:ascii="Times New Roman" w:hAnsi="Times New Roman" w:cs="Times New Roman"/>
          <w:sz w:val="24"/>
        </w:rPr>
        <w:tab/>
        <w:t xml:space="preserve">Akaike, H. A new look at the statistical model identification. </w:t>
      </w:r>
      <w:r w:rsidRPr="0099656E">
        <w:rPr>
          <w:rFonts w:ascii="Times New Roman" w:hAnsi="Times New Roman" w:cs="Times New Roman"/>
          <w:i/>
          <w:iCs/>
          <w:sz w:val="24"/>
        </w:rPr>
        <w:t>IEEE Transactions on Automatic Control</w:t>
      </w:r>
      <w:r w:rsidRPr="0099656E">
        <w:rPr>
          <w:rFonts w:ascii="Times New Roman" w:hAnsi="Times New Roman" w:cs="Times New Roman"/>
          <w:sz w:val="24"/>
        </w:rPr>
        <w:t xml:space="preserve"> </w:t>
      </w:r>
      <w:r w:rsidRPr="0099656E">
        <w:rPr>
          <w:rFonts w:ascii="Times New Roman" w:hAnsi="Times New Roman" w:cs="Times New Roman"/>
          <w:b/>
          <w:bCs/>
          <w:sz w:val="24"/>
        </w:rPr>
        <w:t>19</w:t>
      </w:r>
      <w:r w:rsidRPr="0099656E">
        <w:rPr>
          <w:rFonts w:ascii="Times New Roman" w:hAnsi="Times New Roman" w:cs="Times New Roman"/>
          <w:sz w:val="24"/>
        </w:rPr>
        <w:t>, 716–723 (1974).</w:t>
      </w:r>
    </w:p>
    <w:p w14:paraId="63A2DF1B" w14:textId="0A6A5EDD" w:rsidR="006722C2" w:rsidRPr="006722C2" w:rsidRDefault="00A06F33" w:rsidP="006722C2">
      <w:pPr>
        <w:pStyle w:val="p"/>
        <w:spacing w:before="360" w:line="240" w:lineRule="auto"/>
        <w:ind w:firstLine="0"/>
        <w:rPr>
          <w:b/>
          <w:lang w:val="en-US"/>
        </w:rPr>
      </w:pPr>
      <w:r>
        <w:rPr>
          <w:b/>
          <w:lang w:val="en-US"/>
        </w:rPr>
        <w:fldChar w:fldCharType="end"/>
      </w:r>
    </w:p>
    <w:sectPr w:rsidR="006722C2" w:rsidRPr="006722C2" w:rsidSect="00B07DF0">
      <w:footerReference w:type="even" r:id="rId257"/>
      <w:footerReference w:type="default" r:id="rId2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1289F" w14:textId="77777777" w:rsidR="0083391B" w:rsidRDefault="0083391B" w:rsidP="004C0182">
      <w:pPr>
        <w:spacing w:after="0" w:line="240" w:lineRule="auto"/>
      </w:pPr>
      <w:r>
        <w:separator/>
      </w:r>
    </w:p>
  </w:endnote>
  <w:endnote w:type="continuationSeparator" w:id="0">
    <w:p w14:paraId="4F64E64D" w14:textId="77777777" w:rsidR="0083391B" w:rsidRDefault="0083391B" w:rsidP="004C0182">
      <w:pPr>
        <w:spacing w:after="0" w:line="240" w:lineRule="auto"/>
      </w:pPr>
      <w:r>
        <w:continuationSeparator/>
      </w:r>
    </w:p>
  </w:endnote>
  <w:endnote w:type="continuationNotice" w:id="1">
    <w:p w14:paraId="0183D5EF" w14:textId="77777777" w:rsidR="0083391B" w:rsidRDefault="00833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8127453"/>
      <w:docPartObj>
        <w:docPartGallery w:val="Page Numbers (Bottom of Page)"/>
        <w:docPartUnique/>
      </w:docPartObj>
    </w:sdtPr>
    <w:sdtEndPr>
      <w:rPr>
        <w:rStyle w:val="PageNumber"/>
      </w:rPr>
    </w:sdtEndPr>
    <w:sdtContent>
      <w:p w14:paraId="3A16F26A" w14:textId="77777777" w:rsidR="000F36DE" w:rsidRDefault="000F36DE" w:rsidP="000F36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5EAA3F" w14:textId="77777777" w:rsidR="000F36DE" w:rsidRDefault="000F36DE" w:rsidP="00B07D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9423155"/>
      <w:docPartObj>
        <w:docPartGallery w:val="Page Numbers (Bottom of Page)"/>
        <w:docPartUnique/>
      </w:docPartObj>
    </w:sdtPr>
    <w:sdtEndPr>
      <w:rPr>
        <w:rStyle w:val="PageNumber"/>
      </w:rPr>
    </w:sdtEndPr>
    <w:sdtContent>
      <w:p w14:paraId="05A96012" w14:textId="77777777" w:rsidR="000F36DE" w:rsidRDefault="000F36DE" w:rsidP="000F36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DD74DE2" w14:textId="77777777" w:rsidR="000F36DE" w:rsidRDefault="000F36DE" w:rsidP="00B07D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8A1DF" w14:textId="77777777" w:rsidR="0083391B" w:rsidRDefault="0083391B" w:rsidP="004C0182">
      <w:pPr>
        <w:spacing w:after="0" w:line="240" w:lineRule="auto"/>
      </w:pPr>
      <w:r>
        <w:separator/>
      </w:r>
    </w:p>
  </w:footnote>
  <w:footnote w:type="continuationSeparator" w:id="0">
    <w:p w14:paraId="60BEFEA8" w14:textId="77777777" w:rsidR="0083391B" w:rsidRDefault="0083391B" w:rsidP="004C0182">
      <w:pPr>
        <w:spacing w:after="0" w:line="240" w:lineRule="auto"/>
      </w:pPr>
      <w:r>
        <w:continuationSeparator/>
      </w:r>
    </w:p>
  </w:footnote>
  <w:footnote w:type="continuationNotice" w:id="1">
    <w:p w14:paraId="169FF5B6" w14:textId="77777777" w:rsidR="0083391B" w:rsidRDefault="008339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638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F325F7"/>
    <w:multiLevelType w:val="multilevel"/>
    <w:tmpl w:val="DEE0B416"/>
    <w:lvl w:ilvl="0">
      <w:start w:val="1"/>
      <w:numFmt w:val="decimal"/>
      <w:lvlText w:val="%1."/>
      <w:lvlJc w:val="left"/>
      <w:pPr>
        <w:ind w:left="360" w:hanging="360"/>
      </w:pPr>
      <w:rPr>
        <w:rFonts w:hint="default"/>
      </w:rPr>
    </w:lvl>
    <w:lvl w:ilvl="1">
      <w:start w:val="1"/>
      <w:numFmt w:val="decimal"/>
      <w:lvlText w:val="%1.%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C10BD8"/>
    <w:multiLevelType w:val="hybridMultilevel"/>
    <w:tmpl w:val="20362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4462F"/>
    <w:multiLevelType w:val="hybridMultilevel"/>
    <w:tmpl w:val="8FAA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62961"/>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36411E1E"/>
    <w:multiLevelType w:val="multilevel"/>
    <w:tmpl w:val="ABAC6E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784284"/>
    <w:multiLevelType w:val="hybridMultilevel"/>
    <w:tmpl w:val="F8FEEB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EB7F9D"/>
    <w:multiLevelType w:val="hybridMultilevel"/>
    <w:tmpl w:val="A9C0BEE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B6259DD"/>
    <w:multiLevelType w:val="multilevel"/>
    <w:tmpl w:val="E92E348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BA6D05"/>
    <w:multiLevelType w:val="hybridMultilevel"/>
    <w:tmpl w:val="05DE7740"/>
    <w:lvl w:ilvl="0" w:tplc="B5EA40DE">
      <w:start w:val="6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E63A15"/>
    <w:multiLevelType w:val="hybridMultilevel"/>
    <w:tmpl w:val="4D30913A"/>
    <w:lvl w:ilvl="0" w:tplc="CB308DE6">
      <w:start w:val="1"/>
      <w:numFmt w:val="bullet"/>
      <w:lvlText w:val=""/>
      <w:lvlJc w:val="left"/>
      <w:pPr>
        <w:ind w:left="360" w:hanging="360"/>
      </w:pPr>
      <w:rPr>
        <w:rFonts w:ascii="Symbol" w:eastAsia="Times New Roman" w:hAnsi="Symbol" w:cs="Times New Roman" w:hint="default"/>
        <w:b/>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AF6474"/>
    <w:multiLevelType w:val="hybridMultilevel"/>
    <w:tmpl w:val="0518B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17499"/>
    <w:multiLevelType w:val="multilevel"/>
    <w:tmpl w:val="E92E348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7C7687"/>
    <w:multiLevelType w:val="multilevel"/>
    <w:tmpl w:val="EA9AB032"/>
    <w:lvl w:ilvl="0">
      <w:start w:val="2"/>
      <w:numFmt w:val="decimal"/>
      <w:lvlText w:val="%1"/>
      <w:lvlJc w:val="left"/>
      <w:pPr>
        <w:ind w:left="360" w:hanging="360"/>
      </w:pPr>
      <w:rPr>
        <w:rFonts w:ascii="Times New Roman" w:eastAsia="Times New Roman" w:hAnsi="Times New Roman" w:cs="Times New Roman" w:hint="default"/>
        <w:b/>
        <w:sz w:val="24"/>
      </w:rPr>
    </w:lvl>
    <w:lvl w:ilvl="1">
      <w:start w:val="2"/>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1080" w:hanging="108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440" w:hanging="144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440" w:hanging="1440"/>
      </w:pPr>
      <w:rPr>
        <w:rFonts w:ascii="Times New Roman" w:eastAsia="Times New Roman" w:hAnsi="Times New Roman" w:cs="Times New Roman" w:hint="default"/>
        <w:b/>
        <w:sz w:val="24"/>
      </w:rPr>
    </w:lvl>
  </w:abstractNum>
  <w:abstractNum w:abstractNumId="14" w15:restartNumberingAfterBreak="0">
    <w:nsid w:val="608220CD"/>
    <w:multiLevelType w:val="hybridMultilevel"/>
    <w:tmpl w:val="0E261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E0759"/>
    <w:multiLevelType w:val="hybridMultilevel"/>
    <w:tmpl w:val="41D88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342B07"/>
    <w:multiLevelType w:val="multilevel"/>
    <w:tmpl w:val="E92E348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5525BC"/>
    <w:multiLevelType w:val="hybridMultilevel"/>
    <w:tmpl w:val="FB3E13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CD043E"/>
    <w:multiLevelType w:val="multilevel"/>
    <w:tmpl w:val="E90AA9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E238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A23C4D"/>
    <w:multiLevelType w:val="hybridMultilevel"/>
    <w:tmpl w:val="6616E7F6"/>
    <w:lvl w:ilvl="0" w:tplc="03867F7E">
      <w:start w:val="5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0"/>
  </w:num>
  <w:num w:numId="4">
    <w:abstractNumId w:val="8"/>
  </w:num>
  <w:num w:numId="5">
    <w:abstractNumId w:val="4"/>
  </w:num>
  <w:num w:numId="6">
    <w:abstractNumId w:val="13"/>
  </w:num>
  <w:num w:numId="7">
    <w:abstractNumId w:val="14"/>
  </w:num>
  <w:num w:numId="8">
    <w:abstractNumId w:val="12"/>
  </w:num>
  <w:num w:numId="9">
    <w:abstractNumId w:val="16"/>
  </w:num>
  <w:num w:numId="10">
    <w:abstractNumId w:val="11"/>
  </w:num>
  <w:num w:numId="11">
    <w:abstractNumId w:val="15"/>
  </w:num>
  <w:num w:numId="12">
    <w:abstractNumId w:val="19"/>
  </w:num>
  <w:num w:numId="13">
    <w:abstractNumId w:val="0"/>
  </w:num>
  <w:num w:numId="14">
    <w:abstractNumId w:val="2"/>
  </w:num>
  <w:num w:numId="15">
    <w:abstractNumId w:val="1"/>
  </w:num>
  <w:num w:numId="16">
    <w:abstractNumId w:val="5"/>
  </w:num>
  <w:num w:numId="17">
    <w:abstractNumId w:val="18"/>
  </w:num>
  <w:num w:numId="18">
    <w:abstractNumId w:val="3"/>
  </w:num>
  <w:num w:numId="19">
    <w:abstractNumId w:val="7"/>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CwtLQ0NrYwMTQ1NzZX0lEKTi0uzszPAykwN6oFANHmiJwtAAAA"/>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fewra2bvest2er0pb5v207vwrerdrpx2dw&quot;&gt;TB-DM_Database 2018&lt;record-ids&gt;&lt;item&gt;32&lt;/item&gt;&lt;item&gt;37&lt;/item&gt;&lt;item&gt;174&lt;/item&gt;&lt;item&gt;178&lt;/item&gt;&lt;item&gt;194&lt;/item&gt;&lt;item&gt;256&lt;/item&gt;&lt;item&gt;257&lt;/item&gt;&lt;item&gt;259&lt;/item&gt;&lt;item&gt;260&lt;/item&gt;&lt;item&gt;261&lt;/item&gt;&lt;item&gt;280&lt;/item&gt;&lt;item&gt;311&lt;/item&gt;&lt;/record-ids&gt;&lt;/item&gt;&lt;/Libraries&gt;"/>
  </w:docVars>
  <w:rsids>
    <w:rsidRoot w:val="00E03374"/>
    <w:rsid w:val="0000017A"/>
    <w:rsid w:val="00001082"/>
    <w:rsid w:val="000012D0"/>
    <w:rsid w:val="00002704"/>
    <w:rsid w:val="00002841"/>
    <w:rsid w:val="0000364E"/>
    <w:rsid w:val="0000405E"/>
    <w:rsid w:val="0000406C"/>
    <w:rsid w:val="00004349"/>
    <w:rsid w:val="00005776"/>
    <w:rsid w:val="00005AF6"/>
    <w:rsid w:val="0000733A"/>
    <w:rsid w:val="00011043"/>
    <w:rsid w:val="00011A85"/>
    <w:rsid w:val="000123E4"/>
    <w:rsid w:val="00015EB3"/>
    <w:rsid w:val="00015FEC"/>
    <w:rsid w:val="00016526"/>
    <w:rsid w:val="00016B8E"/>
    <w:rsid w:val="00016DFD"/>
    <w:rsid w:val="00017AAB"/>
    <w:rsid w:val="00020D39"/>
    <w:rsid w:val="00021F15"/>
    <w:rsid w:val="000231AF"/>
    <w:rsid w:val="00024B7F"/>
    <w:rsid w:val="00025F3C"/>
    <w:rsid w:val="00026EDF"/>
    <w:rsid w:val="0002725C"/>
    <w:rsid w:val="000272DF"/>
    <w:rsid w:val="000274BF"/>
    <w:rsid w:val="00027888"/>
    <w:rsid w:val="000321C8"/>
    <w:rsid w:val="00032742"/>
    <w:rsid w:val="00033D22"/>
    <w:rsid w:val="0003464C"/>
    <w:rsid w:val="00034A6A"/>
    <w:rsid w:val="00035D74"/>
    <w:rsid w:val="00036A9B"/>
    <w:rsid w:val="00036B56"/>
    <w:rsid w:val="00037668"/>
    <w:rsid w:val="00037AE0"/>
    <w:rsid w:val="00037E5B"/>
    <w:rsid w:val="00040150"/>
    <w:rsid w:val="00040A4A"/>
    <w:rsid w:val="0004333F"/>
    <w:rsid w:val="00043364"/>
    <w:rsid w:val="0004349D"/>
    <w:rsid w:val="00044739"/>
    <w:rsid w:val="00044B30"/>
    <w:rsid w:val="0004674E"/>
    <w:rsid w:val="00046FB7"/>
    <w:rsid w:val="00047E92"/>
    <w:rsid w:val="000503B2"/>
    <w:rsid w:val="0005123E"/>
    <w:rsid w:val="00051DBC"/>
    <w:rsid w:val="00053258"/>
    <w:rsid w:val="000544F9"/>
    <w:rsid w:val="0005456F"/>
    <w:rsid w:val="00054781"/>
    <w:rsid w:val="00054C00"/>
    <w:rsid w:val="00056C68"/>
    <w:rsid w:val="00057D43"/>
    <w:rsid w:val="00057E92"/>
    <w:rsid w:val="00061DAF"/>
    <w:rsid w:val="000622B7"/>
    <w:rsid w:val="000625AB"/>
    <w:rsid w:val="00062C13"/>
    <w:rsid w:val="000630BF"/>
    <w:rsid w:val="00063856"/>
    <w:rsid w:val="00063D04"/>
    <w:rsid w:val="00065B47"/>
    <w:rsid w:val="000663EC"/>
    <w:rsid w:val="00067218"/>
    <w:rsid w:val="0006760C"/>
    <w:rsid w:val="00067F00"/>
    <w:rsid w:val="00071865"/>
    <w:rsid w:val="00072C60"/>
    <w:rsid w:val="00073B72"/>
    <w:rsid w:val="00075108"/>
    <w:rsid w:val="00075C06"/>
    <w:rsid w:val="00076AB2"/>
    <w:rsid w:val="00076D2E"/>
    <w:rsid w:val="00077E24"/>
    <w:rsid w:val="0008039D"/>
    <w:rsid w:val="0008141E"/>
    <w:rsid w:val="0008269A"/>
    <w:rsid w:val="000830CD"/>
    <w:rsid w:val="000837D9"/>
    <w:rsid w:val="00084FB1"/>
    <w:rsid w:val="00086186"/>
    <w:rsid w:val="0008631E"/>
    <w:rsid w:val="0009137D"/>
    <w:rsid w:val="000920F5"/>
    <w:rsid w:val="0009232D"/>
    <w:rsid w:val="00092B3F"/>
    <w:rsid w:val="00093B20"/>
    <w:rsid w:val="00093E8E"/>
    <w:rsid w:val="00094E3A"/>
    <w:rsid w:val="00095DD3"/>
    <w:rsid w:val="00097D01"/>
    <w:rsid w:val="000A08ED"/>
    <w:rsid w:val="000A1D65"/>
    <w:rsid w:val="000A27D0"/>
    <w:rsid w:val="000A2F89"/>
    <w:rsid w:val="000A42AB"/>
    <w:rsid w:val="000A5085"/>
    <w:rsid w:val="000A5FD9"/>
    <w:rsid w:val="000A7BD9"/>
    <w:rsid w:val="000A7D2C"/>
    <w:rsid w:val="000B09D5"/>
    <w:rsid w:val="000B0FAC"/>
    <w:rsid w:val="000B2DF4"/>
    <w:rsid w:val="000B2EF0"/>
    <w:rsid w:val="000B41CC"/>
    <w:rsid w:val="000B42E1"/>
    <w:rsid w:val="000B5AE3"/>
    <w:rsid w:val="000B5BC0"/>
    <w:rsid w:val="000B5DCD"/>
    <w:rsid w:val="000C0169"/>
    <w:rsid w:val="000C01AC"/>
    <w:rsid w:val="000C0517"/>
    <w:rsid w:val="000C2CA8"/>
    <w:rsid w:val="000C2FE7"/>
    <w:rsid w:val="000C4BF8"/>
    <w:rsid w:val="000C5C51"/>
    <w:rsid w:val="000C64AA"/>
    <w:rsid w:val="000C6FBC"/>
    <w:rsid w:val="000C7BDF"/>
    <w:rsid w:val="000C7BFA"/>
    <w:rsid w:val="000D003D"/>
    <w:rsid w:val="000D043C"/>
    <w:rsid w:val="000D0C81"/>
    <w:rsid w:val="000D0CEC"/>
    <w:rsid w:val="000D19E8"/>
    <w:rsid w:val="000D32A7"/>
    <w:rsid w:val="000D51F2"/>
    <w:rsid w:val="000D52F0"/>
    <w:rsid w:val="000D7247"/>
    <w:rsid w:val="000D7BA1"/>
    <w:rsid w:val="000E2F0D"/>
    <w:rsid w:val="000E2FF0"/>
    <w:rsid w:val="000E39EB"/>
    <w:rsid w:val="000E5F4D"/>
    <w:rsid w:val="000E6E8C"/>
    <w:rsid w:val="000E7614"/>
    <w:rsid w:val="000E76F8"/>
    <w:rsid w:val="000E7860"/>
    <w:rsid w:val="000F07D4"/>
    <w:rsid w:val="000F1ADF"/>
    <w:rsid w:val="000F1BA6"/>
    <w:rsid w:val="000F2542"/>
    <w:rsid w:val="000F2D3F"/>
    <w:rsid w:val="000F36DE"/>
    <w:rsid w:val="000F3DFF"/>
    <w:rsid w:val="000F47F8"/>
    <w:rsid w:val="000F4EFF"/>
    <w:rsid w:val="000F54DA"/>
    <w:rsid w:val="000F6ECE"/>
    <w:rsid w:val="000F785D"/>
    <w:rsid w:val="001025FC"/>
    <w:rsid w:val="001027FD"/>
    <w:rsid w:val="001050E8"/>
    <w:rsid w:val="001106DF"/>
    <w:rsid w:val="00113E8A"/>
    <w:rsid w:val="00114328"/>
    <w:rsid w:val="00116E19"/>
    <w:rsid w:val="00117CD1"/>
    <w:rsid w:val="00122DF0"/>
    <w:rsid w:val="00122EB2"/>
    <w:rsid w:val="0012330D"/>
    <w:rsid w:val="00123BA6"/>
    <w:rsid w:val="001240BF"/>
    <w:rsid w:val="001240C8"/>
    <w:rsid w:val="00124540"/>
    <w:rsid w:val="001260AA"/>
    <w:rsid w:val="001270DC"/>
    <w:rsid w:val="00127EBB"/>
    <w:rsid w:val="001315E4"/>
    <w:rsid w:val="00131876"/>
    <w:rsid w:val="00132595"/>
    <w:rsid w:val="001333A8"/>
    <w:rsid w:val="00133D98"/>
    <w:rsid w:val="00134C5E"/>
    <w:rsid w:val="0013523E"/>
    <w:rsid w:val="00135471"/>
    <w:rsid w:val="001358FE"/>
    <w:rsid w:val="00135988"/>
    <w:rsid w:val="00141719"/>
    <w:rsid w:val="00141E24"/>
    <w:rsid w:val="00142641"/>
    <w:rsid w:val="00143404"/>
    <w:rsid w:val="001447A1"/>
    <w:rsid w:val="00146A2A"/>
    <w:rsid w:val="00146A3B"/>
    <w:rsid w:val="00146F20"/>
    <w:rsid w:val="0015166A"/>
    <w:rsid w:val="00151F07"/>
    <w:rsid w:val="001523E9"/>
    <w:rsid w:val="00152843"/>
    <w:rsid w:val="00152859"/>
    <w:rsid w:val="00153721"/>
    <w:rsid w:val="001538F8"/>
    <w:rsid w:val="00154E22"/>
    <w:rsid w:val="001551C5"/>
    <w:rsid w:val="00155284"/>
    <w:rsid w:val="0015594B"/>
    <w:rsid w:val="00156258"/>
    <w:rsid w:val="0015664A"/>
    <w:rsid w:val="001567C5"/>
    <w:rsid w:val="00156BBB"/>
    <w:rsid w:val="001579B0"/>
    <w:rsid w:val="00157A58"/>
    <w:rsid w:val="00157F9B"/>
    <w:rsid w:val="00160C29"/>
    <w:rsid w:val="00163ABC"/>
    <w:rsid w:val="00164AA1"/>
    <w:rsid w:val="00164CFD"/>
    <w:rsid w:val="001659EE"/>
    <w:rsid w:val="00165D5E"/>
    <w:rsid w:val="00166090"/>
    <w:rsid w:val="0016618A"/>
    <w:rsid w:val="00166219"/>
    <w:rsid w:val="00166CCC"/>
    <w:rsid w:val="001717E5"/>
    <w:rsid w:val="00171E86"/>
    <w:rsid w:val="00173801"/>
    <w:rsid w:val="00175075"/>
    <w:rsid w:val="00175710"/>
    <w:rsid w:val="0017595E"/>
    <w:rsid w:val="00177AF9"/>
    <w:rsid w:val="00177CDA"/>
    <w:rsid w:val="00180C00"/>
    <w:rsid w:val="001833DB"/>
    <w:rsid w:val="00185145"/>
    <w:rsid w:val="00185B58"/>
    <w:rsid w:val="00185B87"/>
    <w:rsid w:val="00186FAA"/>
    <w:rsid w:val="00190AC7"/>
    <w:rsid w:val="00193119"/>
    <w:rsid w:val="00196412"/>
    <w:rsid w:val="0019646F"/>
    <w:rsid w:val="00197081"/>
    <w:rsid w:val="0019765B"/>
    <w:rsid w:val="001A084D"/>
    <w:rsid w:val="001A0C88"/>
    <w:rsid w:val="001A102F"/>
    <w:rsid w:val="001A14DB"/>
    <w:rsid w:val="001A1BB8"/>
    <w:rsid w:val="001A3A4B"/>
    <w:rsid w:val="001A4BAB"/>
    <w:rsid w:val="001A56BC"/>
    <w:rsid w:val="001A5A7D"/>
    <w:rsid w:val="001A7ABD"/>
    <w:rsid w:val="001B2F0E"/>
    <w:rsid w:val="001B324B"/>
    <w:rsid w:val="001B4779"/>
    <w:rsid w:val="001B7DFE"/>
    <w:rsid w:val="001C26DA"/>
    <w:rsid w:val="001C2A26"/>
    <w:rsid w:val="001C481C"/>
    <w:rsid w:val="001C4F74"/>
    <w:rsid w:val="001C52D5"/>
    <w:rsid w:val="001C52EB"/>
    <w:rsid w:val="001C5C81"/>
    <w:rsid w:val="001C7C6A"/>
    <w:rsid w:val="001D2004"/>
    <w:rsid w:val="001D4B09"/>
    <w:rsid w:val="001D4CA2"/>
    <w:rsid w:val="001D72EA"/>
    <w:rsid w:val="001E027B"/>
    <w:rsid w:val="001E12E2"/>
    <w:rsid w:val="001E165D"/>
    <w:rsid w:val="001E27A4"/>
    <w:rsid w:val="001E403B"/>
    <w:rsid w:val="001E43C2"/>
    <w:rsid w:val="001E460F"/>
    <w:rsid w:val="001E5875"/>
    <w:rsid w:val="001E59B9"/>
    <w:rsid w:val="001E69AB"/>
    <w:rsid w:val="001E7D2E"/>
    <w:rsid w:val="001F3132"/>
    <w:rsid w:val="001F5130"/>
    <w:rsid w:val="001F6592"/>
    <w:rsid w:val="001F7007"/>
    <w:rsid w:val="001F75CA"/>
    <w:rsid w:val="001F7931"/>
    <w:rsid w:val="00200C64"/>
    <w:rsid w:val="0020131F"/>
    <w:rsid w:val="00203929"/>
    <w:rsid w:val="00205B06"/>
    <w:rsid w:val="00207C17"/>
    <w:rsid w:val="002108DC"/>
    <w:rsid w:val="00210EC9"/>
    <w:rsid w:val="002110EE"/>
    <w:rsid w:val="00211389"/>
    <w:rsid w:val="002115FD"/>
    <w:rsid w:val="00211809"/>
    <w:rsid w:val="0021212B"/>
    <w:rsid w:val="002133C3"/>
    <w:rsid w:val="00214C35"/>
    <w:rsid w:val="002168B9"/>
    <w:rsid w:val="00217879"/>
    <w:rsid w:val="002179C5"/>
    <w:rsid w:val="00221E26"/>
    <w:rsid w:val="002225E4"/>
    <w:rsid w:val="00223D87"/>
    <w:rsid w:val="00224A01"/>
    <w:rsid w:val="0022566B"/>
    <w:rsid w:val="002264DB"/>
    <w:rsid w:val="002271AC"/>
    <w:rsid w:val="002300B9"/>
    <w:rsid w:val="002310D1"/>
    <w:rsid w:val="00231F16"/>
    <w:rsid w:val="002320A2"/>
    <w:rsid w:val="002348FB"/>
    <w:rsid w:val="00236FE2"/>
    <w:rsid w:val="00237F7A"/>
    <w:rsid w:val="00240446"/>
    <w:rsid w:val="0024163F"/>
    <w:rsid w:val="0024269A"/>
    <w:rsid w:val="00242FA2"/>
    <w:rsid w:val="00243840"/>
    <w:rsid w:val="002456E7"/>
    <w:rsid w:val="00245B7C"/>
    <w:rsid w:val="0024615A"/>
    <w:rsid w:val="00246BA4"/>
    <w:rsid w:val="00246E4D"/>
    <w:rsid w:val="00247798"/>
    <w:rsid w:val="002517CC"/>
    <w:rsid w:val="00251C51"/>
    <w:rsid w:val="0025200B"/>
    <w:rsid w:val="00252206"/>
    <w:rsid w:val="00252A58"/>
    <w:rsid w:val="00252A59"/>
    <w:rsid w:val="0025583C"/>
    <w:rsid w:val="0025680A"/>
    <w:rsid w:val="00256CD1"/>
    <w:rsid w:val="0025751B"/>
    <w:rsid w:val="00257F61"/>
    <w:rsid w:val="002621F1"/>
    <w:rsid w:val="00262D60"/>
    <w:rsid w:val="00262DB2"/>
    <w:rsid w:val="00266427"/>
    <w:rsid w:val="002668F7"/>
    <w:rsid w:val="00271BB5"/>
    <w:rsid w:val="00272496"/>
    <w:rsid w:val="00274516"/>
    <w:rsid w:val="00277BCA"/>
    <w:rsid w:val="00280940"/>
    <w:rsid w:val="00280F42"/>
    <w:rsid w:val="00282098"/>
    <w:rsid w:val="002823C2"/>
    <w:rsid w:val="0028458D"/>
    <w:rsid w:val="00284AFA"/>
    <w:rsid w:val="00284C0B"/>
    <w:rsid w:val="00286184"/>
    <w:rsid w:val="00287363"/>
    <w:rsid w:val="00287ACC"/>
    <w:rsid w:val="00290223"/>
    <w:rsid w:val="002904DE"/>
    <w:rsid w:val="00290D3C"/>
    <w:rsid w:val="00290F71"/>
    <w:rsid w:val="00291835"/>
    <w:rsid w:val="00294762"/>
    <w:rsid w:val="00294983"/>
    <w:rsid w:val="00295AF6"/>
    <w:rsid w:val="0029623D"/>
    <w:rsid w:val="002A05CB"/>
    <w:rsid w:val="002A0812"/>
    <w:rsid w:val="002A2D1F"/>
    <w:rsid w:val="002A3B96"/>
    <w:rsid w:val="002A3ECB"/>
    <w:rsid w:val="002A4A13"/>
    <w:rsid w:val="002A5800"/>
    <w:rsid w:val="002A5B83"/>
    <w:rsid w:val="002A6621"/>
    <w:rsid w:val="002A715E"/>
    <w:rsid w:val="002B01DB"/>
    <w:rsid w:val="002B075E"/>
    <w:rsid w:val="002B0F0C"/>
    <w:rsid w:val="002B1FE6"/>
    <w:rsid w:val="002B3442"/>
    <w:rsid w:val="002B6097"/>
    <w:rsid w:val="002B712D"/>
    <w:rsid w:val="002B7CE2"/>
    <w:rsid w:val="002C0026"/>
    <w:rsid w:val="002C4324"/>
    <w:rsid w:val="002C43D4"/>
    <w:rsid w:val="002C443F"/>
    <w:rsid w:val="002C45B6"/>
    <w:rsid w:val="002C6FCD"/>
    <w:rsid w:val="002D086E"/>
    <w:rsid w:val="002D1093"/>
    <w:rsid w:val="002D1938"/>
    <w:rsid w:val="002D1B25"/>
    <w:rsid w:val="002D3B6E"/>
    <w:rsid w:val="002D4237"/>
    <w:rsid w:val="002D5692"/>
    <w:rsid w:val="002D5A5E"/>
    <w:rsid w:val="002D63F4"/>
    <w:rsid w:val="002D661C"/>
    <w:rsid w:val="002D79CD"/>
    <w:rsid w:val="002D7C72"/>
    <w:rsid w:val="002E0504"/>
    <w:rsid w:val="002E17A2"/>
    <w:rsid w:val="002E2FA5"/>
    <w:rsid w:val="002E3C26"/>
    <w:rsid w:val="002E60F1"/>
    <w:rsid w:val="002E735E"/>
    <w:rsid w:val="002F028E"/>
    <w:rsid w:val="002F1204"/>
    <w:rsid w:val="002F15E5"/>
    <w:rsid w:val="002F2EDB"/>
    <w:rsid w:val="002F2F36"/>
    <w:rsid w:val="002F38AE"/>
    <w:rsid w:val="002F42D8"/>
    <w:rsid w:val="002F5B9C"/>
    <w:rsid w:val="002F5CAF"/>
    <w:rsid w:val="002F610F"/>
    <w:rsid w:val="002F7D4B"/>
    <w:rsid w:val="003000DB"/>
    <w:rsid w:val="00300509"/>
    <w:rsid w:val="00301782"/>
    <w:rsid w:val="00304ABC"/>
    <w:rsid w:val="00304FE6"/>
    <w:rsid w:val="003050AF"/>
    <w:rsid w:val="00305473"/>
    <w:rsid w:val="003064AF"/>
    <w:rsid w:val="00306DDF"/>
    <w:rsid w:val="00307140"/>
    <w:rsid w:val="0031016C"/>
    <w:rsid w:val="00311A5C"/>
    <w:rsid w:val="0031377A"/>
    <w:rsid w:val="00314D0C"/>
    <w:rsid w:val="00315C48"/>
    <w:rsid w:val="00315E2C"/>
    <w:rsid w:val="00315ED2"/>
    <w:rsid w:val="00316C34"/>
    <w:rsid w:val="00316F6A"/>
    <w:rsid w:val="003179E8"/>
    <w:rsid w:val="0032109D"/>
    <w:rsid w:val="003216FC"/>
    <w:rsid w:val="003223E4"/>
    <w:rsid w:val="003234B0"/>
    <w:rsid w:val="003246B0"/>
    <w:rsid w:val="003246E3"/>
    <w:rsid w:val="0032519C"/>
    <w:rsid w:val="00325BC3"/>
    <w:rsid w:val="00330A2D"/>
    <w:rsid w:val="0033139B"/>
    <w:rsid w:val="00332311"/>
    <w:rsid w:val="003335B5"/>
    <w:rsid w:val="00333A19"/>
    <w:rsid w:val="00333D08"/>
    <w:rsid w:val="00334428"/>
    <w:rsid w:val="00336511"/>
    <w:rsid w:val="00336723"/>
    <w:rsid w:val="00337843"/>
    <w:rsid w:val="00337E22"/>
    <w:rsid w:val="00340009"/>
    <w:rsid w:val="0034250A"/>
    <w:rsid w:val="00342A39"/>
    <w:rsid w:val="003435B9"/>
    <w:rsid w:val="00343E8D"/>
    <w:rsid w:val="003447A3"/>
    <w:rsid w:val="00345388"/>
    <w:rsid w:val="00347711"/>
    <w:rsid w:val="00350555"/>
    <w:rsid w:val="00350A25"/>
    <w:rsid w:val="00351D83"/>
    <w:rsid w:val="003531C4"/>
    <w:rsid w:val="00353C7E"/>
    <w:rsid w:val="00354F1C"/>
    <w:rsid w:val="00355677"/>
    <w:rsid w:val="00356655"/>
    <w:rsid w:val="00361904"/>
    <w:rsid w:val="00361C2A"/>
    <w:rsid w:val="003623E5"/>
    <w:rsid w:val="00363C6D"/>
    <w:rsid w:val="003648AD"/>
    <w:rsid w:val="00364CF9"/>
    <w:rsid w:val="0037036C"/>
    <w:rsid w:val="003707CD"/>
    <w:rsid w:val="00372256"/>
    <w:rsid w:val="0037233B"/>
    <w:rsid w:val="003726A9"/>
    <w:rsid w:val="00373463"/>
    <w:rsid w:val="00377094"/>
    <w:rsid w:val="003811E3"/>
    <w:rsid w:val="003817C0"/>
    <w:rsid w:val="00382370"/>
    <w:rsid w:val="003823F9"/>
    <w:rsid w:val="003825C8"/>
    <w:rsid w:val="00382793"/>
    <w:rsid w:val="003827F6"/>
    <w:rsid w:val="00382B27"/>
    <w:rsid w:val="003831B1"/>
    <w:rsid w:val="0038374E"/>
    <w:rsid w:val="00384EF1"/>
    <w:rsid w:val="00385111"/>
    <w:rsid w:val="003854F4"/>
    <w:rsid w:val="00385504"/>
    <w:rsid w:val="00386D65"/>
    <w:rsid w:val="00387878"/>
    <w:rsid w:val="0039168D"/>
    <w:rsid w:val="00391B84"/>
    <w:rsid w:val="00392CBD"/>
    <w:rsid w:val="00393EF0"/>
    <w:rsid w:val="00397315"/>
    <w:rsid w:val="00397AF2"/>
    <w:rsid w:val="003A1130"/>
    <w:rsid w:val="003A24B6"/>
    <w:rsid w:val="003A2FB6"/>
    <w:rsid w:val="003A312F"/>
    <w:rsid w:val="003A316B"/>
    <w:rsid w:val="003A4522"/>
    <w:rsid w:val="003A6DA3"/>
    <w:rsid w:val="003A6F0B"/>
    <w:rsid w:val="003A77C1"/>
    <w:rsid w:val="003B1D52"/>
    <w:rsid w:val="003B20A0"/>
    <w:rsid w:val="003B4464"/>
    <w:rsid w:val="003B4924"/>
    <w:rsid w:val="003B4D9D"/>
    <w:rsid w:val="003B5534"/>
    <w:rsid w:val="003B55B0"/>
    <w:rsid w:val="003B5E41"/>
    <w:rsid w:val="003C125E"/>
    <w:rsid w:val="003C25D5"/>
    <w:rsid w:val="003C2F9D"/>
    <w:rsid w:val="003C4335"/>
    <w:rsid w:val="003C46AE"/>
    <w:rsid w:val="003C6FF1"/>
    <w:rsid w:val="003D02F2"/>
    <w:rsid w:val="003D08F9"/>
    <w:rsid w:val="003D373C"/>
    <w:rsid w:val="003D42AE"/>
    <w:rsid w:val="003D4D2F"/>
    <w:rsid w:val="003D5E28"/>
    <w:rsid w:val="003D64D1"/>
    <w:rsid w:val="003D69C7"/>
    <w:rsid w:val="003D73DE"/>
    <w:rsid w:val="003D76E6"/>
    <w:rsid w:val="003E14C9"/>
    <w:rsid w:val="003E36ED"/>
    <w:rsid w:val="003E3C65"/>
    <w:rsid w:val="003E4602"/>
    <w:rsid w:val="003E5084"/>
    <w:rsid w:val="003E5378"/>
    <w:rsid w:val="003E6817"/>
    <w:rsid w:val="003E6A81"/>
    <w:rsid w:val="003E6CCA"/>
    <w:rsid w:val="003E7606"/>
    <w:rsid w:val="003F0C48"/>
    <w:rsid w:val="003F1129"/>
    <w:rsid w:val="003F26DA"/>
    <w:rsid w:val="003F42DE"/>
    <w:rsid w:val="003F4F32"/>
    <w:rsid w:val="003F6420"/>
    <w:rsid w:val="003F65CD"/>
    <w:rsid w:val="00402317"/>
    <w:rsid w:val="004024BD"/>
    <w:rsid w:val="0040519B"/>
    <w:rsid w:val="00405FB1"/>
    <w:rsid w:val="004104DC"/>
    <w:rsid w:val="0041095E"/>
    <w:rsid w:val="004130AE"/>
    <w:rsid w:val="004130CF"/>
    <w:rsid w:val="00413751"/>
    <w:rsid w:val="00413BF5"/>
    <w:rsid w:val="0041415A"/>
    <w:rsid w:val="00415039"/>
    <w:rsid w:val="004154A8"/>
    <w:rsid w:val="00415857"/>
    <w:rsid w:val="0041644D"/>
    <w:rsid w:val="00416D80"/>
    <w:rsid w:val="00417632"/>
    <w:rsid w:val="00420714"/>
    <w:rsid w:val="00422793"/>
    <w:rsid w:val="004232A1"/>
    <w:rsid w:val="00424118"/>
    <w:rsid w:val="00424C0B"/>
    <w:rsid w:val="00424C0D"/>
    <w:rsid w:val="00424FD7"/>
    <w:rsid w:val="0042561A"/>
    <w:rsid w:val="00427984"/>
    <w:rsid w:val="00430414"/>
    <w:rsid w:val="00430C90"/>
    <w:rsid w:val="00430E31"/>
    <w:rsid w:val="004313D9"/>
    <w:rsid w:val="00431ADF"/>
    <w:rsid w:val="00434502"/>
    <w:rsid w:val="00434BC4"/>
    <w:rsid w:val="004365F4"/>
    <w:rsid w:val="0044035D"/>
    <w:rsid w:val="00440847"/>
    <w:rsid w:val="00440B03"/>
    <w:rsid w:val="00440D08"/>
    <w:rsid w:val="00440F1C"/>
    <w:rsid w:val="00441B6D"/>
    <w:rsid w:val="00441FD2"/>
    <w:rsid w:val="004421C6"/>
    <w:rsid w:val="004421F7"/>
    <w:rsid w:val="004425C7"/>
    <w:rsid w:val="00442DEB"/>
    <w:rsid w:val="00443C9D"/>
    <w:rsid w:val="00447B0C"/>
    <w:rsid w:val="004505A3"/>
    <w:rsid w:val="004513DC"/>
    <w:rsid w:val="0045209D"/>
    <w:rsid w:val="00452694"/>
    <w:rsid w:val="00452C02"/>
    <w:rsid w:val="00454330"/>
    <w:rsid w:val="004547DF"/>
    <w:rsid w:val="00456C71"/>
    <w:rsid w:val="00456D22"/>
    <w:rsid w:val="0045711A"/>
    <w:rsid w:val="00460A82"/>
    <w:rsid w:val="00461135"/>
    <w:rsid w:val="00461322"/>
    <w:rsid w:val="0046137F"/>
    <w:rsid w:val="004619D3"/>
    <w:rsid w:val="00463735"/>
    <w:rsid w:val="004703ED"/>
    <w:rsid w:val="00470655"/>
    <w:rsid w:val="00470F53"/>
    <w:rsid w:val="00471381"/>
    <w:rsid w:val="00471B00"/>
    <w:rsid w:val="004721C6"/>
    <w:rsid w:val="00472272"/>
    <w:rsid w:val="00472347"/>
    <w:rsid w:val="00473DCE"/>
    <w:rsid w:val="00474223"/>
    <w:rsid w:val="00474C16"/>
    <w:rsid w:val="00475211"/>
    <w:rsid w:val="00475C6C"/>
    <w:rsid w:val="0047639F"/>
    <w:rsid w:val="00476ABE"/>
    <w:rsid w:val="00477003"/>
    <w:rsid w:val="004775C0"/>
    <w:rsid w:val="00477F43"/>
    <w:rsid w:val="00481C1B"/>
    <w:rsid w:val="004821A3"/>
    <w:rsid w:val="00483ACB"/>
    <w:rsid w:val="00483B1A"/>
    <w:rsid w:val="00483EAD"/>
    <w:rsid w:val="004848FE"/>
    <w:rsid w:val="004849F7"/>
    <w:rsid w:val="00486059"/>
    <w:rsid w:val="0048747D"/>
    <w:rsid w:val="00491299"/>
    <w:rsid w:val="00492A4C"/>
    <w:rsid w:val="00493461"/>
    <w:rsid w:val="0049428E"/>
    <w:rsid w:val="00494C37"/>
    <w:rsid w:val="00495522"/>
    <w:rsid w:val="00495866"/>
    <w:rsid w:val="00496505"/>
    <w:rsid w:val="004A012F"/>
    <w:rsid w:val="004A0D23"/>
    <w:rsid w:val="004A0D6F"/>
    <w:rsid w:val="004A1E05"/>
    <w:rsid w:val="004A3750"/>
    <w:rsid w:val="004A4076"/>
    <w:rsid w:val="004A4EEF"/>
    <w:rsid w:val="004A6499"/>
    <w:rsid w:val="004A77B0"/>
    <w:rsid w:val="004B051A"/>
    <w:rsid w:val="004B19ED"/>
    <w:rsid w:val="004B214B"/>
    <w:rsid w:val="004B2185"/>
    <w:rsid w:val="004B25BF"/>
    <w:rsid w:val="004B2C7D"/>
    <w:rsid w:val="004B3FBE"/>
    <w:rsid w:val="004B5104"/>
    <w:rsid w:val="004B5D5F"/>
    <w:rsid w:val="004B5DDB"/>
    <w:rsid w:val="004B6952"/>
    <w:rsid w:val="004B7A4D"/>
    <w:rsid w:val="004B7FDD"/>
    <w:rsid w:val="004C0182"/>
    <w:rsid w:val="004C09BD"/>
    <w:rsid w:val="004C1A7F"/>
    <w:rsid w:val="004C3730"/>
    <w:rsid w:val="004C3C8E"/>
    <w:rsid w:val="004C52FB"/>
    <w:rsid w:val="004C5B71"/>
    <w:rsid w:val="004C6F55"/>
    <w:rsid w:val="004D1969"/>
    <w:rsid w:val="004D26FD"/>
    <w:rsid w:val="004D4D81"/>
    <w:rsid w:val="004D4E6D"/>
    <w:rsid w:val="004D504E"/>
    <w:rsid w:val="004D520D"/>
    <w:rsid w:val="004D6328"/>
    <w:rsid w:val="004E0E48"/>
    <w:rsid w:val="004E3FFA"/>
    <w:rsid w:val="004E4E03"/>
    <w:rsid w:val="004E539B"/>
    <w:rsid w:val="004E70A1"/>
    <w:rsid w:val="004E77E0"/>
    <w:rsid w:val="004E7F9A"/>
    <w:rsid w:val="004F0001"/>
    <w:rsid w:val="004F0B84"/>
    <w:rsid w:val="004F0CDD"/>
    <w:rsid w:val="004F3542"/>
    <w:rsid w:val="004F439F"/>
    <w:rsid w:val="004F6088"/>
    <w:rsid w:val="004F6821"/>
    <w:rsid w:val="004F7A7D"/>
    <w:rsid w:val="005019C1"/>
    <w:rsid w:val="00501E2D"/>
    <w:rsid w:val="0050232C"/>
    <w:rsid w:val="00503061"/>
    <w:rsid w:val="00504574"/>
    <w:rsid w:val="0050582C"/>
    <w:rsid w:val="0050614A"/>
    <w:rsid w:val="00506592"/>
    <w:rsid w:val="00506B74"/>
    <w:rsid w:val="00511327"/>
    <w:rsid w:val="00512496"/>
    <w:rsid w:val="005140D2"/>
    <w:rsid w:val="00514478"/>
    <w:rsid w:val="00514A44"/>
    <w:rsid w:val="00516788"/>
    <w:rsid w:val="005167FC"/>
    <w:rsid w:val="005176A7"/>
    <w:rsid w:val="005219BC"/>
    <w:rsid w:val="00522874"/>
    <w:rsid w:val="005229DA"/>
    <w:rsid w:val="00522ACF"/>
    <w:rsid w:val="0052374D"/>
    <w:rsid w:val="00525028"/>
    <w:rsid w:val="00525FF7"/>
    <w:rsid w:val="005268C1"/>
    <w:rsid w:val="00526A71"/>
    <w:rsid w:val="00527F2F"/>
    <w:rsid w:val="00531748"/>
    <w:rsid w:val="00533D25"/>
    <w:rsid w:val="00533F6F"/>
    <w:rsid w:val="00535FC3"/>
    <w:rsid w:val="00536A45"/>
    <w:rsid w:val="0054013B"/>
    <w:rsid w:val="00540226"/>
    <w:rsid w:val="00540FBD"/>
    <w:rsid w:val="00545CFD"/>
    <w:rsid w:val="00545F8E"/>
    <w:rsid w:val="005469FC"/>
    <w:rsid w:val="00551B75"/>
    <w:rsid w:val="0055312D"/>
    <w:rsid w:val="0055329A"/>
    <w:rsid w:val="005538FC"/>
    <w:rsid w:val="00554A18"/>
    <w:rsid w:val="00554D5B"/>
    <w:rsid w:val="00555C52"/>
    <w:rsid w:val="005565F0"/>
    <w:rsid w:val="005571DE"/>
    <w:rsid w:val="00557689"/>
    <w:rsid w:val="005602E9"/>
    <w:rsid w:val="005606E2"/>
    <w:rsid w:val="00560E3B"/>
    <w:rsid w:val="0056158C"/>
    <w:rsid w:val="00562FE3"/>
    <w:rsid w:val="00563710"/>
    <w:rsid w:val="00564DE2"/>
    <w:rsid w:val="005650B1"/>
    <w:rsid w:val="00565222"/>
    <w:rsid w:val="00566D49"/>
    <w:rsid w:val="00572054"/>
    <w:rsid w:val="005723FA"/>
    <w:rsid w:val="00573129"/>
    <w:rsid w:val="00573FA1"/>
    <w:rsid w:val="00573FF0"/>
    <w:rsid w:val="005746E9"/>
    <w:rsid w:val="005747CF"/>
    <w:rsid w:val="00576D88"/>
    <w:rsid w:val="00577458"/>
    <w:rsid w:val="0058005C"/>
    <w:rsid w:val="0058225B"/>
    <w:rsid w:val="005831D2"/>
    <w:rsid w:val="00583B65"/>
    <w:rsid w:val="0058512C"/>
    <w:rsid w:val="0059016D"/>
    <w:rsid w:val="005908D0"/>
    <w:rsid w:val="005928AC"/>
    <w:rsid w:val="005929A0"/>
    <w:rsid w:val="005932B1"/>
    <w:rsid w:val="00593387"/>
    <w:rsid w:val="00593DAC"/>
    <w:rsid w:val="00596EBD"/>
    <w:rsid w:val="005975A0"/>
    <w:rsid w:val="005975A1"/>
    <w:rsid w:val="005A0CF1"/>
    <w:rsid w:val="005A2B6C"/>
    <w:rsid w:val="005A2EB3"/>
    <w:rsid w:val="005A3839"/>
    <w:rsid w:val="005A3978"/>
    <w:rsid w:val="005A3AC0"/>
    <w:rsid w:val="005A4090"/>
    <w:rsid w:val="005A49BD"/>
    <w:rsid w:val="005A4B36"/>
    <w:rsid w:val="005A66ED"/>
    <w:rsid w:val="005A7F32"/>
    <w:rsid w:val="005A7FFC"/>
    <w:rsid w:val="005B063A"/>
    <w:rsid w:val="005B13E3"/>
    <w:rsid w:val="005B6B6E"/>
    <w:rsid w:val="005C1C5C"/>
    <w:rsid w:val="005C3B46"/>
    <w:rsid w:val="005C4645"/>
    <w:rsid w:val="005C46D0"/>
    <w:rsid w:val="005C4BCD"/>
    <w:rsid w:val="005C687D"/>
    <w:rsid w:val="005C6C42"/>
    <w:rsid w:val="005C7C27"/>
    <w:rsid w:val="005D134C"/>
    <w:rsid w:val="005D575B"/>
    <w:rsid w:val="005D5F59"/>
    <w:rsid w:val="005D7379"/>
    <w:rsid w:val="005D7AAE"/>
    <w:rsid w:val="005E0496"/>
    <w:rsid w:val="005E19B1"/>
    <w:rsid w:val="005E1EE1"/>
    <w:rsid w:val="005E57DF"/>
    <w:rsid w:val="005E593B"/>
    <w:rsid w:val="005F0580"/>
    <w:rsid w:val="005F0E48"/>
    <w:rsid w:val="005F19D8"/>
    <w:rsid w:val="005F1BC9"/>
    <w:rsid w:val="005F2DD5"/>
    <w:rsid w:val="005F36AC"/>
    <w:rsid w:val="005F46B0"/>
    <w:rsid w:val="005F65F8"/>
    <w:rsid w:val="005F6C5E"/>
    <w:rsid w:val="005F700E"/>
    <w:rsid w:val="005F746E"/>
    <w:rsid w:val="005F77E5"/>
    <w:rsid w:val="00601D2B"/>
    <w:rsid w:val="006020CF"/>
    <w:rsid w:val="00603BCE"/>
    <w:rsid w:val="00605224"/>
    <w:rsid w:val="006056F9"/>
    <w:rsid w:val="00605EA1"/>
    <w:rsid w:val="006061DF"/>
    <w:rsid w:val="00606B95"/>
    <w:rsid w:val="00607BB5"/>
    <w:rsid w:val="0061073C"/>
    <w:rsid w:val="006107BE"/>
    <w:rsid w:val="00610E49"/>
    <w:rsid w:val="00612AE8"/>
    <w:rsid w:val="00612B29"/>
    <w:rsid w:val="006144D7"/>
    <w:rsid w:val="00615684"/>
    <w:rsid w:val="00615802"/>
    <w:rsid w:val="006159C1"/>
    <w:rsid w:val="00617018"/>
    <w:rsid w:val="00617752"/>
    <w:rsid w:val="00621160"/>
    <w:rsid w:val="00621DA6"/>
    <w:rsid w:val="0062217A"/>
    <w:rsid w:val="00622CFA"/>
    <w:rsid w:val="00622F30"/>
    <w:rsid w:val="00624631"/>
    <w:rsid w:val="0062650F"/>
    <w:rsid w:val="006303D1"/>
    <w:rsid w:val="00630975"/>
    <w:rsid w:val="00632C42"/>
    <w:rsid w:val="00633B76"/>
    <w:rsid w:val="006357DD"/>
    <w:rsid w:val="00636BC7"/>
    <w:rsid w:val="00636EC9"/>
    <w:rsid w:val="00636FDA"/>
    <w:rsid w:val="00641DC1"/>
    <w:rsid w:val="006425FE"/>
    <w:rsid w:val="006426E8"/>
    <w:rsid w:val="00643545"/>
    <w:rsid w:val="006444D8"/>
    <w:rsid w:val="0064659A"/>
    <w:rsid w:val="00646A8E"/>
    <w:rsid w:val="00650B0E"/>
    <w:rsid w:val="00651495"/>
    <w:rsid w:val="006516EC"/>
    <w:rsid w:val="00653E70"/>
    <w:rsid w:val="006548E9"/>
    <w:rsid w:val="00654BE3"/>
    <w:rsid w:val="006556A2"/>
    <w:rsid w:val="006576A5"/>
    <w:rsid w:val="00657B62"/>
    <w:rsid w:val="0066018B"/>
    <w:rsid w:val="006615AB"/>
    <w:rsid w:val="00663135"/>
    <w:rsid w:val="00665EA9"/>
    <w:rsid w:val="006676F0"/>
    <w:rsid w:val="00667B24"/>
    <w:rsid w:val="00671CA8"/>
    <w:rsid w:val="006722C2"/>
    <w:rsid w:val="00673D66"/>
    <w:rsid w:val="006740A1"/>
    <w:rsid w:val="00674936"/>
    <w:rsid w:val="00675C0D"/>
    <w:rsid w:val="0067686B"/>
    <w:rsid w:val="0068029B"/>
    <w:rsid w:val="006811BB"/>
    <w:rsid w:val="006820C9"/>
    <w:rsid w:val="00682B96"/>
    <w:rsid w:val="00684688"/>
    <w:rsid w:val="00685B57"/>
    <w:rsid w:val="00686828"/>
    <w:rsid w:val="00687A50"/>
    <w:rsid w:val="006906A3"/>
    <w:rsid w:val="00691256"/>
    <w:rsid w:val="00692980"/>
    <w:rsid w:val="00692AF3"/>
    <w:rsid w:val="0069309E"/>
    <w:rsid w:val="00693CD8"/>
    <w:rsid w:val="00694EAA"/>
    <w:rsid w:val="00695468"/>
    <w:rsid w:val="00695FE8"/>
    <w:rsid w:val="006A2F0B"/>
    <w:rsid w:val="006A45A9"/>
    <w:rsid w:val="006A4C28"/>
    <w:rsid w:val="006A6A0E"/>
    <w:rsid w:val="006B06E7"/>
    <w:rsid w:val="006B19D2"/>
    <w:rsid w:val="006B1CF2"/>
    <w:rsid w:val="006B2BCE"/>
    <w:rsid w:val="006B2EEF"/>
    <w:rsid w:val="006B2F1D"/>
    <w:rsid w:val="006B3FD9"/>
    <w:rsid w:val="006B402A"/>
    <w:rsid w:val="006B4C74"/>
    <w:rsid w:val="006B7226"/>
    <w:rsid w:val="006B7A84"/>
    <w:rsid w:val="006C04E9"/>
    <w:rsid w:val="006C0592"/>
    <w:rsid w:val="006C1525"/>
    <w:rsid w:val="006C2FF2"/>
    <w:rsid w:val="006C33BA"/>
    <w:rsid w:val="006C43BE"/>
    <w:rsid w:val="006C540D"/>
    <w:rsid w:val="006C6341"/>
    <w:rsid w:val="006C7CF5"/>
    <w:rsid w:val="006D17EB"/>
    <w:rsid w:val="006D57C2"/>
    <w:rsid w:val="006D6AD4"/>
    <w:rsid w:val="006D6D64"/>
    <w:rsid w:val="006D6E22"/>
    <w:rsid w:val="006D7F65"/>
    <w:rsid w:val="006E194C"/>
    <w:rsid w:val="006E3A1A"/>
    <w:rsid w:val="006E46E7"/>
    <w:rsid w:val="006E52FA"/>
    <w:rsid w:val="006E5B8A"/>
    <w:rsid w:val="006E76C2"/>
    <w:rsid w:val="006E7B20"/>
    <w:rsid w:val="006F0891"/>
    <w:rsid w:val="006F1B18"/>
    <w:rsid w:val="006F2373"/>
    <w:rsid w:val="006F2DDE"/>
    <w:rsid w:val="006F453D"/>
    <w:rsid w:val="006F589E"/>
    <w:rsid w:val="006F5E7B"/>
    <w:rsid w:val="00701276"/>
    <w:rsid w:val="007017D6"/>
    <w:rsid w:val="007032B4"/>
    <w:rsid w:val="00705183"/>
    <w:rsid w:val="007051A8"/>
    <w:rsid w:val="0070568F"/>
    <w:rsid w:val="007057F8"/>
    <w:rsid w:val="007065CF"/>
    <w:rsid w:val="00706DEB"/>
    <w:rsid w:val="007072F6"/>
    <w:rsid w:val="00707A45"/>
    <w:rsid w:val="00710054"/>
    <w:rsid w:val="00710671"/>
    <w:rsid w:val="00711439"/>
    <w:rsid w:val="00711E66"/>
    <w:rsid w:val="00713132"/>
    <w:rsid w:val="0071331A"/>
    <w:rsid w:val="00713C83"/>
    <w:rsid w:val="00714FBE"/>
    <w:rsid w:val="007156E2"/>
    <w:rsid w:val="00717890"/>
    <w:rsid w:val="00717CB0"/>
    <w:rsid w:val="00717E7C"/>
    <w:rsid w:val="00720CE1"/>
    <w:rsid w:val="00720E55"/>
    <w:rsid w:val="0073145C"/>
    <w:rsid w:val="00731992"/>
    <w:rsid w:val="00732A4E"/>
    <w:rsid w:val="00732E73"/>
    <w:rsid w:val="00733E4E"/>
    <w:rsid w:val="00734F25"/>
    <w:rsid w:val="00735169"/>
    <w:rsid w:val="00735A78"/>
    <w:rsid w:val="0073621A"/>
    <w:rsid w:val="0073785A"/>
    <w:rsid w:val="00740BFA"/>
    <w:rsid w:val="00740D4C"/>
    <w:rsid w:val="00741A59"/>
    <w:rsid w:val="00741D5B"/>
    <w:rsid w:val="00743614"/>
    <w:rsid w:val="00743E9F"/>
    <w:rsid w:val="007458B5"/>
    <w:rsid w:val="00745AE1"/>
    <w:rsid w:val="00746DF8"/>
    <w:rsid w:val="00747CBA"/>
    <w:rsid w:val="00750164"/>
    <w:rsid w:val="00750F82"/>
    <w:rsid w:val="00751806"/>
    <w:rsid w:val="007538C9"/>
    <w:rsid w:val="00755233"/>
    <w:rsid w:val="00755945"/>
    <w:rsid w:val="00756C64"/>
    <w:rsid w:val="007579EE"/>
    <w:rsid w:val="00757C40"/>
    <w:rsid w:val="00757EA6"/>
    <w:rsid w:val="00760663"/>
    <w:rsid w:val="00761C02"/>
    <w:rsid w:val="00761DDE"/>
    <w:rsid w:val="00762298"/>
    <w:rsid w:val="007623FB"/>
    <w:rsid w:val="00762976"/>
    <w:rsid w:val="00763EAF"/>
    <w:rsid w:val="00764438"/>
    <w:rsid w:val="00765522"/>
    <w:rsid w:val="0076692D"/>
    <w:rsid w:val="00767306"/>
    <w:rsid w:val="007673E3"/>
    <w:rsid w:val="00767834"/>
    <w:rsid w:val="00770679"/>
    <w:rsid w:val="007711C7"/>
    <w:rsid w:val="007717EE"/>
    <w:rsid w:val="00772E51"/>
    <w:rsid w:val="00773A26"/>
    <w:rsid w:val="0077438A"/>
    <w:rsid w:val="00776A61"/>
    <w:rsid w:val="00777AF6"/>
    <w:rsid w:val="00777EB9"/>
    <w:rsid w:val="00780106"/>
    <w:rsid w:val="007813B5"/>
    <w:rsid w:val="00781C70"/>
    <w:rsid w:val="007830F5"/>
    <w:rsid w:val="007841BF"/>
    <w:rsid w:val="00785720"/>
    <w:rsid w:val="00785C77"/>
    <w:rsid w:val="0078617E"/>
    <w:rsid w:val="00786264"/>
    <w:rsid w:val="00786CC5"/>
    <w:rsid w:val="007902CA"/>
    <w:rsid w:val="0079040A"/>
    <w:rsid w:val="00790ADD"/>
    <w:rsid w:val="00790C98"/>
    <w:rsid w:val="00791153"/>
    <w:rsid w:val="00792704"/>
    <w:rsid w:val="00792DE0"/>
    <w:rsid w:val="00794AAB"/>
    <w:rsid w:val="00795338"/>
    <w:rsid w:val="00796329"/>
    <w:rsid w:val="00796436"/>
    <w:rsid w:val="007968E9"/>
    <w:rsid w:val="007A0267"/>
    <w:rsid w:val="007A12E5"/>
    <w:rsid w:val="007A2769"/>
    <w:rsid w:val="007A31F6"/>
    <w:rsid w:val="007A4448"/>
    <w:rsid w:val="007A4E68"/>
    <w:rsid w:val="007A62C9"/>
    <w:rsid w:val="007A7028"/>
    <w:rsid w:val="007A77EA"/>
    <w:rsid w:val="007A7C1E"/>
    <w:rsid w:val="007B0095"/>
    <w:rsid w:val="007B011A"/>
    <w:rsid w:val="007B2A26"/>
    <w:rsid w:val="007B2C0C"/>
    <w:rsid w:val="007B7DD0"/>
    <w:rsid w:val="007B7F8B"/>
    <w:rsid w:val="007C0A98"/>
    <w:rsid w:val="007C0D2D"/>
    <w:rsid w:val="007C2DF0"/>
    <w:rsid w:val="007C2E38"/>
    <w:rsid w:val="007C2F0E"/>
    <w:rsid w:val="007C4599"/>
    <w:rsid w:val="007C60FB"/>
    <w:rsid w:val="007C6CA6"/>
    <w:rsid w:val="007C73A9"/>
    <w:rsid w:val="007C7E0A"/>
    <w:rsid w:val="007D2348"/>
    <w:rsid w:val="007D2A93"/>
    <w:rsid w:val="007D3CC3"/>
    <w:rsid w:val="007D3F85"/>
    <w:rsid w:val="007D43F9"/>
    <w:rsid w:val="007D45B1"/>
    <w:rsid w:val="007D75AC"/>
    <w:rsid w:val="007E03CF"/>
    <w:rsid w:val="007E0A15"/>
    <w:rsid w:val="007E1B7C"/>
    <w:rsid w:val="007E333D"/>
    <w:rsid w:val="007E463F"/>
    <w:rsid w:val="007E5BC0"/>
    <w:rsid w:val="007E637B"/>
    <w:rsid w:val="007E7088"/>
    <w:rsid w:val="007E7E42"/>
    <w:rsid w:val="007F3DD2"/>
    <w:rsid w:val="007F568E"/>
    <w:rsid w:val="007F6B06"/>
    <w:rsid w:val="00801244"/>
    <w:rsid w:val="008016E4"/>
    <w:rsid w:val="00801C74"/>
    <w:rsid w:val="00802BDD"/>
    <w:rsid w:val="008033DE"/>
    <w:rsid w:val="0080359C"/>
    <w:rsid w:val="00803951"/>
    <w:rsid w:val="0080437A"/>
    <w:rsid w:val="0080486C"/>
    <w:rsid w:val="008055CA"/>
    <w:rsid w:val="00805D84"/>
    <w:rsid w:val="00806390"/>
    <w:rsid w:val="00807275"/>
    <w:rsid w:val="00807A35"/>
    <w:rsid w:val="00810952"/>
    <w:rsid w:val="00811096"/>
    <w:rsid w:val="0081204C"/>
    <w:rsid w:val="008124EC"/>
    <w:rsid w:val="00812856"/>
    <w:rsid w:val="00812C39"/>
    <w:rsid w:val="00816186"/>
    <w:rsid w:val="00816462"/>
    <w:rsid w:val="008166A8"/>
    <w:rsid w:val="0081776A"/>
    <w:rsid w:val="00820A8C"/>
    <w:rsid w:val="00820BE3"/>
    <w:rsid w:val="0082121B"/>
    <w:rsid w:val="008213FA"/>
    <w:rsid w:val="00822999"/>
    <w:rsid w:val="00825868"/>
    <w:rsid w:val="00826EDC"/>
    <w:rsid w:val="00832057"/>
    <w:rsid w:val="0083311C"/>
    <w:rsid w:val="0083391B"/>
    <w:rsid w:val="00833CB6"/>
    <w:rsid w:val="008340DD"/>
    <w:rsid w:val="008343A6"/>
    <w:rsid w:val="00835BBA"/>
    <w:rsid w:val="0083619B"/>
    <w:rsid w:val="00836A78"/>
    <w:rsid w:val="008401BD"/>
    <w:rsid w:val="00840827"/>
    <w:rsid w:val="00841C63"/>
    <w:rsid w:val="00841D9E"/>
    <w:rsid w:val="008443F6"/>
    <w:rsid w:val="00844B90"/>
    <w:rsid w:val="00846F02"/>
    <w:rsid w:val="008502A3"/>
    <w:rsid w:val="0085242B"/>
    <w:rsid w:val="00852D19"/>
    <w:rsid w:val="008543E3"/>
    <w:rsid w:val="008548CC"/>
    <w:rsid w:val="00854F50"/>
    <w:rsid w:val="00855903"/>
    <w:rsid w:val="008569EB"/>
    <w:rsid w:val="00861A72"/>
    <w:rsid w:val="00862279"/>
    <w:rsid w:val="008632D5"/>
    <w:rsid w:val="008642E5"/>
    <w:rsid w:val="00864D9B"/>
    <w:rsid w:val="008652D8"/>
    <w:rsid w:val="008669EB"/>
    <w:rsid w:val="008669FD"/>
    <w:rsid w:val="008675E2"/>
    <w:rsid w:val="00867F3F"/>
    <w:rsid w:val="00874B21"/>
    <w:rsid w:val="00874F10"/>
    <w:rsid w:val="00875738"/>
    <w:rsid w:val="008802D1"/>
    <w:rsid w:val="008807AB"/>
    <w:rsid w:val="00880FCD"/>
    <w:rsid w:val="0088265C"/>
    <w:rsid w:val="0088304E"/>
    <w:rsid w:val="00883C5F"/>
    <w:rsid w:val="00884F27"/>
    <w:rsid w:val="008864D0"/>
    <w:rsid w:val="00886B1B"/>
    <w:rsid w:val="00887795"/>
    <w:rsid w:val="00887812"/>
    <w:rsid w:val="00887D1A"/>
    <w:rsid w:val="0089257F"/>
    <w:rsid w:val="00894356"/>
    <w:rsid w:val="00894DF8"/>
    <w:rsid w:val="00895F34"/>
    <w:rsid w:val="008A04FA"/>
    <w:rsid w:val="008A0766"/>
    <w:rsid w:val="008A1522"/>
    <w:rsid w:val="008A2975"/>
    <w:rsid w:val="008A3C14"/>
    <w:rsid w:val="008A4873"/>
    <w:rsid w:val="008A49E3"/>
    <w:rsid w:val="008A4CA5"/>
    <w:rsid w:val="008A5339"/>
    <w:rsid w:val="008A6BDA"/>
    <w:rsid w:val="008B0F43"/>
    <w:rsid w:val="008B2321"/>
    <w:rsid w:val="008B3985"/>
    <w:rsid w:val="008B5159"/>
    <w:rsid w:val="008B62DB"/>
    <w:rsid w:val="008B68EE"/>
    <w:rsid w:val="008B6A5C"/>
    <w:rsid w:val="008B7504"/>
    <w:rsid w:val="008C0782"/>
    <w:rsid w:val="008C0AA1"/>
    <w:rsid w:val="008C0B00"/>
    <w:rsid w:val="008C20AD"/>
    <w:rsid w:val="008C238A"/>
    <w:rsid w:val="008C2C86"/>
    <w:rsid w:val="008C349B"/>
    <w:rsid w:val="008C3ADF"/>
    <w:rsid w:val="008C4329"/>
    <w:rsid w:val="008C63F9"/>
    <w:rsid w:val="008C6959"/>
    <w:rsid w:val="008C7188"/>
    <w:rsid w:val="008D154A"/>
    <w:rsid w:val="008D20D2"/>
    <w:rsid w:val="008D2847"/>
    <w:rsid w:val="008D2D46"/>
    <w:rsid w:val="008D514D"/>
    <w:rsid w:val="008D54E4"/>
    <w:rsid w:val="008D5E01"/>
    <w:rsid w:val="008D6437"/>
    <w:rsid w:val="008D7AA0"/>
    <w:rsid w:val="008D7C7D"/>
    <w:rsid w:val="008E0762"/>
    <w:rsid w:val="008E0BAC"/>
    <w:rsid w:val="008E0E7A"/>
    <w:rsid w:val="008E2004"/>
    <w:rsid w:val="008E32F5"/>
    <w:rsid w:val="008E6ACA"/>
    <w:rsid w:val="008E6B41"/>
    <w:rsid w:val="008E77D4"/>
    <w:rsid w:val="008F0988"/>
    <w:rsid w:val="008F16E1"/>
    <w:rsid w:val="008F42DE"/>
    <w:rsid w:val="008F48FD"/>
    <w:rsid w:val="008F7040"/>
    <w:rsid w:val="008F7164"/>
    <w:rsid w:val="008F72F6"/>
    <w:rsid w:val="008F730B"/>
    <w:rsid w:val="00900E52"/>
    <w:rsid w:val="00903323"/>
    <w:rsid w:val="0090445F"/>
    <w:rsid w:val="009045A6"/>
    <w:rsid w:val="00904FF8"/>
    <w:rsid w:val="009058B7"/>
    <w:rsid w:val="00906155"/>
    <w:rsid w:val="00906D57"/>
    <w:rsid w:val="00907383"/>
    <w:rsid w:val="00907D30"/>
    <w:rsid w:val="00907FD9"/>
    <w:rsid w:val="00910DAE"/>
    <w:rsid w:val="00912D35"/>
    <w:rsid w:val="009136A4"/>
    <w:rsid w:val="00914B33"/>
    <w:rsid w:val="009150A5"/>
    <w:rsid w:val="00915C5E"/>
    <w:rsid w:val="00916D34"/>
    <w:rsid w:val="009171D3"/>
    <w:rsid w:val="009174C0"/>
    <w:rsid w:val="0091774C"/>
    <w:rsid w:val="00920153"/>
    <w:rsid w:val="00920C50"/>
    <w:rsid w:val="00920F9D"/>
    <w:rsid w:val="00921E88"/>
    <w:rsid w:val="00922344"/>
    <w:rsid w:val="0092271B"/>
    <w:rsid w:val="00922F65"/>
    <w:rsid w:val="00923D29"/>
    <w:rsid w:val="00923F4F"/>
    <w:rsid w:val="00925E57"/>
    <w:rsid w:val="00925F82"/>
    <w:rsid w:val="00926AC2"/>
    <w:rsid w:val="00927798"/>
    <w:rsid w:val="00927FE0"/>
    <w:rsid w:val="00932011"/>
    <w:rsid w:val="00932427"/>
    <w:rsid w:val="00935F1D"/>
    <w:rsid w:val="009364C6"/>
    <w:rsid w:val="00940E48"/>
    <w:rsid w:val="00942713"/>
    <w:rsid w:val="009448EC"/>
    <w:rsid w:val="00944C42"/>
    <w:rsid w:val="00945B10"/>
    <w:rsid w:val="00946088"/>
    <w:rsid w:val="0095296C"/>
    <w:rsid w:val="0095369A"/>
    <w:rsid w:val="00954169"/>
    <w:rsid w:val="00954620"/>
    <w:rsid w:val="00954D5E"/>
    <w:rsid w:val="0096049D"/>
    <w:rsid w:val="0096172B"/>
    <w:rsid w:val="00962128"/>
    <w:rsid w:val="009629F0"/>
    <w:rsid w:val="0096490D"/>
    <w:rsid w:val="00965D29"/>
    <w:rsid w:val="009672CF"/>
    <w:rsid w:val="009713BA"/>
    <w:rsid w:val="0097162C"/>
    <w:rsid w:val="009718C2"/>
    <w:rsid w:val="00971D09"/>
    <w:rsid w:val="009728D2"/>
    <w:rsid w:val="00973338"/>
    <w:rsid w:val="009744F1"/>
    <w:rsid w:val="00974F1B"/>
    <w:rsid w:val="009759E2"/>
    <w:rsid w:val="0097683D"/>
    <w:rsid w:val="00976D23"/>
    <w:rsid w:val="009807AD"/>
    <w:rsid w:val="00982B77"/>
    <w:rsid w:val="00984BA0"/>
    <w:rsid w:val="00984F87"/>
    <w:rsid w:val="00986580"/>
    <w:rsid w:val="00986EAF"/>
    <w:rsid w:val="00991F69"/>
    <w:rsid w:val="009920F6"/>
    <w:rsid w:val="009937EF"/>
    <w:rsid w:val="0099382E"/>
    <w:rsid w:val="00995FFD"/>
    <w:rsid w:val="0099656E"/>
    <w:rsid w:val="009A0151"/>
    <w:rsid w:val="009A341A"/>
    <w:rsid w:val="009A3470"/>
    <w:rsid w:val="009A3828"/>
    <w:rsid w:val="009A6211"/>
    <w:rsid w:val="009A64AE"/>
    <w:rsid w:val="009A71DE"/>
    <w:rsid w:val="009A71E6"/>
    <w:rsid w:val="009A71FC"/>
    <w:rsid w:val="009A738D"/>
    <w:rsid w:val="009A7937"/>
    <w:rsid w:val="009A7D13"/>
    <w:rsid w:val="009B0E89"/>
    <w:rsid w:val="009B35C9"/>
    <w:rsid w:val="009B4063"/>
    <w:rsid w:val="009B4338"/>
    <w:rsid w:val="009B4EBA"/>
    <w:rsid w:val="009B5552"/>
    <w:rsid w:val="009B5A32"/>
    <w:rsid w:val="009B7DD2"/>
    <w:rsid w:val="009C054D"/>
    <w:rsid w:val="009C3BD2"/>
    <w:rsid w:val="009C5664"/>
    <w:rsid w:val="009C56D4"/>
    <w:rsid w:val="009C5A84"/>
    <w:rsid w:val="009C6602"/>
    <w:rsid w:val="009C71CF"/>
    <w:rsid w:val="009C7C12"/>
    <w:rsid w:val="009D01A0"/>
    <w:rsid w:val="009D081C"/>
    <w:rsid w:val="009D0A74"/>
    <w:rsid w:val="009D1163"/>
    <w:rsid w:val="009D125F"/>
    <w:rsid w:val="009D1A53"/>
    <w:rsid w:val="009D281E"/>
    <w:rsid w:val="009D2CD5"/>
    <w:rsid w:val="009D3181"/>
    <w:rsid w:val="009D3C7E"/>
    <w:rsid w:val="009D4B57"/>
    <w:rsid w:val="009D55E3"/>
    <w:rsid w:val="009D7C5D"/>
    <w:rsid w:val="009E10F2"/>
    <w:rsid w:val="009E2E40"/>
    <w:rsid w:val="009E2EF2"/>
    <w:rsid w:val="009E368D"/>
    <w:rsid w:val="009E5839"/>
    <w:rsid w:val="009E67F9"/>
    <w:rsid w:val="009E715B"/>
    <w:rsid w:val="009E79B6"/>
    <w:rsid w:val="009F000C"/>
    <w:rsid w:val="009F272B"/>
    <w:rsid w:val="009F475A"/>
    <w:rsid w:val="009F5CB2"/>
    <w:rsid w:val="009F7BE0"/>
    <w:rsid w:val="00A0002C"/>
    <w:rsid w:val="00A000C8"/>
    <w:rsid w:val="00A02B72"/>
    <w:rsid w:val="00A04C3A"/>
    <w:rsid w:val="00A06F33"/>
    <w:rsid w:val="00A07344"/>
    <w:rsid w:val="00A07DE8"/>
    <w:rsid w:val="00A10576"/>
    <w:rsid w:val="00A11920"/>
    <w:rsid w:val="00A13491"/>
    <w:rsid w:val="00A136CA"/>
    <w:rsid w:val="00A16566"/>
    <w:rsid w:val="00A20408"/>
    <w:rsid w:val="00A207E1"/>
    <w:rsid w:val="00A20879"/>
    <w:rsid w:val="00A20F2D"/>
    <w:rsid w:val="00A2116F"/>
    <w:rsid w:val="00A235A6"/>
    <w:rsid w:val="00A23F1E"/>
    <w:rsid w:val="00A256CA"/>
    <w:rsid w:val="00A2625D"/>
    <w:rsid w:val="00A27165"/>
    <w:rsid w:val="00A301D4"/>
    <w:rsid w:val="00A3046A"/>
    <w:rsid w:val="00A304D4"/>
    <w:rsid w:val="00A309D9"/>
    <w:rsid w:val="00A35527"/>
    <w:rsid w:val="00A36A5E"/>
    <w:rsid w:val="00A3744B"/>
    <w:rsid w:val="00A401C7"/>
    <w:rsid w:val="00A40335"/>
    <w:rsid w:val="00A4282B"/>
    <w:rsid w:val="00A4346C"/>
    <w:rsid w:val="00A434B2"/>
    <w:rsid w:val="00A43F56"/>
    <w:rsid w:val="00A44273"/>
    <w:rsid w:val="00A450AE"/>
    <w:rsid w:val="00A4667E"/>
    <w:rsid w:val="00A53B12"/>
    <w:rsid w:val="00A545E6"/>
    <w:rsid w:val="00A54D2F"/>
    <w:rsid w:val="00A551B3"/>
    <w:rsid w:val="00A55232"/>
    <w:rsid w:val="00A557B9"/>
    <w:rsid w:val="00A56DA2"/>
    <w:rsid w:val="00A57689"/>
    <w:rsid w:val="00A5777C"/>
    <w:rsid w:val="00A60D96"/>
    <w:rsid w:val="00A625BF"/>
    <w:rsid w:val="00A6412C"/>
    <w:rsid w:val="00A715CA"/>
    <w:rsid w:val="00A71928"/>
    <w:rsid w:val="00A7283D"/>
    <w:rsid w:val="00A73433"/>
    <w:rsid w:val="00A73FC0"/>
    <w:rsid w:val="00A7543C"/>
    <w:rsid w:val="00A7665C"/>
    <w:rsid w:val="00A80DAE"/>
    <w:rsid w:val="00A83301"/>
    <w:rsid w:val="00A8361A"/>
    <w:rsid w:val="00A83DAF"/>
    <w:rsid w:val="00A84D9F"/>
    <w:rsid w:val="00A858A9"/>
    <w:rsid w:val="00A87F10"/>
    <w:rsid w:val="00A90B1A"/>
    <w:rsid w:val="00A935E6"/>
    <w:rsid w:val="00A960D4"/>
    <w:rsid w:val="00A963B1"/>
    <w:rsid w:val="00A966BD"/>
    <w:rsid w:val="00A97F5F"/>
    <w:rsid w:val="00AA17BB"/>
    <w:rsid w:val="00AA2FDE"/>
    <w:rsid w:val="00AA3744"/>
    <w:rsid w:val="00AA384A"/>
    <w:rsid w:val="00AA4AD8"/>
    <w:rsid w:val="00AA6426"/>
    <w:rsid w:val="00AB0E18"/>
    <w:rsid w:val="00AB147D"/>
    <w:rsid w:val="00AB2584"/>
    <w:rsid w:val="00AB271E"/>
    <w:rsid w:val="00AB2D1B"/>
    <w:rsid w:val="00AB4801"/>
    <w:rsid w:val="00AB682A"/>
    <w:rsid w:val="00AB6862"/>
    <w:rsid w:val="00AC02E1"/>
    <w:rsid w:val="00AC3BBD"/>
    <w:rsid w:val="00AC6750"/>
    <w:rsid w:val="00AC6754"/>
    <w:rsid w:val="00AD00B5"/>
    <w:rsid w:val="00AD0288"/>
    <w:rsid w:val="00AD1A92"/>
    <w:rsid w:val="00AD1FC5"/>
    <w:rsid w:val="00AD21C7"/>
    <w:rsid w:val="00AD25D9"/>
    <w:rsid w:val="00AD291D"/>
    <w:rsid w:val="00AD2C90"/>
    <w:rsid w:val="00AD3BE7"/>
    <w:rsid w:val="00AD3D53"/>
    <w:rsid w:val="00AD4D06"/>
    <w:rsid w:val="00AD5DB2"/>
    <w:rsid w:val="00AD7F13"/>
    <w:rsid w:val="00AE0447"/>
    <w:rsid w:val="00AE087E"/>
    <w:rsid w:val="00AE1655"/>
    <w:rsid w:val="00AE21D2"/>
    <w:rsid w:val="00AE2B9C"/>
    <w:rsid w:val="00AE2C50"/>
    <w:rsid w:val="00AE2DF3"/>
    <w:rsid w:val="00AE362C"/>
    <w:rsid w:val="00AE3C92"/>
    <w:rsid w:val="00AE4769"/>
    <w:rsid w:val="00AE4781"/>
    <w:rsid w:val="00AE532C"/>
    <w:rsid w:val="00AE5F22"/>
    <w:rsid w:val="00AE6175"/>
    <w:rsid w:val="00AE7324"/>
    <w:rsid w:val="00AE7E21"/>
    <w:rsid w:val="00AF0A3B"/>
    <w:rsid w:val="00AF19EF"/>
    <w:rsid w:val="00AF1B70"/>
    <w:rsid w:val="00AF3BFF"/>
    <w:rsid w:val="00AF449C"/>
    <w:rsid w:val="00AF6465"/>
    <w:rsid w:val="00AF7602"/>
    <w:rsid w:val="00B04C20"/>
    <w:rsid w:val="00B06AE2"/>
    <w:rsid w:val="00B072CC"/>
    <w:rsid w:val="00B076E0"/>
    <w:rsid w:val="00B07DF0"/>
    <w:rsid w:val="00B126ED"/>
    <w:rsid w:val="00B129B0"/>
    <w:rsid w:val="00B12CD0"/>
    <w:rsid w:val="00B12EF6"/>
    <w:rsid w:val="00B15F9E"/>
    <w:rsid w:val="00B16B76"/>
    <w:rsid w:val="00B224E7"/>
    <w:rsid w:val="00B22CE6"/>
    <w:rsid w:val="00B22FD0"/>
    <w:rsid w:val="00B230D2"/>
    <w:rsid w:val="00B2325E"/>
    <w:rsid w:val="00B23460"/>
    <w:rsid w:val="00B23559"/>
    <w:rsid w:val="00B237E6"/>
    <w:rsid w:val="00B26461"/>
    <w:rsid w:val="00B27380"/>
    <w:rsid w:val="00B27797"/>
    <w:rsid w:val="00B3114F"/>
    <w:rsid w:val="00B31307"/>
    <w:rsid w:val="00B31A00"/>
    <w:rsid w:val="00B32098"/>
    <w:rsid w:val="00B32A1F"/>
    <w:rsid w:val="00B3426A"/>
    <w:rsid w:val="00B3471A"/>
    <w:rsid w:val="00B36654"/>
    <w:rsid w:val="00B37AD3"/>
    <w:rsid w:val="00B421CF"/>
    <w:rsid w:val="00B4615A"/>
    <w:rsid w:val="00B472C2"/>
    <w:rsid w:val="00B513DC"/>
    <w:rsid w:val="00B5253F"/>
    <w:rsid w:val="00B53200"/>
    <w:rsid w:val="00B53A55"/>
    <w:rsid w:val="00B53B0A"/>
    <w:rsid w:val="00B53E0F"/>
    <w:rsid w:val="00B55176"/>
    <w:rsid w:val="00B56700"/>
    <w:rsid w:val="00B56A7A"/>
    <w:rsid w:val="00B57311"/>
    <w:rsid w:val="00B57E09"/>
    <w:rsid w:val="00B604B7"/>
    <w:rsid w:val="00B61B1F"/>
    <w:rsid w:val="00B63583"/>
    <w:rsid w:val="00B64A09"/>
    <w:rsid w:val="00B65F29"/>
    <w:rsid w:val="00B660E2"/>
    <w:rsid w:val="00B661B6"/>
    <w:rsid w:val="00B70D03"/>
    <w:rsid w:val="00B70D45"/>
    <w:rsid w:val="00B70D6E"/>
    <w:rsid w:val="00B719F1"/>
    <w:rsid w:val="00B74C43"/>
    <w:rsid w:val="00B763D3"/>
    <w:rsid w:val="00B7668A"/>
    <w:rsid w:val="00B7717F"/>
    <w:rsid w:val="00B806F1"/>
    <w:rsid w:val="00B80E43"/>
    <w:rsid w:val="00B80F83"/>
    <w:rsid w:val="00B817AC"/>
    <w:rsid w:val="00B81D0D"/>
    <w:rsid w:val="00B821DD"/>
    <w:rsid w:val="00B82447"/>
    <w:rsid w:val="00B82D89"/>
    <w:rsid w:val="00B834A0"/>
    <w:rsid w:val="00B837C5"/>
    <w:rsid w:val="00B84ABC"/>
    <w:rsid w:val="00B85409"/>
    <w:rsid w:val="00B860FB"/>
    <w:rsid w:val="00B872D6"/>
    <w:rsid w:val="00B87FFC"/>
    <w:rsid w:val="00B922E4"/>
    <w:rsid w:val="00B953BE"/>
    <w:rsid w:val="00B95445"/>
    <w:rsid w:val="00B95850"/>
    <w:rsid w:val="00B97C85"/>
    <w:rsid w:val="00B97FFA"/>
    <w:rsid w:val="00BA004C"/>
    <w:rsid w:val="00BA4CFB"/>
    <w:rsid w:val="00BA5DBE"/>
    <w:rsid w:val="00BA5F2E"/>
    <w:rsid w:val="00BA6DA7"/>
    <w:rsid w:val="00BA6FE1"/>
    <w:rsid w:val="00BA7C98"/>
    <w:rsid w:val="00BB2D74"/>
    <w:rsid w:val="00BB32B3"/>
    <w:rsid w:val="00BB3D45"/>
    <w:rsid w:val="00BB4914"/>
    <w:rsid w:val="00BB5F55"/>
    <w:rsid w:val="00BB7013"/>
    <w:rsid w:val="00BB7B7C"/>
    <w:rsid w:val="00BC0E6E"/>
    <w:rsid w:val="00BC153F"/>
    <w:rsid w:val="00BC15B1"/>
    <w:rsid w:val="00BC24B2"/>
    <w:rsid w:val="00BC3D1E"/>
    <w:rsid w:val="00BC4F8A"/>
    <w:rsid w:val="00BC5A40"/>
    <w:rsid w:val="00BC5B0A"/>
    <w:rsid w:val="00BC6A40"/>
    <w:rsid w:val="00BC6C96"/>
    <w:rsid w:val="00BD1AD6"/>
    <w:rsid w:val="00BD4186"/>
    <w:rsid w:val="00BD5D34"/>
    <w:rsid w:val="00BD62F0"/>
    <w:rsid w:val="00BD667D"/>
    <w:rsid w:val="00BD7227"/>
    <w:rsid w:val="00BD7E04"/>
    <w:rsid w:val="00BE0FD1"/>
    <w:rsid w:val="00BE2423"/>
    <w:rsid w:val="00BE24C7"/>
    <w:rsid w:val="00BE5393"/>
    <w:rsid w:val="00BE5A7F"/>
    <w:rsid w:val="00BE5B53"/>
    <w:rsid w:val="00BE6633"/>
    <w:rsid w:val="00BF03DE"/>
    <w:rsid w:val="00BF123C"/>
    <w:rsid w:val="00BF1F54"/>
    <w:rsid w:val="00BF21FA"/>
    <w:rsid w:val="00BF3299"/>
    <w:rsid w:val="00BF3B28"/>
    <w:rsid w:val="00BF457F"/>
    <w:rsid w:val="00BF52F9"/>
    <w:rsid w:val="00BF5590"/>
    <w:rsid w:val="00C000E3"/>
    <w:rsid w:val="00C00CC4"/>
    <w:rsid w:val="00C02188"/>
    <w:rsid w:val="00C04BEE"/>
    <w:rsid w:val="00C06DFC"/>
    <w:rsid w:val="00C0752D"/>
    <w:rsid w:val="00C07C80"/>
    <w:rsid w:val="00C11E06"/>
    <w:rsid w:val="00C12599"/>
    <w:rsid w:val="00C137B1"/>
    <w:rsid w:val="00C13CE1"/>
    <w:rsid w:val="00C149E6"/>
    <w:rsid w:val="00C15008"/>
    <w:rsid w:val="00C15925"/>
    <w:rsid w:val="00C165FC"/>
    <w:rsid w:val="00C16810"/>
    <w:rsid w:val="00C17804"/>
    <w:rsid w:val="00C17A8D"/>
    <w:rsid w:val="00C17D1C"/>
    <w:rsid w:val="00C20960"/>
    <w:rsid w:val="00C215BD"/>
    <w:rsid w:val="00C22A33"/>
    <w:rsid w:val="00C23E0F"/>
    <w:rsid w:val="00C2528C"/>
    <w:rsid w:val="00C253B4"/>
    <w:rsid w:val="00C27DBE"/>
    <w:rsid w:val="00C30C19"/>
    <w:rsid w:val="00C316D8"/>
    <w:rsid w:val="00C32DB1"/>
    <w:rsid w:val="00C333CD"/>
    <w:rsid w:val="00C334F6"/>
    <w:rsid w:val="00C33683"/>
    <w:rsid w:val="00C34320"/>
    <w:rsid w:val="00C34357"/>
    <w:rsid w:val="00C352BF"/>
    <w:rsid w:val="00C36AEE"/>
    <w:rsid w:val="00C36E12"/>
    <w:rsid w:val="00C37158"/>
    <w:rsid w:val="00C41674"/>
    <w:rsid w:val="00C41AFD"/>
    <w:rsid w:val="00C421D4"/>
    <w:rsid w:val="00C42860"/>
    <w:rsid w:val="00C42C55"/>
    <w:rsid w:val="00C43D21"/>
    <w:rsid w:val="00C45144"/>
    <w:rsid w:val="00C45212"/>
    <w:rsid w:val="00C47777"/>
    <w:rsid w:val="00C50251"/>
    <w:rsid w:val="00C5099B"/>
    <w:rsid w:val="00C5348C"/>
    <w:rsid w:val="00C5440C"/>
    <w:rsid w:val="00C55430"/>
    <w:rsid w:val="00C606F0"/>
    <w:rsid w:val="00C62A82"/>
    <w:rsid w:val="00C6394C"/>
    <w:rsid w:val="00C63DA7"/>
    <w:rsid w:val="00C63F3A"/>
    <w:rsid w:val="00C640A4"/>
    <w:rsid w:val="00C65451"/>
    <w:rsid w:val="00C65CA1"/>
    <w:rsid w:val="00C66206"/>
    <w:rsid w:val="00C67303"/>
    <w:rsid w:val="00C702A6"/>
    <w:rsid w:val="00C7141E"/>
    <w:rsid w:val="00C7174D"/>
    <w:rsid w:val="00C72163"/>
    <w:rsid w:val="00C74639"/>
    <w:rsid w:val="00C74BE6"/>
    <w:rsid w:val="00C74F1F"/>
    <w:rsid w:val="00C7508D"/>
    <w:rsid w:val="00C75784"/>
    <w:rsid w:val="00C7638C"/>
    <w:rsid w:val="00C769A1"/>
    <w:rsid w:val="00C773B4"/>
    <w:rsid w:val="00C8056A"/>
    <w:rsid w:val="00C80AC8"/>
    <w:rsid w:val="00C81F17"/>
    <w:rsid w:val="00C85AFB"/>
    <w:rsid w:val="00C86FF3"/>
    <w:rsid w:val="00C8783D"/>
    <w:rsid w:val="00C87B73"/>
    <w:rsid w:val="00C87DA3"/>
    <w:rsid w:val="00C900D5"/>
    <w:rsid w:val="00C918CB"/>
    <w:rsid w:val="00C9247F"/>
    <w:rsid w:val="00C93A76"/>
    <w:rsid w:val="00C93A81"/>
    <w:rsid w:val="00C9425B"/>
    <w:rsid w:val="00C94618"/>
    <w:rsid w:val="00C94793"/>
    <w:rsid w:val="00C94AFA"/>
    <w:rsid w:val="00C94ECE"/>
    <w:rsid w:val="00C95E4D"/>
    <w:rsid w:val="00CA121F"/>
    <w:rsid w:val="00CA5A1C"/>
    <w:rsid w:val="00CA6171"/>
    <w:rsid w:val="00CA6255"/>
    <w:rsid w:val="00CA6A29"/>
    <w:rsid w:val="00CA6B84"/>
    <w:rsid w:val="00CB0008"/>
    <w:rsid w:val="00CB1278"/>
    <w:rsid w:val="00CB670A"/>
    <w:rsid w:val="00CB76B3"/>
    <w:rsid w:val="00CC0556"/>
    <w:rsid w:val="00CC1B03"/>
    <w:rsid w:val="00CC1C4A"/>
    <w:rsid w:val="00CC22A2"/>
    <w:rsid w:val="00CC2E22"/>
    <w:rsid w:val="00CC3C97"/>
    <w:rsid w:val="00CC40EC"/>
    <w:rsid w:val="00CC4267"/>
    <w:rsid w:val="00CC4D0A"/>
    <w:rsid w:val="00CC6393"/>
    <w:rsid w:val="00CC67D8"/>
    <w:rsid w:val="00CC7B32"/>
    <w:rsid w:val="00CC7FA7"/>
    <w:rsid w:val="00CD0296"/>
    <w:rsid w:val="00CD22AD"/>
    <w:rsid w:val="00CD2D9E"/>
    <w:rsid w:val="00CD40D9"/>
    <w:rsid w:val="00CD4D5F"/>
    <w:rsid w:val="00CD5119"/>
    <w:rsid w:val="00CD51B8"/>
    <w:rsid w:val="00CD6912"/>
    <w:rsid w:val="00CD6F43"/>
    <w:rsid w:val="00CD769F"/>
    <w:rsid w:val="00CE035F"/>
    <w:rsid w:val="00CE0776"/>
    <w:rsid w:val="00CE0ADA"/>
    <w:rsid w:val="00CE19F0"/>
    <w:rsid w:val="00CE22C1"/>
    <w:rsid w:val="00CE238A"/>
    <w:rsid w:val="00CE273B"/>
    <w:rsid w:val="00CE465C"/>
    <w:rsid w:val="00CE486B"/>
    <w:rsid w:val="00CE551D"/>
    <w:rsid w:val="00CE552F"/>
    <w:rsid w:val="00CE5CD6"/>
    <w:rsid w:val="00CE6E3F"/>
    <w:rsid w:val="00CE787B"/>
    <w:rsid w:val="00CF055B"/>
    <w:rsid w:val="00CF1A35"/>
    <w:rsid w:val="00CF1AE1"/>
    <w:rsid w:val="00CF2EE1"/>
    <w:rsid w:val="00CF47F9"/>
    <w:rsid w:val="00CF4939"/>
    <w:rsid w:val="00CF7A8C"/>
    <w:rsid w:val="00CF7F55"/>
    <w:rsid w:val="00D01DBB"/>
    <w:rsid w:val="00D02D14"/>
    <w:rsid w:val="00D039D4"/>
    <w:rsid w:val="00D04A18"/>
    <w:rsid w:val="00D05B9D"/>
    <w:rsid w:val="00D05EC8"/>
    <w:rsid w:val="00D07BDA"/>
    <w:rsid w:val="00D10E98"/>
    <w:rsid w:val="00D13268"/>
    <w:rsid w:val="00D13342"/>
    <w:rsid w:val="00D13768"/>
    <w:rsid w:val="00D137D6"/>
    <w:rsid w:val="00D213B8"/>
    <w:rsid w:val="00D2155A"/>
    <w:rsid w:val="00D22E28"/>
    <w:rsid w:val="00D23198"/>
    <w:rsid w:val="00D24064"/>
    <w:rsid w:val="00D270C6"/>
    <w:rsid w:val="00D276B2"/>
    <w:rsid w:val="00D30734"/>
    <w:rsid w:val="00D3076D"/>
    <w:rsid w:val="00D31B19"/>
    <w:rsid w:val="00D31CE4"/>
    <w:rsid w:val="00D31DD6"/>
    <w:rsid w:val="00D336D5"/>
    <w:rsid w:val="00D33C8B"/>
    <w:rsid w:val="00D34EE7"/>
    <w:rsid w:val="00D35A68"/>
    <w:rsid w:val="00D35E0B"/>
    <w:rsid w:val="00D41610"/>
    <w:rsid w:val="00D425F1"/>
    <w:rsid w:val="00D4346B"/>
    <w:rsid w:val="00D43E34"/>
    <w:rsid w:val="00D44261"/>
    <w:rsid w:val="00D454FF"/>
    <w:rsid w:val="00D46CA1"/>
    <w:rsid w:val="00D47730"/>
    <w:rsid w:val="00D47C30"/>
    <w:rsid w:val="00D47C95"/>
    <w:rsid w:val="00D51C2B"/>
    <w:rsid w:val="00D51E00"/>
    <w:rsid w:val="00D52534"/>
    <w:rsid w:val="00D52770"/>
    <w:rsid w:val="00D52BDA"/>
    <w:rsid w:val="00D535D4"/>
    <w:rsid w:val="00D54C79"/>
    <w:rsid w:val="00D56CF2"/>
    <w:rsid w:val="00D5789E"/>
    <w:rsid w:val="00D60664"/>
    <w:rsid w:val="00D617DB"/>
    <w:rsid w:val="00D61B2D"/>
    <w:rsid w:val="00D62577"/>
    <w:rsid w:val="00D63256"/>
    <w:rsid w:val="00D63D50"/>
    <w:rsid w:val="00D646BF"/>
    <w:rsid w:val="00D670CF"/>
    <w:rsid w:val="00D67DEB"/>
    <w:rsid w:val="00D70835"/>
    <w:rsid w:val="00D715BB"/>
    <w:rsid w:val="00D7164A"/>
    <w:rsid w:val="00D72D54"/>
    <w:rsid w:val="00D732F8"/>
    <w:rsid w:val="00D73584"/>
    <w:rsid w:val="00D743FF"/>
    <w:rsid w:val="00D74528"/>
    <w:rsid w:val="00D7499C"/>
    <w:rsid w:val="00D74F89"/>
    <w:rsid w:val="00D7502C"/>
    <w:rsid w:val="00D75ECF"/>
    <w:rsid w:val="00D76FD4"/>
    <w:rsid w:val="00D76FE6"/>
    <w:rsid w:val="00D7748E"/>
    <w:rsid w:val="00D80957"/>
    <w:rsid w:val="00D81F3C"/>
    <w:rsid w:val="00D82DC4"/>
    <w:rsid w:val="00D832B5"/>
    <w:rsid w:val="00D83EAD"/>
    <w:rsid w:val="00D849C4"/>
    <w:rsid w:val="00D852D6"/>
    <w:rsid w:val="00D8530C"/>
    <w:rsid w:val="00D85C5F"/>
    <w:rsid w:val="00D86B74"/>
    <w:rsid w:val="00D87453"/>
    <w:rsid w:val="00D87793"/>
    <w:rsid w:val="00D87C49"/>
    <w:rsid w:val="00D9047C"/>
    <w:rsid w:val="00D92D8D"/>
    <w:rsid w:val="00D937E6"/>
    <w:rsid w:val="00D93A0A"/>
    <w:rsid w:val="00D948D8"/>
    <w:rsid w:val="00DA2119"/>
    <w:rsid w:val="00DA4A25"/>
    <w:rsid w:val="00DA4B13"/>
    <w:rsid w:val="00DA4EED"/>
    <w:rsid w:val="00DA5490"/>
    <w:rsid w:val="00DA565F"/>
    <w:rsid w:val="00DA5950"/>
    <w:rsid w:val="00DA5E22"/>
    <w:rsid w:val="00DB0339"/>
    <w:rsid w:val="00DB066A"/>
    <w:rsid w:val="00DB0FE0"/>
    <w:rsid w:val="00DB116F"/>
    <w:rsid w:val="00DB2EBC"/>
    <w:rsid w:val="00DB2EF6"/>
    <w:rsid w:val="00DB3279"/>
    <w:rsid w:val="00DB3BF6"/>
    <w:rsid w:val="00DB4ADB"/>
    <w:rsid w:val="00DB6014"/>
    <w:rsid w:val="00DB7F18"/>
    <w:rsid w:val="00DC0C51"/>
    <w:rsid w:val="00DC29BC"/>
    <w:rsid w:val="00DC41A3"/>
    <w:rsid w:val="00DC47C0"/>
    <w:rsid w:val="00DC556A"/>
    <w:rsid w:val="00DC5A84"/>
    <w:rsid w:val="00DC5E8D"/>
    <w:rsid w:val="00DC72E3"/>
    <w:rsid w:val="00DC777D"/>
    <w:rsid w:val="00DC7C90"/>
    <w:rsid w:val="00DD0432"/>
    <w:rsid w:val="00DD0AD5"/>
    <w:rsid w:val="00DD15B3"/>
    <w:rsid w:val="00DD267F"/>
    <w:rsid w:val="00DD2E15"/>
    <w:rsid w:val="00DD3CFB"/>
    <w:rsid w:val="00DD3DEE"/>
    <w:rsid w:val="00DD514F"/>
    <w:rsid w:val="00DD5257"/>
    <w:rsid w:val="00DD6E55"/>
    <w:rsid w:val="00DD7040"/>
    <w:rsid w:val="00DD776A"/>
    <w:rsid w:val="00DD7F26"/>
    <w:rsid w:val="00DE1B1A"/>
    <w:rsid w:val="00DE1EBE"/>
    <w:rsid w:val="00DE3062"/>
    <w:rsid w:val="00DE4EEA"/>
    <w:rsid w:val="00DE4F39"/>
    <w:rsid w:val="00DE61B1"/>
    <w:rsid w:val="00DE7844"/>
    <w:rsid w:val="00DE7AE2"/>
    <w:rsid w:val="00DF0190"/>
    <w:rsid w:val="00DF0393"/>
    <w:rsid w:val="00DF09DC"/>
    <w:rsid w:val="00DF0DC4"/>
    <w:rsid w:val="00DF1899"/>
    <w:rsid w:val="00DF1ACF"/>
    <w:rsid w:val="00DF1E7F"/>
    <w:rsid w:val="00DF6A83"/>
    <w:rsid w:val="00E014DC"/>
    <w:rsid w:val="00E01B93"/>
    <w:rsid w:val="00E02B90"/>
    <w:rsid w:val="00E03374"/>
    <w:rsid w:val="00E05B82"/>
    <w:rsid w:val="00E062EA"/>
    <w:rsid w:val="00E10F21"/>
    <w:rsid w:val="00E124E7"/>
    <w:rsid w:val="00E13560"/>
    <w:rsid w:val="00E1410B"/>
    <w:rsid w:val="00E14803"/>
    <w:rsid w:val="00E14877"/>
    <w:rsid w:val="00E153F8"/>
    <w:rsid w:val="00E2033B"/>
    <w:rsid w:val="00E21900"/>
    <w:rsid w:val="00E226A7"/>
    <w:rsid w:val="00E23D60"/>
    <w:rsid w:val="00E24049"/>
    <w:rsid w:val="00E246FB"/>
    <w:rsid w:val="00E24852"/>
    <w:rsid w:val="00E24B0F"/>
    <w:rsid w:val="00E24ECD"/>
    <w:rsid w:val="00E27E12"/>
    <w:rsid w:val="00E307CF"/>
    <w:rsid w:val="00E3091F"/>
    <w:rsid w:val="00E30E5F"/>
    <w:rsid w:val="00E3505C"/>
    <w:rsid w:val="00E35260"/>
    <w:rsid w:val="00E35BC5"/>
    <w:rsid w:val="00E36635"/>
    <w:rsid w:val="00E37B0E"/>
    <w:rsid w:val="00E40222"/>
    <w:rsid w:val="00E419EE"/>
    <w:rsid w:val="00E42CC6"/>
    <w:rsid w:val="00E431E4"/>
    <w:rsid w:val="00E44B3D"/>
    <w:rsid w:val="00E45B01"/>
    <w:rsid w:val="00E45F21"/>
    <w:rsid w:val="00E478A0"/>
    <w:rsid w:val="00E505CC"/>
    <w:rsid w:val="00E508C7"/>
    <w:rsid w:val="00E50D86"/>
    <w:rsid w:val="00E51013"/>
    <w:rsid w:val="00E51FAD"/>
    <w:rsid w:val="00E527A6"/>
    <w:rsid w:val="00E528FF"/>
    <w:rsid w:val="00E53D51"/>
    <w:rsid w:val="00E54C11"/>
    <w:rsid w:val="00E54DED"/>
    <w:rsid w:val="00E55E33"/>
    <w:rsid w:val="00E56D42"/>
    <w:rsid w:val="00E6092D"/>
    <w:rsid w:val="00E63083"/>
    <w:rsid w:val="00E630FD"/>
    <w:rsid w:val="00E646D6"/>
    <w:rsid w:val="00E64A71"/>
    <w:rsid w:val="00E64FF3"/>
    <w:rsid w:val="00E65A3C"/>
    <w:rsid w:val="00E67089"/>
    <w:rsid w:val="00E70A1F"/>
    <w:rsid w:val="00E70B8D"/>
    <w:rsid w:val="00E71109"/>
    <w:rsid w:val="00E72735"/>
    <w:rsid w:val="00E753E9"/>
    <w:rsid w:val="00E761F0"/>
    <w:rsid w:val="00E762CC"/>
    <w:rsid w:val="00E764CB"/>
    <w:rsid w:val="00E775B1"/>
    <w:rsid w:val="00E776E6"/>
    <w:rsid w:val="00E7789E"/>
    <w:rsid w:val="00E81B93"/>
    <w:rsid w:val="00E8300D"/>
    <w:rsid w:val="00E8363E"/>
    <w:rsid w:val="00E83AAE"/>
    <w:rsid w:val="00E83EA3"/>
    <w:rsid w:val="00E84945"/>
    <w:rsid w:val="00E850EC"/>
    <w:rsid w:val="00E85D98"/>
    <w:rsid w:val="00E86CBE"/>
    <w:rsid w:val="00E904B0"/>
    <w:rsid w:val="00E9087D"/>
    <w:rsid w:val="00E918EB"/>
    <w:rsid w:val="00E93146"/>
    <w:rsid w:val="00E94B89"/>
    <w:rsid w:val="00E95610"/>
    <w:rsid w:val="00E95830"/>
    <w:rsid w:val="00E95D16"/>
    <w:rsid w:val="00E9619C"/>
    <w:rsid w:val="00E96588"/>
    <w:rsid w:val="00E978F2"/>
    <w:rsid w:val="00E97A0C"/>
    <w:rsid w:val="00E97FB9"/>
    <w:rsid w:val="00EA11B6"/>
    <w:rsid w:val="00EA11BB"/>
    <w:rsid w:val="00EA186A"/>
    <w:rsid w:val="00EA1F74"/>
    <w:rsid w:val="00EA216D"/>
    <w:rsid w:val="00EA2395"/>
    <w:rsid w:val="00EA39C9"/>
    <w:rsid w:val="00EA42B4"/>
    <w:rsid w:val="00EA5C06"/>
    <w:rsid w:val="00EB2530"/>
    <w:rsid w:val="00EB3118"/>
    <w:rsid w:val="00EB4F0C"/>
    <w:rsid w:val="00EB4F76"/>
    <w:rsid w:val="00EB6110"/>
    <w:rsid w:val="00EB784A"/>
    <w:rsid w:val="00EC105A"/>
    <w:rsid w:val="00EC2166"/>
    <w:rsid w:val="00EC27BD"/>
    <w:rsid w:val="00EC2FEE"/>
    <w:rsid w:val="00EC39E6"/>
    <w:rsid w:val="00EC3D4B"/>
    <w:rsid w:val="00EC510C"/>
    <w:rsid w:val="00EC528E"/>
    <w:rsid w:val="00EC5E16"/>
    <w:rsid w:val="00EC7E1B"/>
    <w:rsid w:val="00EC7E98"/>
    <w:rsid w:val="00ED198A"/>
    <w:rsid w:val="00ED459D"/>
    <w:rsid w:val="00ED4AE3"/>
    <w:rsid w:val="00ED4FE4"/>
    <w:rsid w:val="00ED59DC"/>
    <w:rsid w:val="00ED6506"/>
    <w:rsid w:val="00EE2114"/>
    <w:rsid w:val="00EE2E47"/>
    <w:rsid w:val="00EE2EA1"/>
    <w:rsid w:val="00EE403A"/>
    <w:rsid w:val="00EE461F"/>
    <w:rsid w:val="00EE5BC9"/>
    <w:rsid w:val="00EE6A1C"/>
    <w:rsid w:val="00EE6CD2"/>
    <w:rsid w:val="00EF107F"/>
    <w:rsid w:val="00EF34B9"/>
    <w:rsid w:val="00EF5745"/>
    <w:rsid w:val="00EF59A1"/>
    <w:rsid w:val="00EF7C85"/>
    <w:rsid w:val="00EF7D34"/>
    <w:rsid w:val="00F029DE"/>
    <w:rsid w:val="00F02AD0"/>
    <w:rsid w:val="00F03970"/>
    <w:rsid w:val="00F04494"/>
    <w:rsid w:val="00F045FC"/>
    <w:rsid w:val="00F04FCD"/>
    <w:rsid w:val="00F05908"/>
    <w:rsid w:val="00F06764"/>
    <w:rsid w:val="00F07F1D"/>
    <w:rsid w:val="00F11277"/>
    <w:rsid w:val="00F1139D"/>
    <w:rsid w:val="00F114C2"/>
    <w:rsid w:val="00F118E7"/>
    <w:rsid w:val="00F11E81"/>
    <w:rsid w:val="00F122D1"/>
    <w:rsid w:val="00F1235B"/>
    <w:rsid w:val="00F123B4"/>
    <w:rsid w:val="00F12AA5"/>
    <w:rsid w:val="00F16A3B"/>
    <w:rsid w:val="00F177EA"/>
    <w:rsid w:val="00F2041A"/>
    <w:rsid w:val="00F225E0"/>
    <w:rsid w:val="00F2478B"/>
    <w:rsid w:val="00F24AC9"/>
    <w:rsid w:val="00F25455"/>
    <w:rsid w:val="00F26EE8"/>
    <w:rsid w:val="00F3184E"/>
    <w:rsid w:val="00F326CE"/>
    <w:rsid w:val="00F32AD7"/>
    <w:rsid w:val="00F33D9D"/>
    <w:rsid w:val="00F34CA7"/>
    <w:rsid w:val="00F35713"/>
    <w:rsid w:val="00F35FD6"/>
    <w:rsid w:val="00F36105"/>
    <w:rsid w:val="00F3708A"/>
    <w:rsid w:val="00F40018"/>
    <w:rsid w:val="00F4208F"/>
    <w:rsid w:val="00F429C6"/>
    <w:rsid w:val="00F42F57"/>
    <w:rsid w:val="00F439E7"/>
    <w:rsid w:val="00F45008"/>
    <w:rsid w:val="00F46FD7"/>
    <w:rsid w:val="00F47705"/>
    <w:rsid w:val="00F5119E"/>
    <w:rsid w:val="00F5159C"/>
    <w:rsid w:val="00F51803"/>
    <w:rsid w:val="00F52F75"/>
    <w:rsid w:val="00F53454"/>
    <w:rsid w:val="00F546C6"/>
    <w:rsid w:val="00F5572D"/>
    <w:rsid w:val="00F566CD"/>
    <w:rsid w:val="00F56F7B"/>
    <w:rsid w:val="00F57395"/>
    <w:rsid w:val="00F60C77"/>
    <w:rsid w:val="00F61309"/>
    <w:rsid w:val="00F615E9"/>
    <w:rsid w:val="00F62C57"/>
    <w:rsid w:val="00F64794"/>
    <w:rsid w:val="00F648A3"/>
    <w:rsid w:val="00F64EEE"/>
    <w:rsid w:val="00F661E3"/>
    <w:rsid w:val="00F6711B"/>
    <w:rsid w:val="00F673CB"/>
    <w:rsid w:val="00F67F06"/>
    <w:rsid w:val="00F7012B"/>
    <w:rsid w:val="00F7293E"/>
    <w:rsid w:val="00F729A7"/>
    <w:rsid w:val="00F72ADA"/>
    <w:rsid w:val="00F72EAA"/>
    <w:rsid w:val="00F730D5"/>
    <w:rsid w:val="00F7443F"/>
    <w:rsid w:val="00F74EB6"/>
    <w:rsid w:val="00F76379"/>
    <w:rsid w:val="00F774C6"/>
    <w:rsid w:val="00F778AA"/>
    <w:rsid w:val="00F81C92"/>
    <w:rsid w:val="00F81CF4"/>
    <w:rsid w:val="00F8630F"/>
    <w:rsid w:val="00F863CA"/>
    <w:rsid w:val="00F86FA4"/>
    <w:rsid w:val="00F91575"/>
    <w:rsid w:val="00F91721"/>
    <w:rsid w:val="00F91925"/>
    <w:rsid w:val="00F91DEB"/>
    <w:rsid w:val="00F93682"/>
    <w:rsid w:val="00F94378"/>
    <w:rsid w:val="00F95D12"/>
    <w:rsid w:val="00F965A6"/>
    <w:rsid w:val="00FA03DA"/>
    <w:rsid w:val="00FA0B8C"/>
    <w:rsid w:val="00FA101B"/>
    <w:rsid w:val="00FA14B0"/>
    <w:rsid w:val="00FA196E"/>
    <w:rsid w:val="00FA1B43"/>
    <w:rsid w:val="00FA1E1F"/>
    <w:rsid w:val="00FA52D3"/>
    <w:rsid w:val="00FA5778"/>
    <w:rsid w:val="00FA7CE6"/>
    <w:rsid w:val="00FB01E7"/>
    <w:rsid w:val="00FB152B"/>
    <w:rsid w:val="00FB1E49"/>
    <w:rsid w:val="00FB234D"/>
    <w:rsid w:val="00FB291E"/>
    <w:rsid w:val="00FB2B49"/>
    <w:rsid w:val="00FB3979"/>
    <w:rsid w:val="00FB51F3"/>
    <w:rsid w:val="00FB6EBA"/>
    <w:rsid w:val="00FB7256"/>
    <w:rsid w:val="00FB726B"/>
    <w:rsid w:val="00FC232E"/>
    <w:rsid w:val="00FC30ED"/>
    <w:rsid w:val="00FC3E9B"/>
    <w:rsid w:val="00FC5588"/>
    <w:rsid w:val="00FC5E66"/>
    <w:rsid w:val="00FC60A1"/>
    <w:rsid w:val="00FC6E63"/>
    <w:rsid w:val="00FC7D57"/>
    <w:rsid w:val="00FC7D5A"/>
    <w:rsid w:val="00FD019B"/>
    <w:rsid w:val="00FD0E31"/>
    <w:rsid w:val="00FD1353"/>
    <w:rsid w:val="00FD1D24"/>
    <w:rsid w:val="00FD2DCB"/>
    <w:rsid w:val="00FD369F"/>
    <w:rsid w:val="00FD40E3"/>
    <w:rsid w:val="00FD5598"/>
    <w:rsid w:val="00FD6B6A"/>
    <w:rsid w:val="00FE3104"/>
    <w:rsid w:val="00FE37EC"/>
    <w:rsid w:val="00FE4DDB"/>
    <w:rsid w:val="00FE6D1F"/>
    <w:rsid w:val="00FE7F8E"/>
    <w:rsid w:val="00FF0E04"/>
    <w:rsid w:val="00FF43D4"/>
    <w:rsid w:val="00FF46F2"/>
    <w:rsid w:val="00FF5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869C9"/>
  <w15:docId w15:val="{6859044A-E234-415A-9014-DEB6E2CD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74B21"/>
    <w:pPr>
      <w:keepNext/>
      <w:keepLines/>
      <w:spacing w:before="120" w:after="12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g">
    <w:name w:val="aug"/>
    <w:basedOn w:val="Normal"/>
    <w:uiPriority w:val="99"/>
    <w:rsid w:val="00E03374"/>
    <w:pPr>
      <w:spacing w:after="240" w:line="480" w:lineRule="atLeast"/>
    </w:pPr>
    <w:rPr>
      <w:rFonts w:ascii="Times New Roman" w:eastAsia="Times New Roman" w:hAnsi="Times New Roman" w:cs="Times New Roman"/>
      <w:sz w:val="24"/>
      <w:szCs w:val="20"/>
      <w:lang w:val="en-GB"/>
    </w:rPr>
  </w:style>
  <w:style w:type="paragraph" w:customStyle="1" w:styleId="p">
    <w:name w:val="p"/>
    <w:link w:val="pChar"/>
    <w:rsid w:val="004E70A1"/>
    <w:pPr>
      <w:spacing w:after="360" w:line="480" w:lineRule="atLeast"/>
      <w:ind w:firstLine="567"/>
    </w:pPr>
    <w:rPr>
      <w:rFonts w:ascii="Times New Roman" w:eastAsia="Times New Roman" w:hAnsi="Times New Roman" w:cs="Times New Roman"/>
      <w:sz w:val="24"/>
      <w:szCs w:val="20"/>
      <w:lang w:val="en-GB"/>
    </w:rPr>
  </w:style>
  <w:style w:type="character" w:customStyle="1" w:styleId="pChar">
    <w:name w:val="p Char"/>
    <w:basedOn w:val="DefaultParagraphFont"/>
    <w:link w:val="p"/>
    <w:rsid w:val="004E70A1"/>
    <w:rPr>
      <w:rFonts w:ascii="Times New Roman" w:eastAsia="Times New Roman" w:hAnsi="Times New Roman" w:cs="Times New Roman"/>
      <w:sz w:val="24"/>
      <w:szCs w:val="20"/>
      <w:lang w:val="en-GB"/>
    </w:rPr>
  </w:style>
  <w:style w:type="character" w:styleId="CommentReference">
    <w:name w:val="annotation reference"/>
    <w:uiPriority w:val="99"/>
    <w:rsid w:val="00C07C80"/>
    <w:rPr>
      <w:rFonts w:cs="Times New Roman"/>
      <w:sz w:val="16"/>
      <w:szCs w:val="16"/>
    </w:rPr>
  </w:style>
  <w:style w:type="table" w:customStyle="1" w:styleId="PlainTable51">
    <w:name w:val="Plain Table 51"/>
    <w:basedOn w:val="TableNormal"/>
    <w:uiPriority w:val="45"/>
    <w:rsid w:val="00F47705"/>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D61B2D"/>
    <w:pPr>
      <w:ind w:left="720"/>
      <w:contextualSpacing/>
    </w:pPr>
  </w:style>
  <w:style w:type="paragraph" w:styleId="BalloonText">
    <w:name w:val="Balloon Text"/>
    <w:basedOn w:val="Normal"/>
    <w:link w:val="BalloonTextChar"/>
    <w:uiPriority w:val="99"/>
    <w:semiHidden/>
    <w:unhideWhenUsed/>
    <w:rsid w:val="008D2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D46"/>
    <w:rPr>
      <w:rFonts w:ascii="Tahoma" w:hAnsi="Tahoma" w:cs="Tahoma"/>
      <w:sz w:val="16"/>
      <w:szCs w:val="16"/>
    </w:rPr>
  </w:style>
  <w:style w:type="paragraph" w:customStyle="1" w:styleId="EndNoteBibliographyTitle">
    <w:name w:val="EndNote Bibliography Title"/>
    <w:basedOn w:val="Normal"/>
    <w:link w:val="EndNoteBibliographyTitleChar"/>
    <w:rsid w:val="000F785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F785D"/>
    <w:rPr>
      <w:rFonts w:ascii="Calibri" w:hAnsi="Calibri" w:cs="Calibri"/>
      <w:noProof/>
    </w:rPr>
  </w:style>
  <w:style w:type="paragraph" w:customStyle="1" w:styleId="EndNoteBibliography">
    <w:name w:val="EndNote Bibliography"/>
    <w:basedOn w:val="Normal"/>
    <w:link w:val="EndNoteBibliographyChar"/>
    <w:rsid w:val="000F785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F785D"/>
    <w:rPr>
      <w:rFonts w:ascii="Calibri" w:hAnsi="Calibri" w:cs="Calibri"/>
      <w:noProof/>
    </w:rPr>
  </w:style>
  <w:style w:type="character" w:styleId="Hyperlink">
    <w:name w:val="Hyperlink"/>
    <w:basedOn w:val="DefaultParagraphFont"/>
    <w:uiPriority w:val="99"/>
    <w:unhideWhenUsed/>
    <w:rsid w:val="000F785D"/>
    <w:rPr>
      <w:color w:val="0000FF" w:themeColor="hyperlink"/>
      <w:u w:val="single"/>
    </w:rPr>
  </w:style>
  <w:style w:type="paragraph" w:styleId="Caption">
    <w:name w:val="caption"/>
    <w:basedOn w:val="Normal"/>
    <w:next w:val="Normal"/>
    <w:link w:val="CaptionChar"/>
    <w:uiPriority w:val="35"/>
    <w:qFormat/>
    <w:rsid w:val="00315E2C"/>
    <w:pPr>
      <w:suppressAutoHyphens/>
      <w:spacing w:after="120" w:line="240" w:lineRule="auto"/>
    </w:pPr>
    <w:rPr>
      <w:rFonts w:ascii="Times New Roman" w:eastAsia="Times New Roman" w:hAnsi="Times New Roman" w:cs="Times New Roman"/>
      <w:b/>
      <w:bCs/>
      <w:sz w:val="20"/>
      <w:szCs w:val="20"/>
    </w:rPr>
  </w:style>
  <w:style w:type="character" w:customStyle="1" w:styleId="CaptionChar">
    <w:name w:val="Caption Char"/>
    <w:link w:val="Caption"/>
    <w:uiPriority w:val="35"/>
    <w:locked/>
    <w:rsid w:val="00315E2C"/>
    <w:rPr>
      <w:rFonts w:ascii="Times New Roman" w:eastAsia="Times New Roman" w:hAnsi="Times New Roman" w:cs="Times New Roman"/>
      <w:b/>
      <w:bCs/>
      <w:sz w:val="20"/>
      <w:szCs w:val="20"/>
    </w:rPr>
  </w:style>
  <w:style w:type="table" w:customStyle="1" w:styleId="PlainTable21">
    <w:name w:val="Plain Table 21"/>
    <w:basedOn w:val="TableNormal"/>
    <w:uiPriority w:val="42"/>
    <w:rsid w:val="00315E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unhideWhenUsed/>
    <w:rsid w:val="00695468"/>
    <w:pPr>
      <w:spacing w:line="240" w:lineRule="auto"/>
    </w:pPr>
    <w:rPr>
      <w:sz w:val="20"/>
      <w:szCs w:val="20"/>
    </w:rPr>
  </w:style>
  <w:style w:type="character" w:customStyle="1" w:styleId="CommentTextChar">
    <w:name w:val="Comment Text Char"/>
    <w:basedOn w:val="DefaultParagraphFont"/>
    <w:link w:val="CommentText"/>
    <w:uiPriority w:val="99"/>
    <w:rsid w:val="00695468"/>
    <w:rPr>
      <w:sz w:val="20"/>
      <w:szCs w:val="20"/>
    </w:rPr>
  </w:style>
  <w:style w:type="paragraph" w:styleId="CommentSubject">
    <w:name w:val="annotation subject"/>
    <w:basedOn w:val="CommentText"/>
    <w:next w:val="CommentText"/>
    <w:link w:val="CommentSubjectChar"/>
    <w:uiPriority w:val="99"/>
    <w:semiHidden/>
    <w:unhideWhenUsed/>
    <w:rsid w:val="00695468"/>
    <w:rPr>
      <w:b/>
      <w:bCs/>
    </w:rPr>
  </w:style>
  <w:style w:type="character" w:customStyle="1" w:styleId="CommentSubjectChar">
    <w:name w:val="Comment Subject Char"/>
    <w:basedOn w:val="CommentTextChar"/>
    <w:link w:val="CommentSubject"/>
    <w:uiPriority w:val="99"/>
    <w:semiHidden/>
    <w:rsid w:val="00695468"/>
    <w:rPr>
      <w:b/>
      <w:bCs/>
      <w:sz w:val="20"/>
      <w:szCs w:val="20"/>
    </w:rPr>
  </w:style>
  <w:style w:type="character" w:styleId="FollowedHyperlink">
    <w:name w:val="FollowedHyperlink"/>
    <w:basedOn w:val="DefaultParagraphFont"/>
    <w:uiPriority w:val="99"/>
    <w:semiHidden/>
    <w:unhideWhenUsed/>
    <w:rsid w:val="00207C17"/>
    <w:rPr>
      <w:color w:val="800080" w:themeColor="followedHyperlink"/>
      <w:u w:val="single"/>
    </w:rPr>
  </w:style>
  <w:style w:type="paragraph" w:customStyle="1" w:styleId="Default">
    <w:name w:val="Default"/>
    <w:rsid w:val="000D003D"/>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59"/>
    <w:rsid w:val="000D0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4F0001"/>
    <w:rPr>
      <w:b/>
      <w:vanish w:val="0"/>
      <w:color w:val="FF0000"/>
      <w:sz w:val="32"/>
      <w:szCs w:val="24"/>
    </w:rPr>
  </w:style>
  <w:style w:type="paragraph" w:customStyle="1" w:styleId="MTDisplayEquation">
    <w:name w:val="MTDisplayEquation"/>
    <w:basedOn w:val="p"/>
    <w:next w:val="Normal"/>
    <w:link w:val="MTDisplayEquationChar"/>
    <w:rsid w:val="004F0001"/>
    <w:pPr>
      <w:tabs>
        <w:tab w:val="center" w:pos="4680"/>
        <w:tab w:val="right" w:pos="9360"/>
      </w:tabs>
      <w:spacing w:before="360" w:after="100" w:afterAutospacing="1" w:line="240" w:lineRule="auto"/>
      <w:ind w:firstLine="0"/>
    </w:pPr>
    <w:rPr>
      <w:szCs w:val="24"/>
    </w:rPr>
  </w:style>
  <w:style w:type="character" w:customStyle="1" w:styleId="MTDisplayEquationChar">
    <w:name w:val="MTDisplayEquation Char"/>
    <w:basedOn w:val="pChar"/>
    <w:link w:val="MTDisplayEquation"/>
    <w:rsid w:val="004F0001"/>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CE0ADA"/>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CE0ADA"/>
    <w:rPr>
      <w:rFonts w:ascii="Calibri" w:eastAsia="Calibri" w:hAnsi="Calibri" w:cs="Times New Roman"/>
      <w:sz w:val="20"/>
      <w:szCs w:val="20"/>
    </w:rPr>
  </w:style>
  <w:style w:type="character" w:customStyle="1" w:styleId="Heading3Char">
    <w:name w:val="Heading 3 Char"/>
    <w:basedOn w:val="DefaultParagraphFont"/>
    <w:link w:val="Heading3"/>
    <w:uiPriority w:val="9"/>
    <w:rsid w:val="00874B21"/>
    <w:rPr>
      <w:rFonts w:ascii="Times New Roman" w:eastAsiaTheme="majorEastAsia" w:hAnsi="Times New Roman" w:cstheme="majorBidi"/>
      <w:b/>
      <w:bCs/>
      <w:sz w:val="24"/>
    </w:rPr>
  </w:style>
  <w:style w:type="paragraph" w:styleId="PlainText">
    <w:name w:val="Plain Text"/>
    <w:basedOn w:val="Normal"/>
    <w:link w:val="PlainTextChar"/>
    <w:uiPriority w:val="99"/>
    <w:unhideWhenUsed/>
    <w:rsid w:val="0058225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8225B"/>
    <w:rPr>
      <w:rFonts w:ascii="Calibri" w:hAnsi="Calibri"/>
      <w:szCs w:val="21"/>
    </w:rPr>
  </w:style>
  <w:style w:type="paragraph" w:styleId="Header">
    <w:name w:val="header"/>
    <w:basedOn w:val="Normal"/>
    <w:link w:val="HeaderChar"/>
    <w:uiPriority w:val="99"/>
    <w:unhideWhenUsed/>
    <w:rsid w:val="004C0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182"/>
  </w:style>
  <w:style w:type="paragraph" w:styleId="Footer">
    <w:name w:val="footer"/>
    <w:basedOn w:val="Normal"/>
    <w:link w:val="FooterChar"/>
    <w:uiPriority w:val="99"/>
    <w:unhideWhenUsed/>
    <w:rsid w:val="004C0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182"/>
  </w:style>
  <w:style w:type="paragraph" w:customStyle="1" w:styleId="aff">
    <w:name w:val="aff"/>
    <w:basedOn w:val="Normal"/>
    <w:rsid w:val="002B0F0C"/>
    <w:pPr>
      <w:spacing w:after="240" w:line="480" w:lineRule="atLeast"/>
    </w:pPr>
    <w:rPr>
      <w:rFonts w:ascii="Times New Roman" w:eastAsia="Times New Roman" w:hAnsi="Times New Roman" w:cs="Times New Roman"/>
      <w:i/>
      <w:sz w:val="24"/>
      <w:szCs w:val="20"/>
      <w:lang w:val="en-GB"/>
    </w:rPr>
  </w:style>
  <w:style w:type="character" w:customStyle="1" w:styleId="UnresolvedMention1">
    <w:name w:val="Unresolved Mention1"/>
    <w:basedOn w:val="DefaultParagraphFont"/>
    <w:uiPriority w:val="99"/>
    <w:semiHidden/>
    <w:unhideWhenUsed/>
    <w:rsid w:val="00AF0A3B"/>
    <w:rPr>
      <w:color w:val="605E5C"/>
      <w:shd w:val="clear" w:color="auto" w:fill="E1DFDD"/>
    </w:rPr>
  </w:style>
  <w:style w:type="character" w:styleId="PageNumber">
    <w:name w:val="page number"/>
    <w:basedOn w:val="DefaultParagraphFont"/>
    <w:uiPriority w:val="99"/>
    <w:semiHidden/>
    <w:unhideWhenUsed/>
    <w:rsid w:val="00B07DF0"/>
  </w:style>
  <w:style w:type="paragraph" w:styleId="Bibliography">
    <w:name w:val="Bibliography"/>
    <w:basedOn w:val="Normal"/>
    <w:next w:val="Normal"/>
    <w:uiPriority w:val="37"/>
    <w:unhideWhenUsed/>
    <w:rsid w:val="00A06F33"/>
    <w:pPr>
      <w:tabs>
        <w:tab w:val="left" w:pos="380"/>
      </w:tabs>
      <w:spacing w:after="0"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8983">
      <w:bodyDiv w:val="1"/>
      <w:marLeft w:val="0"/>
      <w:marRight w:val="0"/>
      <w:marTop w:val="0"/>
      <w:marBottom w:val="0"/>
      <w:divBdr>
        <w:top w:val="none" w:sz="0" w:space="0" w:color="auto"/>
        <w:left w:val="none" w:sz="0" w:space="0" w:color="auto"/>
        <w:bottom w:val="none" w:sz="0" w:space="0" w:color="auto"/>
        <w:right w:val="none" w:sz="0" w:space="0" w:color="auto"/>
      </w:divBdr>
    </w:div>
    <w:div w:id="756443040">
      <w:bodyDiv w:val="1"/>
      <w:marLeft w:val="0"/>
      <w:marRight w:val="0"/>
      <w:marTop w:val="0"/>
      <w:marBottom w:val="0"/>
      <w:divBdr>
        <w:top w:val="none" w:sz="0" w:space="0" w:color="auto"/>
        <w:left w:val="none" w:sz="0" w:space="0" w:color="auto"/>
        <w:bottom w:val="none" w:sz="0" w:space="0" w:color="auto"/>
        <w:right w:val="none" w:sz="0" w:space="0" w:color="auto"/>
      </w:divBdr>
    </w:div>
    <w:div w:id="1557886555">
      <w:bodyDiv w:val="1"/>
      <w:marLeft w:val="0"/>
      <w:marRight w:val="0"/>
      <w:marTop w:val="0"/>
      <w:marBottom w:val="0"/>
      <w:divBdr>
        <w:top w:val="none" w:sz="0" w:space="0" w:color="auto"/>
        <w:left w:val="none" w:sz="0" w:space="0" w:color="auto"/>
        <w:bottom w:val="none" w:sz="0" w:space="0" w:color="auto"/>
        <w:right w:val="none" w:sz="0" w:space="0" w:color="auto"/>
      </w:divBdr>
    </w:div>
    <w:div w:id="175920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7.wmf"/><Relationship Id="rId170" Type="http://schemas.openxmlformats.org/officeDocument/2006/relationships/oleObject" Target="embeddings/oleObject81.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09.bin"/><Relationship Id="rId247" Type="http://schemas.openxmlformats.org/officeDocument/2006/relationships/image" Target="media/image121.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76.bin"/><Relationship Id="rId181" Type="http://schemas.openxmlformats.org/officeDocument/2006/relationships/image" Target="media/image88.wmf"/><Relationship Id="rId216" Type="http://schemas.openxmlformats.org/officeDocument/2006/relationships/oleObject" Target="embeddings/oleObject104.bin"/><Relationship Id="rId237" Type="http://schemas.openxmlformats.org/officeDocument/2006/relationships/image" Target="media/image116.wmf"/><Relationship Id="rId258" Type="http://schemas.openxmlformats.org/officeDocument/2006/relationships/footer" Target="footer2.xml"/><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image" Target="media/image83.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1.wmf"/><Relationship Id="rId248" Type="http://schemas.openxmlformats.org/officeDocument/2006/relationships/oleObject" Target="embeddings/oleObject120.bin"/><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image" Target="media/image62.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8.wmf"/><Relationship Id="rId182" Type="http://schemas.openxmlformats.org/officeDocument/2006/relationships/oleObject" Target="embeddings/oleObject87.bin"/><Relationship Id="rId217" Type="http://schemas.openxmlformats.org/officeDocument/2006/relationships/image" Target="media/image106.wmf"/><Relationship Id="rId6" Type="http://schemas.openxmlformats.org/officeDocument/2006/relationships/footnotes" Target="footnotes.xml"/><Relationship Id="rId238" Type="http://schemas.openxmlformats.org/officeDocument/2006/relationships/oleObject" Target="embeddings/oleObject115.bin"/><Relationship Id="rId259" Type="http://schemas.openxmlformats.org/officeDocument/2006/relationships/fontTable" Target="fontTable.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3.wmf"/><Relationship Id="rId172" Type="http://schemas.openxmlformats.org/officeDocument/2006/relationships/oleObject" Target="embeddings/oleObject82.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0.bin"/><Relationship Id="rId249" Type="http://schemas.openxmlformats.org/officeDocument/2006/relationships/image" Target="media/image122.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theme" Target="theme/theme1.xml"/><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9.wmf"/><Relationship Id="rId218" Type="http://schemas.openxmlformats.org/officeDocument/2006/relationships/oleObject" Target="embeddings/oleObject105.bin"/><Relationship Id="rId239" Type="http://schemas.openxmlformats.org/officeDocument/2006/relationships/image" Target="media/image117.wmf"/><Relationship Id="rId250" Type="http://schemas.openxmlformats.org/officeDocument/2006/relationships/oleObject" Target="embeddings/oleObject121.bin"/><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wmf"/><Relationship Id="rId152" Type="http://schemas.openxmlformats.org/officeDocument/2006/relationships/oleObject" Target="embeddings/oleObject72.bin"/><Relationship Id="rId173" Type="http://schemas.openxmlformats.org/officeDocument/2006/relationships/image" Target="media/image84.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2.wmf"/><Relationship Id="rId240" Type="http://schemas.openxmlformats.org/officeDocument/2006/relationships/oleObject" Target="embeddings/oleObject116.bin"/><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8.bin"/><Relationship Id="rId219" Type="http://schemas.openxmlformats.org/officeDocument/2006/relationships/image" Target="media/image107.wmf"/><Relationship Id="rId230" Type="http://schemas.openxmlformats.org/officeDocument/2006/relationships/oleObject" Target="embeddings/oleObject111.bin"/><Relationship Id="rId251" Type="http://schemas.openxmlformats.org/officeDocument/2006/relationships/image" Target="media/image123.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3.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6.bin"/><Relationship Id="rId241" Type="http://schemas.openxmlformats.org/officeDocument/2006/relationships/image" Target="media/image118.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64" Type="http://schemas.openxmlformats.org/officeDocument/2006/relationships/oleObject" Target="embeddings/oleObject78.bin"/><Relationship Id="rId185" Type="http://schemas.openxmlformats.org/officeDocument/2006/relationships/image" Target="media/image90.wmf"/><Relationship Id="rId9" Type="http://schemas.openxmlformats.org/officeDocument/2006/relationships/oleObject" Target="embeddings/oleObject1.bin"/><Relationship Id="rId210" Type="http://schemas.openxmlformats.org/officeDocument/2006/relationships/oleObject" Target="embeddings/oleObject101.bin"/><Relationship Id="rId26" Type="http://schemas.openxmlformats.org/officeDocument/2006/relationships/oleObject" Target="embeddings/oleObject9.bin"/><Relationship Id="rId231" Type="http://schemas.openxmlformats.org/officeDocument/2006/relationships/image" Target="media/image113.wmf"/><Relationship Id="rId252" Type="http://schemas.openxmlformats.org/officeDocument/2006/relationships/oleObject" Target="embeddings/oleObject122.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221" Type="http://schemas.openxmlformats.org/officeDocument/2006/relationships/image" Target="media/image108.wmf"/><Relationship Id="rId242" Type="http://schemas.openxmlformats.org/officeDocument/2006/relationships/oleObject" Target="embeddings/oleObject117.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211" Type="http://schemas.openxmlformats.org/officeDocument/2006/relationships/image" Target="media/image103.wmf"/><Relationship Id="rId232" Type="http://schemas.openxmlformats.org/officeDocument/2006/relationships/oleObject" Target="embeddings/oleObject112.bin"/><Relationship Id="rId253" Type="http://schemas.openxmlformats.org/officeDocument/2006/relationships/image" Target="media/image124.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7.bin"/><Relationship Id="rId243" Type="http://schemas.openxmlformats.org/officeDocument/2006/relationships/image" Target="media/image119.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4.wmf"/><Relationship Id="rId254" Type="http://schemas.openxmlformats.org/officeDocument/2006/relationships/oleObject" Target="embeddings/oleObject123.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09.wmf"/><Relationship Id="rId244" Type="http://schemas.openxmlformats.org/officeDocument/2006/relationships/oleObject" Target="embeddings/oleObject118.bin"/><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image" Target="media/image104.wmf"/><Relationship Id="rId234" Type="http://schemas.openxmlformats.org/officeDocument/2006/relationships/oleObject" Target="embeddings/oleObject113.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125.wmf"/><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image" Target="media/image120.wmf"/><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oleObject" Target="embeddings/oleObject103.bin"/><Relationship Id="rId235" Type="http://schemas.openxmlformats.org/officeDocument/2006/relationships/image" Target="media/image115.wmf"/><Relationship Id="rId256" Type="http://schemas.openxmlformats.org/officeDocument/2006/relationships/oleObject" Target="embeddings/oleObject124.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0.wmf"/><Relationship Id="rId246" Type="http://schemas.openxmlformats.org/officeDocument/2006/relationships/oleObject" Target="embeddings/oleObject119.bin"/><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image" Target="media/image2.e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2.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5.wmf"/><Relationship Id="rId236" Type="http://schemas.openxmlformats.org/officeDocument/2006/relationships/oleObject" Target="embeddings/oleObject114.bin"/><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12509-A689-4CCF-A127-6BB87030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12162</Words>
  <Characters>69329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Awad</dc:creator>
  <cp:keywords/>
  <dc:description/>
  <cp:lastModifiedBy>Silva, Sachin Amrendra</cp:lastModifiedBy>
  <cp:revision>27</cp:revision>
  <cp:lastPrinted>2018-04-22T11:35:00Z</cp:lastPrinted>
  <dcterms:created xsi:type="dcterms:W3CDTF">2020-11-17T01:14:00Z</dcterms:created>
  <dcterms:modified xsi:type="dcterms:W3CDTF">2021-02-19T19:04:00Z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Section">
    <vt:lpwstr>1</vt:lpwstr>
  </property>
  <property fmtid="{D5CDD505-2E9C-101B-9397-08002B2CF9AE}" pid="4" name="MTEquationNumber2">
    <vt:lpwstr>(#S1.#E1)</vt:lpwstr>
  </property>
  <property fmtid="{D5CDD505-2E9C-101B-9397-08002B2CF9AE}" pid="5" name="MTPreferences">
    <vt:lpwstr>[Styles]_x000d_
Text=Calibri_x000d_
Function=Calibri_x000d_
Variable=Calibri,I_x000d_
LCGreek=Symbol,I_x000d_
UCGreek=Symbol_x000d_
Symbol=Symbol_x000d_
Vector=Calibri,B_x000d_
Number=Calibri_x000d_
User1=Courier New_x000d_
User2=Calibri_x000d_
MTExtra=MT Extra_x000d_
_x000d_
[Sizes]_x000d_
Full=11 pt_x000d_
Script=58 %_x000d_
ScriptScript=42 %_x000d_
Sym</vt:lpwstr>
  </property>
  <property fmtid="{D5CDD505-2E9C-101B-9397-08002B2CF9AE}" pid="6" name="MTPreferences 1">
    <vt:lpwstr>bol=150 %_x000d_
SubSymbol=100 %_x000d_
User1=75 %_x000d_
User2=150 %_x000d_
SmallLargeIncr=1 pt_x000d_
_x000d_
[Spacing]_x000d_
LineSpacing=150 %_x000d_
MatrixRowSpacing=150 %_x000d_
MatrixColSpacing=100 %_x000d_
SuperscriptHeight=45 %_x000d_
SubscriptDepth=25 %_x000d_
SubSupGap=8 %_x000d_
LimHeight=25 %_x000d_
LimDepth=100 %_x000d_
LimLineSp</vt:lpwstr>
  </property>
  <property fmtid="{D5CDD505-2E9C-101B-9397-08002B2CF9AE}" pid="7" name="MTPreferences 2">
    <vt:lpwstr>acing=100 %_x000d_
NumerHeight=35 %_x000d_
DenomDepth=100 %_x000d_
FractBarOver=8 %_x000d_
FractBarThick=5 %_x000d_
SubFractBarThick=2.5 %_x000d_
FractGap=8 %_x000d_
FenceOver=8 %_x000d_
OperSpacing=100 %_x000d_
NonOperSpacing=100 %_x000d_
CharWidth=0 %_x000d_
MinGap=8 %_x000d_
VertRadGap=17 %_x000d_
HorizRadGap=8 %_x000d_
RadWidth=100 %</vt:lpwstr>
  </property>
  <property fmtid="{D5CDD505-2E9C-101B-9397-08002B2CF9AE}" pid="8" name="MTPreferences 3">
    <vt:lpwstr>_x000d_
EmbellGap=12.5 %_x000d_
PrimeHeight=45 %_x000d_
BoxStrokeThick=5 %_x000d_
StikeThruThick=5 %_x000d_
MatrixLineThick=5 %_x000d_
RadStrokeThick=5 %_x000d_
HorizFenceGap=10 %_x000d_
_x000d_
</vt:lpwstr>
  </property>
  <property fmtid="{D5CDD505-2E9C-101B-9397-08002B2CF9AE}" pid="9" name="MTPreferenceSource">
    <vt:lpwstr>Calibri+Symbol 11.eqp</vt:lpwstr>
  </property>
  <property fmtid="{D5CDD505-2E9C-101B-9397-08002B2CF9AE}" pid="10" name="MTWinEqns">
    <vt:bool>true</vt:bool>
  </property>
  <property fmtid="{D5CDD505-2E9C-101B-9397-08002B2CF9AE}" pid="11" name="ZOTERO_PREF_1">
    <vt:lpwstr>&lt;data data-version="3" zotero-version="5.0.93"&gt;&lt;session id="oVMlAUYY"/&gt;&lt;style id="http://www.zotero.org/styles/nature" hasBibliography="1" bibliographyStyleHasBeenSet="1"/&gt;&lt;prefs&gt;&lt;pref name="fieldType" value="Field"/&gt;&lt;pref name="dontAskDelayCitationUpdate</vt:lpwstr>
  </property>
  <property fmtid="{D5CDD505-2E9C-101B-9397-08002B2CF9AE}" pid="12" name="ZOTERO_PREF_2">
    <vt:lpwstr>s" value="true"/&gt;&lt;/prefs&gt;&lt;/data&gt;</vt:lpwstr>
  </property>
</Properties>
</file>