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CFDE2" w14:textId="77777777" w:rsidR="00F0009D" w:rsidRPr="003A07AF" w:rsidRDefault="00F0009D" w:rsidP="00F0009D">
      <w:pPr>
        <w:snapToGrid w:val="0"/>
        <w:spacing w:line="480" w:lineRule="auto"/>
        <w:rPr>
          <w:lang w:val="en-US"/>
        </w:rPr>
      </w:pPr>
      <w:r w:rsidRPr="003A07AF">
        <w:rPr>
          <w:b/>
          <w:lang w:val="en-US"/>
        </w:rPr>
        <w:t>Table 1.</w:t>
      </w:r>
      <w:r w:rsidRPr="003A07AF">
        <w:rPr>
          <w:lang w:val="en-US"/>
        </w:rPr>
        <w:t xml:space="preserve"> Characteristics of the included reviews.</w:t>
      </w:r>
    </w:p>
    <w:tbl>
      <w:tblPr>
        <w:tblStyle w:val="TableGrid"/>
        <w:tblW w:w="16156" w:type="dxa"/>
        <w:tblInd w:w="-15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661"/>
        <w:gridCol w:w="934"/>
        <w:gridCol w:w="1313"/>
        <w:gridCol w:w="1075"/>
        <w:gridCol w:w="885"/>
        <w:gridCol w:w="1418"/>
        <w:gridCol w:w="4678"/>
        <w:gridCol w:w="3969"/>
      </w:tblGrid>
      <w:tr w:rsidR="00F0009D" w:rsidRPr="003A07AF" w14:paraId="064FB2A1" w14:textId="77777777" w:rsidTr="00051AD8">
        <w:tc>
          <w:tcPr>
            <w:tcW w:w="1223" w:type="dxa"/>
          </w:tcPr>
          <w:p w14:paraId="73F4812B" w14:textId="77777777" w:rsidR="00F0009D" w:rsidRPr="003A07AF" w:rsidRDefault="00F0009D" w:rsidP="00051AD8">
            <w:pPr>
              <w:snapToGrid w:val="0"/>
              <w:spacing w:line="480" w:lineRule="auto"/>
              <w:jc w:val="center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First author</w:t>
            </w:r>
          </w:p>
        </w:tc>
        <w:tc>
          <w:tcPr>
            <w:tcW w:w="661" w:type="dxa"/>
          </w:tcPr>
          <w:p w14:paraId="060C4610" w14:textId="77777777" w:rsidR="00F0009D" w:rsidRPr="003A07AF" w:rsidRDefault="00F0009D" w:rsidP="00051AD8">
            <w:pPr>
              <w:snapToGrid w:val="0"/>
              <w:spacing w:line="480" w:lineRule="auto"/>
              <w:jc w:val="center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Year</w:t>
            </w:r>
          </w:p>
        </w:tc>
        <w:tc>
          <w:tcPr>
            <w:tcW w:w="934" w:type="dxa"/>
          </w:tcPr>
          <w:p w14:paraId="1FE8759C" w14:textId="77777777" w:rsidR="00F0009D" w:rsidRPr="003A07AF" w:rsidRDefault="00F0009D" w:rsidP="00051AD8">
            <w:pPr>
              <w:snapToGrid w:val="0"/>
              <w:spacing w:line="480" w:lineRule="auto"/>
              <w:jc w:val="center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Review type</w:t>
            </w:r>
          </w:p>
        </w:tc>
        <w:tc>
          <w:tcPr>
            <w:tcW w:w="1313" w:type="dxa"/>
          </w:tcPr>
          <w:p w14:paraId="33F49214" w14:textId="77777777" w:rsidR="00F0009D" w:rsidRPr="003A07AF" w:rsidRDefault="00F0009D" w:rsidP="00051AD8">
            <w:pPr>
              <w:snapToGrid w:val="0"/>
              <w:spacing w:line="480" w:lineRule="auto"/>
              <w:jc w:val="center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Setting</w:t>
            </w:r>
          </w:p>
        </w:tc>
        <w:tc>
          <w:tcPr>
            <w:tcW w:w="1075" w:type="dxa"/>
          </w:tcPr>
          <w:p w14:paraId="4894C9C7" w14:textId="77777777" w:rsidR="00F0009D" w:rsidRPr="003A07AF" w:rsidRDefault="00F0009D" w:rsidP="00051AD8">
            <w:pPr>
              <w:snapToGrid w:val="0"/>
              <w:spacing w:line="480" w:lineRule="auto"/>
              <w:jc w:val="center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Database used</w:t>
            </w:r>
          </w:p>
        </w:tc>
        <w:tc>
          <w:tcPr>
            <w:tcW w:w="885" w:type="dxa"/>
          </w:tcPr>
          <w:p w14:paraId="0F0DC032" w14:textId="77777777" w:rsidR="00F0009D" w:rsidRPr="003A07AF" w:rsidRDefault="00F0009D" w:rsidP="00051AD8">
            <w:pPr>
              <w:snapToGrid w:val="0"/>
              <w:spacing w:line="480" w:lineRule="auto"/>
              <w:jc w:val="center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No. studies</w:t>
            </w:r>
          </w:p>
        </w:tc>
        <w:tc>
          <w:tcPr>
            <w:tcW w:w="1418" w:type="dxa"/>
          </w:tcPr>
          <w:p w14:paraId="1D92FD08" w14:textId="77777777" w:rsidR="00F0009D" w:rsidRPr="003A07AF" w:rsidRDefault="00F0009D" w:rsidP="00051AD8">
            <w:pPr>
              <w:snapToGrid w:val="0"/>
              <w:spacing w:line="480" w:lineRule="auto"/>
              <w:jc w:val="center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Funding source</w:t>
            </w:r>
          </w:p>
        </w:tc>
        <w:tc>
          <w:tcPr>
            <w:tcW w:w="4678" w:type="dxa"/>
          </w:tcPr>
          <w:p w14:paraId="2B01DE98" w14:textId="77777777" w:rsidR="00F0009D" w:rsidRPr="003A07AF" w:rsidRDefault="00F0009D" w:rsidP="00051AD8">
            <w:pPr>
              <w:snapToGrid w:val="0"/>
              <w:spacing w:line="480" w:lineRule="auto"/>
              <w:jc w:val="center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Facilitators</w:t>
            </w:r>
          </w:p>
        </w:tc>
        <w:tc>
          <w:tcPr>
            <w:tcW w:w="3969" w:type="dxa"/>
          </w:tcPr>
          <w:p w14:paraId="01C53A06" w14:textId="77777777" w:rsidR="00F0009D" w:rsidRPr="003A07AF" w:rsidRDefault="00F0009D" w:rsidP="00051AD8">
            <w:pPr>
              <w:snapToGrid w:val="0"/>
              <w:spacing w:line="480" w:lineRule="auto"/>
              <w:jc w:val="center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Barriers</w:t>
            </w:r>
          </w:p>
        </w:tc>
      </w:tr>
      <w:tr w:rsidR="00F0009D" w:rsidRPr="003A07AF" w14:paraId="2552A498" w14:textId="77777777" w:rsidTr="00051AD8">
        <w:tc>
          <w:tcPr>
            <w:tcW w:w="1223" w:type="dxa"/>
          </w:tcPr>
          <w:p w14:paraId="3A8471AE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Bolt</w:t>
            </w:r>
          </w:p>
        </w:tc>
        <w:tc>
          <w:tcPr>
            <w:tcW w:w="661" w:type="dxa"/>
          </w:tcPr>
          <w:p w14:paraId="0609EA9C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2021</w:t>
            </w:r>
          </w:p>
        </w:tc>
        <w:tc>
          <w:tcPr>
            <w:tcW w:w="934" w:type="dxa"/>
          </w:tcPr>
          <w:p w14:paraId="457A1506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Scoping review</w:t>
            </w:r>
          </w:p>
        </w:tc>
        <w:tc>
          <w:tcPr>
            <w:tcW w:w="1313" w:type="dxa"/>
          </w:tcPr>
          <w:p w14:paraId="7785636A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People with dementia living in long-term care facilities</w:t>
            </w:r>
          </w:p>
        </w:tc>
        <w:tc>
          <w:tcPr>
            <w:tcW w:w="1075" w:type="dxa"/>
          </w:tcPr>
          <w:p w14:paraId="5343CA59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PubMed, CINAHL, PsycINFO, Google Scholar</w:t>
            </w:r>
          </w:p>
        </w:tc>
        <w:tc>
          <w:tcPr>
            <w:tcW w:w="885" w:type="dxa"/>
          </w:tcPr>
          <w:p w14:paraId="6AB6A773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23</w:t>
            </w:r>
          </w:p>
        </w:tc>
        <w:tc>
          <w:tcPr>
            <w:tcW w:w="1418" w:type="dxa"/>
          </w:tcPr>
          <w:p w14:paraId="7C42CEED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The DEDICATED project, funded by ZonMw, the Netherlands Organisation for Health Research and Development (844001405)</w:t>
            </w:r>
          </w:p>
        </w:tc>
        <w:tc>
          <w:tcPr>
            <w:tcW w:w="4678" w:type="dxa"/>
          </w:tcPr>
          <w:p w14:paraId="2A09465F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 Nursing staff collaborate with geriatricians and family doctors to review (existing) advance care plans</w:t>
            </w:r>
          </w:p>
          <w:p w14:paraId="40DD701F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 xml:space="preserve">・Proactively discuss potential scenarios and end-of-life care options </w:t>
            </w:r>
          </w:p>
          <w:p w14:paraId="0A23254A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 xml:space="preserve">• Identify anticipatory grief and provide information on bereavement preparation in the pandemic situation </w:t>
            </w:r>
          </w:p>
          <w:p w14:paraId="015A3B10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 xml:space="preserve">• Follow-up conversations or calls to respond to psychosocial or spiritual needs or questions regarding care plans </w:t>
            </w:r>
          </w:p>
          <w:p w14:paraId="7D988A9C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 xml:space="preserve">• Document wishes clearly in transferable (digital) files available and accessible to different care agencies and personnel </w:t>
            </w:r>
          </w:p>
          <w:p w14:paraId="600A6C8C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</w:p>
          <w:p w14:paraId="0AF30F34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lastRenderedPageBreak/>
              <w:t>People with dementia who have coronavirus disease 2019</w:t>
            </w:r>
          </w:p>
          <w:p w14:paraId="299AF74A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 xml:space="preserve">• Joint discussions within the interprofessional care team (including nurses, family doctors or elderly care physicians, paramedics, palliative care specialists) </w:t>
            </w:r>
          </w:p>
          <w:p w14:paraId="390D8A9B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• Early discussion of care goals with the patient and within the interprofessional care team and the revision of care goals when necessary</w:t>
            </w:r>
          </w:p>
        </w:tc>
        <w:tc>
          <w:tcPr>
            <w:tcW w:w="3969" w:type="dxa"/>
          </w:tcPr>
          <w:p w14:paraId="578B230A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lastRenderedPageBreak/>
              <w:t>・Visitation restrictions</w:t>
            </w:r>
          </w:p>
          <w:p w14:paraId="0FCC2275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・No advance care planning discussions prior to the pandemic</w:t>
            </w:r>
          </w:p>
        </w:tc>
      </w:tr>
      <w:tr w:rsidR="00F0009D" w:rsidRPr="003A07AF" w14:paraId="0BE1AE38" w14:textId="77777777" w:rsidTr="00051AD8">
        <w:tc>
          <w:tcPr>
            <w:tcW w:w="1223" w:type="dxa"/>
          </w:tcPr>
          <w:p w14:paraId="6E8116A2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Hirakawa</w:t>
            </w:r>
          </w:p>
        </w:tc>
        <w:tc>
          <w:tcPr>
            <w:tcW w:w="661" w:type="dxa"/>
          </w:tcPr>
          <w:p w14:paraId="694E46A0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2021</w:t>
            </w:r>
          </w:p>
        </w:tc>
        <w:tc>
          <w:tcPr>
            <w:tcW w:w="934" w:type="dxa"/>
          </w:tcPr>
          <w:p w14:paraId="7AF8590A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Narrative review</w:t>
            </w:r>
          </w:p>
        </w:tc>
        <w:tc>
          <w:tcPr>
            <w:tcW w:w="1313" w:type="dxa"/>
          </w:tcPr>
          <w:p w14:paraId="247CCA92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No restriction</w:t>
            </w:r>
          </w:p>
        </w:tc>
        <w:tc>
          <w:tcPr>
            <w:tcW w:w="1075" w:type="dxa"/>
          </w:tcPr>
          <w:p w14:paraId="62741948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PubMed, Google Scholar</w:t>
            </w:r>
          </w:p>
        </w:tc>
        <w:tc>
          <w:tcPr>
            <w:tcW w:w="885" w:type="dxa"/>
          </w:tcPr>
          <w:p w14:paraId="1AFABB9F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20</w:t>
            </w:r>
          </w:p>
        </w:tc>
        <w:tc>
          <w:tcPr>
            <w:tcW w:w="1418" w:type="dxa"/>
          </w:tcPr>
          <w:p w14:paraId="1FFC7BC9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None</w:t>
            </w:r>
          </w:p>
        </w:tc>
        <w:tc>
          <w:tcPr>
            <w:tcW w:w="4678" w:type="dxa"/>
          </w:tcPr>
          <w:p w14:paraId="34258A43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・Provide advance care planning discussions with both acute and palliative care services</w:t>
            </w:r>
          </w:p>
          <w:p w14:paraId="1F3607AE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・Community-based advance care planning conducted before admission can reduce the burden of healthcare professionals in emergency departments</w:t>
            </w:r>
          </w:p>
          <w:p w14:paraId="76D161CB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rFonts w:ascii="MS Mincho" w:eastAsia="MS Mincho" w:hAnsi="MS Mincho"/>
                <w:sz w:val="20"/>
                <w:lang w:val="en-US"/>
              </w:rPr>
              <w:t>・</w:t>
            </w:r>
            <w:r w:rsidRPr="003A07AF">
              <w:rPr>
                <w:sz w:val="20"/>
                <w:lang w:val="en-US"/>
              </w:rPr>
              <w:t xml:space="preserve">Up-to-date information on the real-time situation of the pandemic at the local level to reduce the number of patients admitted to the hospital </w:t>
            </w:r>
          </w:p>
          <w:p w14:paraId="59A1A2CE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rFonts w:ascii="MS Mincho" w:eastAsia="MS Mincho" w:hAnsi="MS Mincho"/>
                <w:sz w:val="20"/>
                <w:lang w:val="en-US"/>
              </w:rPr>
              <w:lastRenderedPageBreak/>
              <w:t>・</w:t>
            </w:r>
            <w:r w:rsidRPr="003A07AF">
              <w:rPr>
                <w:sz w:val="20"/>
                <w:lang w:val="en-US"/>
              </w:rPr>
              <w:t xml:space="preserve">Remote advance care planning services and integration thereof into electronic health records </w:t>
            </w:r>
          </w:p>
          <w:p w14:paraId="28EF8EA1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・Temporarily pausing legal requirements for advance directive completion especially in low socioeconomic status households</w:t>
            </w:r>
          </w:p>
        </w:tc>
        <w:tc>
          <w:tcPr>
            <w:tcW w:w="3969" w:type="dxa"/>
          </w:tcPr>
          <w:p w14:paraId="093F8F82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lastRenderedPageBreak/>
              <w:t>・Lack of coordination between acute, hospital palliative, and long-term care units</w:t>
            </w:r>
          </w:p>
          <w:p w14:paraId="6671199C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・Hospital emergency departments struggle to provide advance care planning while treating various seriously ill patients</w:t>
            </w:r>
          </w:p>
          <w:p w14:paraId="1BF05608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bookmarkStart w:id="0" w:name="_Hlk121313365"/>
            <w:r w:rsidRPr="003A07AF">
              <w:rPr>
                <w:sz w:val="20"/>
                <w:lang w:val="en-US"/>
              </w:rPr>
              <w:t>・Lack of time and necessity of social distancing</w:t>
            </w:r>
          </w:p>
          <w:bookmarkEnd w:id="0"/>
          <w:p w14:paraId="6E213B02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・Two adult witnesses are required for advance care planning</w:t>
            </w:r>
          </w:p>
        </w:tc>
      </w:tr>
      <w:tr w:rsidR="00F0009D" w:rsidRPr="003A07AF" w14:paraId="7033B2E4" w14:textId="77777777" w:rsidTr="00051AD8">
        <w:tc>
          <w:tcPr>
            <w:tcW w:w="1223" w:type="dxa"/>
          </w:tcPr>
          <w:p w14:paraId="6BE562CC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Spacey</w:t>
            </w:r>
          </w:p>
        </w:tc>
        <w:tc>
          <w:tcPr>
            <w:tcW w:w="661" w:type="dxa"/>
          </w:tcPr>
          <w:p w14:paraId="5A0C1EC0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2021</w:t>
            </w:r>
          </w:p>
        </w:tc>
        <w:tc>
          <w:tcPr>
            <w:tcW w:w="934" w:type="dxa"/>
          </w:tcPr>
          <w:p w14:paraId="1E04824B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Systematic review</w:t>
            </w:r>
          </w:p>
        </w:tc>
        <w:tc>
          <w:tcPr>
            <w:tcW w:w="1313" w:type="dxa"/>
          </w:tcPr>
          <w:p w14:paraId="2E074938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Care homes</w:t>
            </w:r>
          </w:p>
        </w:tc>
        <w:tc>
          <w:tcPr>
            <w:tcW w:w="1075" w:type="dxa"/>
          </w:tcPr>
          <w:p w14:paraId="6890B83E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PubMed, PsycINFO, SCOPUS, CINAHL</w:t>
            </w:r>
          </w:p>
        </w:tc>
        <w:tc>
          <w:tcPr>
            <w:tcW w:w="885" w:type="dxa"/>
          </w:tcPr>
          <w:p w14:paraId="12F906A1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9</w:t>
            </w:r>
          </w:p>
        </w:tc>
        <w:tc>
          <w:tcPr>
            <w:tcW w:w="1418" w:type="dxa"/>
          </w:tcPr>
          <w:p w14:paraId="76801BBD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None</w:t>
            </w:r>
          </w:p>
        </w:tc>
        <w:tc>
          <w:tcPr>
            <w:tcW w:w="4678" w:type="dxa"/>
          </w:tcPr>
          <w:p w14:paraId="2BB505EA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・Sustained education and emotional support for stakeholders</w:t>
            </w:r>
          </w:p>
        </w:tc>
        <w:tc>
          <w:tcPr>
            <w:tcW w:w="3969" w:type="dxa"/>
          </w:tcPr>
          <w:p w14:paraId="5AB0BD58" w14:textId="77777777" w:rsidR="00F0009D" w:rsidRPr="003A07AF" w:rsidRDefault="00F0009D" w:rsidP="00051AD8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・Decreased clinical routines and visits from external service staff including general practitioners and specialist palliative care teams</w:t>
            </w:r>
          </w:p>
          <w:p w14:paraId="495CC2EB" w14:textId="77777777" w:rsidR="00F0009D" w:rsidRPr="003A07AF" w:rsidRDefault="00F0009D" w:rsidP="00051AD8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rFonts w:ascii="MS Mincho" w:eastAsia="MS Mincho" w:hAnsi="MS Mincho"/>
                <w:sz w:val="20"/>
                <w:lang w:val="en-US"/>
              </w:rPr>
              <w:t>・</w:t>
            </w:r>
            <w:r w:rsidRPr="003A07AF">
              <w:rPr>
                <w:sz w:val="20"/>
                <w:lang w:val="en-US"/>
              </w:rPr>
              <w:t>Staff’s fear of being infected or infecting residents with coronavirus disease 2019 prevented regular care planning discussions</w:t>
            </w:r>
          </w:p>
          <w:p w14:paraId="06AE8512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rFonts w:ascii="MS Mincho" w:eastAsia="MS Mincho" w:hAnsi="MS Mincho"/>
                <w:sz w:val="20"/>
                <w:lang w:val="en-US"/>
              </w:rPr>
              <w:t>・</w:t>
            </w:r>
            <w:r w:rsidRPr="003A07AF">
              <w:rPr>
                <w:sz w:val="20"/>
                <w:lang w:val="en-US"/>
              </w:rPr>
              <w:t>The significant mental health crisis in the care home workforce</w:t>
            </w:r>
          </w:p>
        </w:tc>
      </w:tr>
      <w:tr w:rsidR="00F0009D" w:rsidRPr="003A07AF" w14:paraId="61C14719" w14:textId="77777777" w:rsidTr="00051AD8">
        <w:tc>
          <w:tcPr>
            <w:tcW w:w="1223" w:type="dxa"/>
          </w:tcPr>
          <w:p w14:paraId="0A62CD3E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Lieneck</w:t>
            </w:r>
          </w:p>
        </w:tc>
        <w:tc>
          <w:tcPr>
            <w:tcW w:w="661" w:type="dxa"/>
          </w:tcPr>
          <w:p w14:paraId="0B68731B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2021</w:t>
            </w:r>
          </w:p>
        </w:tc>
        <w:tc>
          <w:tcPr>
            <w:tcW w:w="934" w:type="dxa"/>
          </w:tcPr>
          <w:p w14:paraId="41149366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Systematic review</w:t>
            </w:r>
          </w:p>
        </w:tc>
        <w:tc>
          <w:tcPr>
            <w:tcW w:w="1313" w:type="dxa"/>
          </w:tcPr>
          <w:p w14:paraId="4D67798F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Outpatient palliative care</w:t>
            </w:r>
          </w:p>
        </w:tc>
        <w:tc>
          <w:tcPr>
            <w:tcW w:w="1075" w:type="dxa"/>
          </w:tcPr>
          <w:p w14:paraId="15AF440F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PubMed</w:t>
            </w:r>
          </w:p>
        </w:tc>
        <w:tc>
          <w:tcPr>
            <w:tcW w:w="885" w:type="dxa"/>
          </w:tcPr>
          <w:p w14:paraId="7FD2B682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18</w:t>
            </w:r>
          </w:p>
        </w:tc>
        <w:tc>
          <w:tcPr>
            <w:tcW w:w="1418" w:type="dxa"/>
          </w:tcPr>
          <w:p w14:paraId="51B088DE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None</w:t>
            </w:r>
          </w:p>
        </w:tc>
        <w:tc>
          <w:tcPr>
            <w:tcW w:w="4678" w:type="dxa"/>
          </w:tcPr>
          <w:p w14:paraId="7C7F9F5C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・Use of telehealth</w:t>
            </w:r>
          </w:p>
          <w:p w14:paraId="47119025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</w:p>
        </w:tc>
        <w:tc>
          <w:tcPr>
            <w:tcW w:w="3969" w:type="dxa"/>
          </w:tcPr>
          <w:p w14:paraId="07D3C1DF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・Lack of resources and accessibility of care</w:t>
            </w:r>
          </w:p>
        </w:tc>
      </w:tr>
      <w:tr w:rsidR="00F0009D" w:rsidRPr="003A07AF" w14:paraId="492BDF98" w14:textId="77777777" w:rsidTr="00051AD8">
        <w:tc>
          <w:tcPr>
            <w:tcW w:w="1223" w:type="dxa"/>
          </w:tcPr>
          <w:p w14:paraId="4ED18809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lastRenderedPageBreak/>
              <w:t>Gesell</w:t>
            </w:r>
          </w:p>
        </w:tc>
        <w:tc>
          <w:tcPr>
            <w:tcW w:w="661" w:type="dxa"/>
          </w:tcPr>
          <w:p w14:paraId="575CA812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2021</w:t>
            </w:r>
          </w:p>
        </w:tc>
        <w:tc>
          <w:tcPr>
            <w:tcW w:w="934" w:type="dxa"/>
          </w:tcPr>
          <w:p w14:paraId="18A89C79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Scoping review</w:t>
            </w:r>
          </w:p>
        </w:tc>
        <w:tc>
          <w:tcPr>
            <w:tcW w:w="1313" w:type="dxa"/>
          </w:tcPr>
          <w:p w14:paraId="178790F2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No restriction</w:t>
            </w:r>
          </w:p>
        </w:tc>
        <w:tc>
          <w:tcPr>
            <w:tcW w:w="1075" w:type="dxa"/>
          </w:tcPr>
          <w:p w14:paraId="46D0563A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PubMed</w:t>
            </w:r>
          </w:p>
        </w:tc>
        <w:tc>
          <w:tcPr>
            <w:tcW w:w="885" w:type="dxa"/>
          </w:tcPr>
          <w:p w14:paraId="4188BF65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280</w:t>
            </w:r>
          </w:p>
        </w:tc>
        <w:tc>
          <w:tcPr>
            <w:tcW w:w="1418" w:type="dxa"/>
          </w:tcPr>
          <w:p w14:paraId="362354BE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German Ministry of Education and Research (Förderkennzeichen 01KX2021)</w:t>
            </w:r>
          </w:p>
        </w:tc>
        <w:tc>
          <w:tcPr>
            <w:tcW w:w="4678" w:type="dxa"/>
          </w:tcPr>
          <w:p w14:paraId="0476C8B4" w14:textId="77777777" w:rsidR="00F0009D" w:rsidRPr="003A07AF" w:rsidRDefault="00F0009D" w:rsidP="00051AD8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・Using telephones</w:t>
            </w:r>
          </w:p>
          <w:p w14:paraId="5BFE6666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・Using virtual visits</w:t>
            </w:r>
          </w:p>
        </w:tc>
        <w:tc>
          <w:tcPr>
            <w:tcW w:w="3969" w:type="dxa"/>
          </w:tcPr>
          <w:p w14:paraId="49AB3C0F" w14:textId="77777777" w:rsidR="00F0009D" w:rsidRPr="003A07AF" w:rsidRDefault="00F0009D" w:rsidP="00051AD8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 xml:space="preserve">・Limitations imposed by isolation to limit infection/transmission, personal protective equipment, and restriction of visitors </w:t>
            </w:r>
          </w:p>
        </w:tc>
      </w:tr>
      <w:tr w:rsidR="00F0009D" w:rsidRPr="003A07AF" w14:paraId="6A8EB65E" w14:textId="77777777" w:rsidTr="00051AD8">
        <w:tc>
          <w:tcPr>
            <w:tcW w:w="1223" w:type="dxa"/>
          </w:tcPr>
          <w:p w14:paraId="332DA362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Connolly</w:t>
            </w:r>
          </w:p>
        </w:tc>
        <w:tc>
          <w:tcPr>
            <w:tcW w:w="661" w:type="dxa"/>
          </w:tcPr>
          <w:p w14:paraId="78E1C648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2021</w:t>
            </w:r>
          </w:p>
        </w:tc>
        <w:tc>
          <w:tcPr>
            <w:tcW w:w="934" w:type="dxa"/>
          </w:tcPr>
          <w:p w14:paraId="0880B6A4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Scoping review</w:t>
            </w:r>
          </w:p>
        </w:tc>
        <w:tc>
          <w:tcPr>
            <w:tcW w:w="1313" w:type="dxa"/>
          </w:tcPr>
          <w:p w14:paraId="4CEB5611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Hospital</w:t>
            </w:r>
          </w:p>
        </w:tc>
        <w:tc>
          <w:tcPr>
            <w:tcW w:w="1075" w:type="dxa"/>
          </w:tcPr>
          <w:p w14:paraId="7B51B59F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PubMed, PsycINFO via ProQuest, CINAHL Complete</w:t>
            </w:r>
          </w:p>
        </w:tc>
        <w:tc>
          <w:tcPr>
            <w:tcW w:w="885" w:type="dxa"/>
          </w:tcPr>
          <w:p w14:paraId="08B180BD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18</w:t>
            </w:r>
          </w:p>
        </w:tc>
        <w:tc>
          <w:tcPr>
            <w:tcW w:w="1418" w:type="dxa"/>
          </w:tcPr>
          <w:p w14:paraId="1CA47C66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None</w:t>
            </w:r>
          </w:p>
        </w:tc>
        <w:tc>
          <w:tcPr>
            <w:tcW w:w="4678" w:type="dxa"/>
          </w:tcPr>
          <w:p w14:paraId="6D450F32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・Providing targeted training on advance care planning to clinicians and embedding them within a team led by a palliative care provider</w:t>
            </w:r>
          </w:p>
          <w:p w14:paraId="0D64EF92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・Provide teams’ emergency departments, intensive care units, and acute care services with discussion tools and access to specialist palliative care team consultations</w:t>
            </w:r>
          </w:p>
          <w:p w14:paraId="744777FF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・Palliative care teams seeing every patient with multi-organ failure in intensive care units and communicating with families</w:t>
            </w:r>
          </w:p>
          <w:p w14:paraId="74D3682C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lastRenderedPageBreak/>
              <w:t xml:space="preserve"> ・A 24-hour/after-hours telephone service to provide additional palliative care capacity to primary care teams </w:t>
            </w:r>
          </w:p>
        </w:tc>
        <w:tc>
          <w:tcPr>
            <w:tcW w:w="3969" w:type="dxa"/>
          </w:tcPr>
          <w:p w14:paraId="6D50479C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lastRenderedPageBreak/>
              <w:t>・The significant increase in patients needing specialist palliative and end-of-life care</w:t>
            </w:r>
          </w:p>
          <w:p w14:paraId="3BD80D9B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・A shorter average time until death</w:t>
            </w:r>
          </w:p>
        </w:tc>
      </w:tr>
      <w:tr w:rsidR="00F0009D" w:rsidRPr="003A07AF" w14:paraId="02E78D86" w14:textId="77777777" w:rsidTr="00051AD8">
        <w:tc>
          <w:tcPr>
            <w:tcW w:w="1223" w:type="dxa"/>
          </w:tcPr>
          <w:p w14:paraId="7FF723CA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Spacey</w:t>
            </w:r>
          </w:p>
        </w:tc>
        <w:tc>
          <w:tcPr>
            <w:tcW w:w="661" w:type="dxa"/>
          </w:tcPr>
          <w:p w14:paraId="4724EEF3" w14:textId="77777777" w:rsidR="00F0009D" w:rsidRPr="003A07AF" w:rsidRDefault="00F0009D" w:rsidP="00051AD8">
            <w:pPr>
              <w:snapToGrid w:val="0"/>
              <w:spacing w:line="480" w:lineRule="auto"/>
              <w:rPr>
                <w:rFonts w:eastAsiaTheme="minorEastAsia"/>
                <w:sz w:val="20"/>
                <w:lang w:val="en-US"/>
              </w:rPr>
            </w:pPr>
            <w:r w:rsidRPr="003A07AF">
              <w:rPr>
                <w:rFonts w:eastAsiaTheme="minorEastAsia"/>
                <w:sz w:val="20"/>
                <w:lang w:val="en-US"/>
              </w:rPr>
              <w:t>2022</w:t>
            </w:r>
          </w:p>
        </w:tc>
        <w:tc>
          <w:tcPr>
            <w:tcW w:w="934" w:type="dxa"/>
          </w:tcPr>
          <w:p w14:paraId="6EEFAFC6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critical realist review</w:t>
            </w:r>
          </w:p>
        </w:tc>
        <w:tc>
          <w:tcPr>
            <w:tcW w:w="1313" w:type="dxa"/>
          </w:tcPr>
          <w:p w14:paraId="7C37346A" w14:textId="77777777" w:rsidR="00F0009D" w:rsidRPr="003A07AF" w:rsidRDefault="00F0009D" w:rsidP="00051AD8">
            <w:pPr>
              <w:snapToGrid w:val="0"/>
              <w:spacing w:line="480" w:lineRule="auto"/>
              <w:rPr>
                <w:rFonts w:eastAsiaTheme="minorEastAsia"/>
                <w:sz w:val="20"/>
                <w:lang w:val="en-US"/>
              </w:rPr>
            </w:pPr>
            <w:r w:rsidRPr="003A07AF">
              <w:rPr>
                <w:rFonts w:eastAsiaTheme="minorEastAsia"/>
                <w:sz w:val="20"/>
                <w:lang w:val="en-US"/>
              </w:rPr>
              <w:t>Care homes</w:t>
            </w:r>
          </w:p>
        </w:tc>
        <w:tc>
          <w:tcPr>
            <w:tcW w:w="1075" w:type="dxa"/>
          </w:tcPr>
          <w:p w14:paraId="6CE2BF84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sz w:val="20"/>
                <w:lang w:val="en-US"/>
              </w:rPr>
              <w:t>MEDLINE, PsycINFO, SCOPUS, CINAHL</w:t>
            </w:r>
          </w:p>
        </w:tc>
        <w:tc>
          <w:tcPr>
            <w:tcW w:w="885" w:type="dxa"/>
          </w:tcPr>
          <w:p w14:paraId="51DA1247" w14:textId="77777777" w:rsidR="00F0009D" w:rsidRPr="003A07AF" w:rsidRDefault="00F0009D" w:rsidP="00051AD8">
            <w:pPr>
              <w:snapToGrid w:val="0"/>
              <w:spacing w:line="480" w:lineRule="auto"/>
              <w:rPr>
                <w:rFonts w:eastAsiaTheme="minorEastAsia"/>
                <w:sz w:val="20"/>
                <w:lang w:val="en-US"/>
              </w:rPr>
            </w:pPr>
            <w:r w:rsidRPr="003A07AF">
              <w:rPr>
                <w:rFonts w:eastAsiaTheme="minorEastAsia"/>
                <w:sz w:val="20"/>
                <w:lang w:val="en-US"/>
              </w:rPr>
              <w:t>11</w:t>
            </w:r>
          </w:p>
        </w:tc>
        <w:tc>
          <w:tcPr>
            <w:tcW w:w="1418" w:type="dxa"/>
          </w:tcPr>
          <w:p w14:paraId="35FC1A37" w14:textId="77777777" w:rsidR="00F0009D" w:rsidRPr="003A07AF" w:rsidRDefault="00F0009D" w:rsidP="00051AD8">
            <w:pPr>
              <w:snapToGrid w:val="0"/>
              <w:spacing w:line="480" w:lineRule="auto"/>
              <w:rPr>
                <w:rFonts w:eastAsiaTheme="minorEastAsia"/>
                <w:sz w:val="20"/>
                <w:lang w:val="en-US"/>
              </w:rPr>
            </w:pPr>
            <w:r w:rsidRPr="003A07AF">
              <w:rPr>
                <w:rFonts w:eastAsiaTheme="minorEastAsia"/>
                <w:sz w:val="20"/>
                <w:lang w:val="en-US"/>
              </w:rPr>
              <w:t>None</w:t>
            </w:r>
          </w:p>
        </w:tc>
        <w:tc>
          <w:tcPr>
            <w:tcW w:w="4678" w:type="dxa"/>
          </w:tcPr>
          <w:p w14:paraId="23868374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rFonts w:ascii="MS Mincho" w:eastAsia="MS Mincho" w:hAnsi="MS Mincho"/>
                <w:sz w:val="20"/>
                <w:lang w:val="en-US"/>
              </w:rPr>
              <w:t>・</w:t>
            </w:r>
            <w:r w:rsidRPr="003A07AF">
              <w:rPr>
                <w:sz w:val="20"/>
                <w:lang w:val="en-US"/>
              </w:rPr>
              <w:t>High-quality online training and information for care home staff and relatives</w:t>
            </w:r>
          </w:p>
          <w:p w14:paraId="7A6DB9F3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rFonts w:ascii="MS Mincho" w:eastAsia="MS Mincho" w:hAnsi="MS Mincho"/>
                <w:sz w:val="20"/>
                <w:lang w:val="en-US"/>
              </w:rPr>
              <w:t>・</w:t>
            </w:r>
            <w:r w:rsidRPr="003A07AF">
              <w:rPr>
                <w:sz w:val="20"/>
                <w:lang w:val="en-US"/>
              </w:rPr>
              <w:t>Remote communication</w:t>
            </w:r>
          </w:p>
          <w:p w14:paraId="5E83A40C" w14:textId="77777777" w:rsidR="00F0009D" w:rsidRPr="003A07AF" w:rsidRDefault="00F0009D" w:rsidP="00051AD8">
            <w:pPr>
              <w:snapToGrid w:val="0"/>
              <w:spacing w:line="480" w:lineRule="auto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3969" w:type="dxa"/>
          </w:tcPr>
          <w:p w14:paraId="7B395B77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rFonts w:ascii="MS Mincho" w:eastAsia="MS Mincho" w:hAnsi="MS Mincho"/>
                <w:sz w:val="20"/>
                <w:lang w:val="en-US"/>
              </w:rPr>
              <w:t>・</w:t>
            </w:r>
            <w:r w:rsidRPr="003A07AF">
              <w:rPr>
                <w:sz w:val="20"/>
                <w:lang w:val="en-US"/>
              </w:rPr>
              <w:t>Visitation restrictions</w:t>
            </w:r>
          </w:p>
          <w:p w14:paraId="6276CEC7" w14:textId="77777777" w:rsidR="00F0009D" w:rsidRPr="003A07AF" w:rsidRDefault="00F0009D" w:rsidP="00051AD8">
            <w:pPr>
              <w:snapToGrid w:val="0"/>
              <w:spacing w:line="480" w:lineRule="auto"/>
              <w:rPr>
                <w:sz w:val="20"/>
                <w:lang w:val="en-US"/>
              </w:rPr>
            </w:pPr>
            <w:r w:rsidRPr="003A07AF">
              <w:rPr>
                <w:rFonts w:ascii="MS Mincho" w:eastAsia="MS Mincho" w:hAnsi="MS Mincho"/>
                <w:sz w:val="20"/>
                <w:lang w:val="en-US"/>
              </w:rPr>
              <w:t>・</w:t>
            </w:r>
            <w:r w:rsidRPr="003A07AF">
              <w:rPr>
                <w:sz w:val="20"/>
                <w:lang w:val="en-US"/>
              </w:rPr>
              <w:t>For care home staff, computer skills and time were barriers to training</w:t>
            </w:r>
          </w:p>
        </w:tc>
      </w:tr>
    </w:tbl>
    <w:p w14:paraId="082D105F" w14:textId="77777777" w:rsidR="00F0009D" w:rsidRPr="003A07AF" w:rsidRDefault="00F0009D" w:rsidP="00F0009D">
      <w:pPr>
        <w:rPr>
          <w:lang w:val="en-US"/>
        </w:rPr>
        <w:sectPr w:rsidR="00F0009D" w:rsidRPr="003A07AF" w:rsidSect="0045729A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3CD3C370" w14:textId="53F730FB" w:rsidR="000D4074" w:rsidRPr="00F0009D" w:rsidRDefault="000D4074" w:rsidP="00F0009D">
      <w:pPr>
        <w:snapToGrid w:val="0"/>
        <w:spacing w:line="480" w:lineRule="auto"/>
        <w:rPr>
          <w:b/>
          <w:szCs w:val="21"/>
          <w:lang w:val="en-US"/>
        </w:rPr>
      </w:pPr>
    </w:p>
    <w:sectPr w:rsidR="000D4074" w:rsidRPr="00F000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9D"/>
    <w:rsid w:val="000D4074"/>
    <w:rsid w:val="001E4B73"/>
    <w:rsid w:val="005314AC"/>
    <w:rsid w:val="009B53F0"/>
    <w:rsid w:val="00F0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6C9D0"/>
  <w15:chartTrackingRefBased/>
  <w15:docId w15:val="{70B54109-1E71-4B1C-9058-B570377A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009D"/>
    <w:pPr>
      <w:spacing w:after="0" w:line="240" w:lineRule="auto"/>
    </w:pPr>
    <w:rPr>
      <w:rFonts w:eastAsiaTheme="minorEastAsia"/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642</Words>
  <Characters>3660</Characters>
  <Application>Microsoft Office Word</Application>
  <DocSecurity>0</DocSecurity>
  <Lines>30</Lines>
  <Paragraphs>8</Paragraphs>
  <ScaleCrop>false</ScaleCrop>
  <Company>Springer Nature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2023-03-07T09:38:00Z</dcterms:created>
  <dcterms:modified xsi:type="dcterms:W3CDTF">2023-03-07T09:38:00Z</dcterms:modified>
</cp:coreProperties>
</file>