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rFonts w:ascii="Calibri" w:cs="Calibri" w:eastAsia="Calibri" w:hAnsi="Calibri"/>
          <w:b w:val="1"/>
          <w:i w:val="1"/>
          <w:sz w:val="36"/>
          <w:szCs w:val="36"/>
        </w:rPr>
      </w:pPr>
      <w:r w:rsidDel="00000000" w:rsidR="00000000" w:rsidRPr="00000000">
        <w:rPr>
          <w:rFonts w:ascii="Calibri" w:cs="Calibri" w:eastAsia="Calibri" w:hAnsi="Calibri"/>
          <w:b w:val="1"/>
          <w:sz w:val="36"/>
          <w:szCs w:val="36"/>
          <w:rtl w:val="0"/>
        </w:rPr>
        <w:t xml:space="preserve">SPIRIT Checklist for </w:t>
      </w:r>
      <w:r w:rsidDel="00000000" w:rsidR="00000000" w:rsidRPr="00000000">
        <w:rPr>
          <w:rFonts w:ascii="Calibri" w:cs="Calibri" w:eastAsia="Calibri" w:hAnsi="Calibri"/>
          <w:b w:val="1"/>
          <w:i w:val="1"/>
          <w:sz w:val="36"/>
          <w:szCs w:val="36"/>
          <w:rtl w:val="0"/>
        </w:rPr>
        <w:t xml:space="preserve">Trials</w:t>
      </w:r>
    </w:p>
    <w:bookmarkStart w:colFirst="0" w:colLast="0" w:name="bookmark=id.gjdgxs" w:id="0"/>
    <w:bookmarkEnd w:id="0"/>
    <w:p w:rsidR="00000000" w:rsidDel="00000000" w:rsidP="00000000" w:rsidRDefault="00000000" w:rsidRPr="00000000" w14:paraId="0000000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Complete this checklist by entering the page and line numbers where each of the items listed below can be found in your manuscript.</w:t>
      </w:r>
    </w:p>
    <w:p w:rsidR="00000000" w:rsidDel="00000000" w:rsidP="00000000" w:rsidRDefault="00000000" w:rsidRPr="00000000" w14:paraId="0000000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manuscript may not currently address all the items on the checklist. Please modify your text to include the missing information. If you are certain that an item does not apply, please state "n/a" and provide a short explanation. </w:t>
      </w:r>
      <w:r w:rsidDel="00000000" w:rsidR="00000000" w:rsidRPr="00000000">
        <w:rPr>
          <w:rFonts w:ascii="Calibri" w:cs="Calibri" w:eastAsia="Calibri" w:hAnsi="Calibri"/>
          <w:b w:val="1"/>
          <w:color w:val="ff0000"/>
          <w:sz w:val="22"/>
          <w:szCs w:val="22"/>
          <w:rtl w:val="0"/>
        </w:rPr>
        <w:t xml:space="preserve">Leaving an item blank or stating “n/a” without an explanation will lead to your manuscript being returned before review.</w:t>
      </w:r>
      <w:r w:rsidDel="00000000" w:rsidR="00000000" w:rsidRPr="00000000">
        <w:rPr>
          <w:rtl w:val="0"/>
        </w:rPr>
      </w:r>
    </w:p>
    <w:p w:rsidR="00000000" w:rsidDel="00000000" w:rsidP="00000000" w:rsidRDefault="00000000" w:rsidRPr="00000000" w14:paraId="0000000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Upload your completed checklist as an additional file when you submit to </w:t>
      </w:r>
      <w:r w:rsidDel="00000000" w:rsidR="00000000" w:rsidRPr="00000000">
        <w:rPr>
          <w:rFonts w:ascii="Calibri" w:cs="Calibri" w:eastAsia="Calibri" w:hAnsi="Calibri"/>
          <w:i w:val="1"/>
          <w:sz w:val="22"/>
          <w:szCs w:val="22"/>
          <w:rtl w:val="0"/>
        </w:rPr>
        <w:t xml:space="preserve">Trials</w:t>
      </w:r>
      <w:r w:rsidDel="00000000" w:rsidR="00000000" w:rsidRPr="00000000">
        <w:rPr>
          <w:rFonts w:ascii="Calibri" w:cs="Calibri" w:eastAsia="Calibri" w:hAnsi="Calibri"/>
          <w:sz w:val="22"/>
          <w:szCs w:val="22"/>
          <w:rtl w:val="0"/>
        </w:rPr>
        <w:t xml:space="preserve">. You must reference this additional file in the main text of your protocol submission. The completed SPIRIT figure must be included within the main body of the protocol text and can be downloaded here: </w:t>
      </w:r>
      <w:hyperlink r:id="rId7">
        <w:r w:rsidDel="00000000" w:rsidR="00000000" w:rsidRPr="00000000">
          <w:rPr>
            <w:rFonts w:ascii="Calibri" w:cs="Calibri" w:eastAsia="Calibri" w:hAnsi="Calibri"/>
            <w:color w:val="0563c1"/>
            <w:sz w:val="22"/>
            <w:szCs w:val="22"/>
            <w:u w:val="single"/>
            <w:rtl w:val="0"/>
          </w:rPr>
          <w:t xml:space="preserve">http://www.spirit-statement.org/schedule-of-enrolment-interventions-and-assessments/</w:t>
        </w:r>
      </w:hyperlink>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0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your methods section, please state that you used the SPIRIT reporting guidelines, and cite them as:</w:t>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Chan A-W, Tetzlaff JM, Gøtzsche PC, Altman DG, Mann H, Berlin J, Dickersin K, Hróbjartsson A, Schulz KF, Parulekar WR, Krleža-Jerić K, Laupacis A, Moher D. SPIRIT 2013 Explanation and Elaboration: Guidance for protocols of clinical trials. BMJ. 2013;346:e7586</w:t>
      </w:r>
    </w:p>
    <w:tbl>
      <w:tblPr>
        <w:tblStyle w:val="Table1"/>
        <w:tblW w:w="14400.0" w:type="dxa"/>
        <w:jc w:val="left"/>
        <w:tblLayout w:type="fixed"/>
        <w:tblLook w:val="0400"/>
      </w:tblPr>
      <w:tblGrid>
        <w:gridCol w:w="1654"/>
        <w:gridCol w:w="665"/>
        <w:gridCol w:w="2940"/>
        <w:gridCol w:w="1519"/>
        <w:gridCol w:w="7622"/>
        <w:tblGridChange w:id="0">
          <w:tblGrid>
            <w:gridCol w:w="1654"/>
            <w:gridCol w:w="665"/>
            <w:gridCol w:w="2940"/>
            <w:gridCol w:w="1519"/>
            <w:gridCol w:w="7622"/>
          </w:tblGrid>
        </w:tblGridChange>
      </w:tblGrid>
      <w:tr>
        <w:trPr>
          <w:cantSplit w:val="0"/>
          <w:tblHeader w:val="0"/>
        </w:trPr>
        <w:tc>
          <w:tcPr>
            <w:tcBorders>
              <w:bottom w:color="000000" w:space="0" w:sz="4" w:val="single"/>
            </w:tcBorders>
            <w:vAlign w:val="bottom"/>
          </w:tcPr>
          <w:p w:rsidR="00000000" w:rsidDel="00000000" w:rsidP="00000000" w:rsidRDefault="00000000" w:rsidRPr="00000000" w14:paraId="00000007">
            <w:pPr>
              <w:rPr>
                <w:rFonts w:ascii="Calibri" w:cs="Calibri" w:eastAsia="Calibri" w:hAnsi="Calibri"/>
                <w:sz w:val="22"/>
                <w:szCs w:val="22"/>
              </w:rPr>
            </w:pPr>
            <w:r w:rsidDel="00000000" w:rsidR="00000000" w:rsidRPr="00000000">
              <w:rPr>
                <w:rtl w:val="0"/>
              </w:rPr>
            </w:r>
          </w:p>
        </w:tc>
        <w:tc>
          <w:tcPr>
            <w:tcBorders>
              <w:bottom w:color="000000" w:space="0" w:sz="4" w:val="single"/>
            </w:tcBorders>
            <w:vAlign w:val="bottom"/>
          </w:tcPr>
          <w:p w:rsidR="00000000" w:rsidDel="00000000" w:rsidP="00000000" w:rsidRDefault="00000000" w:rsidRPr="00000000" w14:paraId="00000008">
            <w:pPr>
              <w:rPr>
                <w:rFonts w:ascii="Calibri" w:cs="Calibri" w:eastAsia="Calibri" w:hAnsi="Calibri"/>
                <w:sz w:val="22"/>
                <w:szCs w:val="22"/>
              </w:rPr>
            </w:pPr>
            <w:r w:rsidDel="00000000" w:rsidR="00000000" w:rsidRPr="00000000">
              <w:rPr>
                <w:rtl w:val="0"/>
              </w:rPr>
            </w:r>
          </w:p>
        </w:tc>
        <w:tc>
          <w:tcPr>
            <w:tcBorders>
              <w:bottom w:color="000000" w:space="0" w:sz="4" w:val="single"/>
            </w:tcBorders>
            <w:vAlign w:val="bottom"/>
          </w:tcPr>
          <w:p w:rsidR="00000000" w:rsidDel="00000000" w:rsidP="00000000" w:rsidRDefault="00000000" w:rsidRPr="00000000" w14:paraId="00000009">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Reporting Item</w:t>
            </w:r>
          </w:p>
        </w:tc>
        <w:tc>
          <w:tcPr>
            <w:vAlign w:val="bottom"/>
          </w:tcPr>
          <w:p w:rsidR="00000000" w:rsidDel="00000000" w:rsidP="00000000" w:rsidRDefault="00000000" w:rsidRPr="00000000" w14:paraId="0000000A">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Page and Line Number</w:t>
            </w:r>
          </w:p>
        </w:tc>
        <w:tc>
          <w:tcPr>
            <w:tcBorders>
              <w:left w:color="000000" w:space="0" w:sz="0" w:val="nil"/>
              <w:bottom w:color="000000" w:space="0" w:sz="4" w:val="single"/>
            </w:tcBorders>
          </w:tcPr>
          <w:p w:rsidR="00000000" w:rsidDel="00000000" w:rsidP="00000000" w:rsidRDefault="00000000" w:rsidRPr="00000000" w14:paraId="0000000B">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Reason if not applicable</w:t>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Administrative information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Title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rPr>
                <w:rFonts w:ascii="Calibri" w:cs="Calibri" w:eastAsia="Calibri" w:hAnsi="Calibri"/>
                <w:sz w:val="22"/>
                <w:szCs w:val="22"/>
              </w:rPr>
            </w:pPr>
            <w:hyperlink r:id="rId8">
              <w:r w:rsidDel="00000000" w:rsidR="00000000" w:rsidRPr="00000000">
                <w:rPr>
                  <w:rFonts w:ascii="Calibri" w:cs="Calibri" w:eastAsia="Calibri" w:hAnsi="Calibri"/>
                  <w:color w:val="0563c1"/>
                  <w:sz w:val="22"/>
                  <w:szCs w:val="22"/>
                  <w:u w:val="single"/>
                  <w:rtl w:val="0"/>
                </w:rPr>
                <w:t xml:space="preserve">#1</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Descriptive title identifying the study design, population, interventions, and, if applicable, trial acronym</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 line1-4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Trial registration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7">
            <w:pPr>
              <w:rPr>
                <w:rFonts w:ascii="Calibri" w:cs="Calibri" w:eastAsia="Calibri" w:hAnsi="Calibri"/>
                <w:sz w:val="22"/>
                <w:szCs w:val="22"/>
              </w:rPr>
            </w:pPr>
            <w:hyperlink r:id="rId9">
              <w:r w:rsidDel="00000000" w:rsidR="00000000" w:rsidRPr="00000000">
                <w:rPr>
                  <w:rFonts w:ascii="Calibri" w:cs="Calibri" w:eastAsia="Calibri" w:hAnsi="Calibri"/>
                  <w:color w:val="0563c1"/>
                  <w:sz w:val="22"/>
                  <w:szCs w:val="22"/>
                  <w:u w:val="single"/>
                  <w:rtl w:val="0"/>
                </w:rPr>
                <w:t xml:space="preserve">#2a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Trial identifier and registry name. If not yet registered, name of intended registry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P2, line 63-64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Trial registration: data set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C">
            <w:pPr>
              <w:rPr>
                <w:rFonts w:ascii="Calibri" w:cs="Calibri" w:eastAsia="Calibri" w:hAnsi="Calibri"/>
                <w:sz w:val="22"/>
                <w:szCs w:val="22"/>
              </w:rPr>
            </w:pPr>
            <w:hyperlink r:id="rId10">
              <w:r w:rsidDel="00000000" w:rsidR="00000000" w:rsidRPr="00000000">
                <w:rPr>
                  <w:rFonts w:ascii="Calibri" w:cs="Calibri" w:eastAsia="Calibri" w:hAnsi="Calibri"/>
                  <w:color w:val="0563c1"/>
                  <w:sz w:val="22"/>
                  <w:szCs w:val="22"/>
                  <w:u w:val="single"/>
                  <w:rtl w:val="0"/>
                </w:rPr>
                <w:t xml:space="preserve">#2b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items from the World Health Organization Trial Registration Data Set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P2, line 63-64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F">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Protocol version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rPr>
                <w:rFonts w:ascii="Calibri" w:cs="Calibri" w:eastAsia="Calibri" w:hAnsi="Calibri"/>
                <w:sz w:val="22"/>
                <w:szCs w:val="22"/>
              </w:rPr>
            </w:pPr>
            <w:hyperlink r:id="rId11">
              <w:r w:rsidDel="00000000" w:rsidR="00000000" w:rsidRPr="00000000">
                <w:rPr>
                  <w:rFonts w:ascii="Calibri" w:cs="Calibri" w:eastAsia="Calibri" w:hAnsi="Calibri"/>
                  <w:color w:val="0563c1"/>
                  <w:sz w:val="22"/>
                  <w:szCs w:val="22"/>
                  <w:u w:val="single"/>
                  <w:rtl w:val="0"/>
                </w:rPr>
                <w:t xml:space="preserve">#3</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Date and version identifier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ind w:left="720" w:hanging="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P2, line 63-64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Funding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6">
            <w:pPr>
              <w:rPr>
                <w:rFonts w:ascii="Calibri" w:cs="Calibri" w:eastAsia="Calibri" w:hAnsi="Calibri"/>
                <w:sz w:val="22"/>
                <w:szCs w:val="22"/>
              </w:rPr>
            </w:pPr>
            <w:hyperlink r:id="rId12">
              <w:r w:rsidDel="00000000" w:rsidR="00000000" w:rsidRPr="00000000">
                <w:rPr>
                  <w:rFonts w:ascii="Calibri" w:cs="Calibri" w:eastAsia="Calibri" w:hAnsi="Calibri"/>
                  <w:color w:val="0563c1"/>
                  <w:sz w:val="22"/>
                  <w:szCs w:val="22"/>
                  <w:u w:val="single"/>
                  <w:rtl w:val="0"/>
                </w:rPr>
                <w:t xml:space="preserve">#4</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Sources and types of financial, material, and other support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P16, line 482-487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9">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Roles and responsibilities: contributorship</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rPr>
                <w:rFonts w:ascii="Calibri" w:cs="Calibri" w:eastAsia="Calibri" w:hAnsi="Calibri"/>
                <w:sz w:val="22"/>
                <w:szCs w:val="22"/>
              </w:rPr>
            </w:pPr>
            <w:hyperlink r:id="rId13">
              <w:r w:rsidDel="00000000" w:rsidR="00000000" w:rsidRPr="00000000">
                <w:rPr>
                  <w:rFonts w:ascii="Calibri" w:cs="Calibri" w:eastAsia="Calibri" w:hAnsi="Calibri"/>
                  <w:color w:val="0563c1"/>
                  <w:sz w:val="22"/>
                  <w:szCs w:val="22"/>
                  <w:u w:val="single"/>
                  <w:rtl w:val="0"/>
                </w:rPr>
                <w:t xml:space="preserve">#5a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Names, affiliations, and roles of protocol contributors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 line6-30/P16, line 494-501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Roles and responsibilities: sponsor contact information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rPr>
                <w:rFonts w:ascii="Calibri" w:cs="Calibri" w:eastAsia="Calibri" w:hAnsi="Calibri"/>
                <w:sz w:val="22"/>
                <w:szCs w:val="22"/>
              </w:rPr>
            </w:pPr>
            <w:hyperlink r:id="rId14">
              <w:r w:rsidDel="00000000" w:rsidR="00000000" w:rsidRPr="00000000">
                <w:rPr>
                  <w:rFonts w:ascii="Calibri" w:cs="Calibri" w:eastAsia="Calibri" w:hAnsi="Calibri"/>
                  <w:color w:val="0563c1"/>
                  <w:sz w:val="22"/>
                  <w:szCs w:val="22"/>
                  <w:u w:val="single"/>
                  <w:rtl w:val="0"/>
                </w:rPr>
                <w:t xml:space="preserve">#5b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and contact information for the trial sponsor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Investigator-initiated study, with funding provided by the Health Department of the Basque Government. The funders had no role in the design of this study and will not have any role during its execution, analyses, interpretation of data, or submission of outcomes.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Roles and responsibilities: sponsor and funder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rPr>
                <w:rFonts w:ascii="Calibri" w:cs="Calibri" w:eastAsia="Calibri" w:hAnsi="Calibri"/>
                <w:sz w:val="22"/>
                <w:szCs w:val="22"/>
              </w:rPr>
            </w:pPr>
            <w:hyperlink r:id="rId15">
              <w:r w:rsidDel="00000000" w:rsidR="00000000" w:rsidRPr="00000000">
                <w:rPr>
                  <w:rFonts w:ascii="Calibri" w:cs="Calibri" w:eastAsia="Calibri" w:hAnsi="Calibri"/>
                  <w:color w:val="0563c1"/>
                  <w:sz w:val="22"/>
                  <w:szCs w:val="22"/>
                  <w:u w:val="single"/>
                  <w:rtl w:val="0"/>
                </w:rPr>
                <w:t xml:space="preserve">#5c</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Investigator-initiated study, with funding provided by the Health Department of the Basque Government. The funders had no role in the design of this study and will not have any role during its execution, analyses, interpretation of data, or submission of outcomes.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Roles and responsibilities: committees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rPr>
                <w:rFonts w:ascii="Calibri" w:cs="Calibri" w:eastAsia="Calibri" w:hAnsi="Calibri"/>
                <w:sz w:val="22"/>
                <w:szCs w:val="22"/>
              </w:rPr>
            </w:pPr>
            <w:hyperlink r:id="rId16">
              <w:r w:rsidDel="00000000" w:rsidR="00000000" w:rsidRPr="00000000">
                <w:rPr>
                  <w:rFonts w:ascii="Calibri" w:cs="Calibri" w:eastAsia="Calibri" w:hAnsi="Calibri"/>
                  <w:color w:val="0563c1"/>
                  <w:sz w:val="22"/>
                  <w:szCs w:val="22"/>
                  <w:u w:val="single"/>
                  <w:rtl w:val="0"/>
                </w:rPr>
                <w:t xml:space="preserve">#5d</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Composition, roles, and responsibilities of the coordinating centre, steering committee, endpoint adjudication committee, data management team, and other individuals or groups overseeing the trial, if applicable (see Item 21a for data monitoring committee)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P16, line 494-501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tcPr>
          <w:p w:rsidR="00000000" w:rsidDel="00000000" w:rsidP="00000000" w:rsidRDefault="00000000" w:rsidRPr="00000000" w14:paraId="0000003E">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Introduction</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F">
            <w:pPr>
              <w:rPr>
                <w:rFonts w:ascii="Calibri" w:cs="Calibri" w:eastAsia="Calibri" w:hAnsi="Calibri"/>
                <w:sz w:val="22"/>
                <w:szCs w:val="22"/>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40">
            <w:pPr>
              <w:rPr>
                <w:rFonts w:ascii="Calibri" w:cs="Calibri" w:eastAsia="Calibri" w:hAnsi="Calibri"/>
                <w:sz w:val="22"/>
                <w:szCs w:val="22"/>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41">
            <w:pPr>
              <w:rPr>
                <w:rFonts w:ascii="Calibri" w:cs="Calibri" w:eastAsia="Calibri" w:hAnsi="Calibri"/>
                <w:sz w:val="22"/>
                <w:szCs w:val="22"/>
              </w:rPr>
            </w:pP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42">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Background and rationale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4">
            <w:pPr>
              <w:rPr>
                <w:rFonts w:ascii="Calibri" w:cs="Calibri" w:eastAsia="Calibri" w:hAnsi="Calibri"/>
                <w:sz w:val="22"/>
                <w:szCs w:val="22"/>
              </w:rPr>
            </w:pPr>
            <w:hyperlink r:id="rId17">
              <w:r w:rsidDel="00000000" w:rsidR="00000000" w:rsidRPr="00000000">
                <w:rPr>
                  <w:rFonts w:ascii="Calibri" w:cs="Calibri" w:eastAsia="Calibri" w:hAnsi="Calibri"/>
                  <w:color w:val="0563c1"/>
                  <w:sz w:val="22"/>
                  <w:szCs w:val="22"/>
                  <w:u w:val="single"/>
                  <w:rtl w:val="0"/>
                </w:rPr>
                <w:t xml:space="preserve">#6a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research question and justification for undertaking the trial, including summary of relevant studies (published and unpublished) examining benefits and harms for each intervention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P3-5, line 67-157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Background and rationale: choice of comparators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rPr>
                <w:rFonts w:ascii="Calibri" w:cs="Calibri" w:eastAsia="Calibri" w:hAnsi="Calibri"/>
                <w:sz w:val="22"/>
                <w:szCs w:val="22"/>
              </w:rPr>
            </w:pPr>
            <w:hyperlink r:id="rId18">
              <w:r w:rsidDel="00000000" w:rsidR="00000000" w:rsidRPr="00000000">
                <w:rPr>
                  <w:rFonts w:ascii="Calibri" w:cs="Calibri" w:eastAsia="Calibri" w:hAnsi="Calibri"/>
                  <w:color w:val="0563c1"/>
                  <w:sz w:val="22"/>
                  <w:szCs w:val="22"/>
                  <w:u w:val="single"/>
                  <w:rtl w:val="0"/>
                </w:rPr>
                <w:t xml:space="preserve">#6b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Explanation for choice of comparators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P5,line146-153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Objectives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E">
            <w:pPr>
              <w:rPr>
                <w:rFonts w:ascii="Calibri" w:cs="Calibri" w:eastAsia="Calibri" w:hAnsi="Calibri"/>
                <w:sz w:val="22"/>
                <w:szCs w:val="22"/>
              </w:rPr>
            </w:pPr>
            <w:hyperlink r:id="rId19">
              <w:r w:rsidDel="00000000" w:rsidR="00000000" w:rsidRPr="00000000">
                <w:rPr>
                  <w:rFonts w:ascii="Calibri" w:cs="Calibri" w:eastAsia="Calibri" w:hAnsi="Calibri"/>
                  <w:color w:val="0563c1"/>
                  <w:sz w:val="22"/>
                  <w:szCs w:val="22"/>
                  <w:u w:val="single"/>
                  <w:rtl w:val="0"/>
                </w:rPr>
                <w:t xml:space="preserve">#7</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Specific objectives or hypotheses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P5,line154-157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1">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Trial design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3">
            <w:pPr>
              <w:rPr>
                <w:rFonts w:ascii="Calibri" w:cs="Calibri" w:eastAsia="Calibri" w:hAnsi="Calibri"/>
                <w:sz w:val="22"/>
                <w:szCs w:val="22"/>
              </w:rPr>
            </w:pPr>
            <w:hyperlink r:id="rId20">
              <w:r w:rsidDel="00000000" w:rsidR="00000000" w:rsidRPr="00000000">
                <w:rPr>
                  <w:rFonts w:ascii="Calibri" w:cs="Calibri" w:eastAsia="Calibri" w:hAnsi="Calibri"/>
                  <w:color w:val="0563c1"/>
                  <w:sz w:val="22"/>
                  <w:szCs w:val="22"/>
                  <w:u w:val="single"/>
                  <w:rtl w:val="0"/>
                </w:rPr>
                <w:t xml:space="preserve">#8</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trial design including type of trial (eg, parallel group, crossover, factorial, single group), allocation ratio, and framework (eg, superiority, equivalence, non-inferiority, exploratory)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P5-6, line160-166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6">
            <w:pPr>
              <w:rPr>
                <w:rFonts w:ascii="Calibri" w:cs="Calibri" w:eastAsia="Calibri" w:hAnsi="Calibri"/>
                <w:sz w:val="22"/>
                <w:szCs w:val="22"/>
              </w:rPr>
            </w:pPr>
            <w:r w:rsidDel="00000000" w:rsidR="00000000" w:rsidRPr="00000000">
              <w:rPr>
                <w:rtl w:val="0"/>
              </w:rPr>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Methods: Participants, interventions, and outcomes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Study setting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D">
            <w:pPr>
              <w:rPr>
                <w:rFonts w:ascii="Calibri" w:cs="Calibri" w:eastAsia="Calibri" w:hAnsi="Calibri"/>
                <w:sz w:val="22"/>
                <w:szCs w:val="22"/>
              </w:rPr>
            </w:pPr>
            <w:hyperlink r:id="rId21">
              <w:r w:rsidDel="00000000" w:rsidR="00000000" w:rsidRPr="00000000">
                <w:rPr>
                  <w:rFonts w:ascii="Calibri" w:cs="Calibri" w:eastAsia="Calibri" w:hAnsi="Calibri"/>
                  <w:color w:val="0563c1"/>
                  <w:sz w:val="22"/>
                  <w:szCs w:val="22"/>
                  <w:u w:val="single"/>
                  <w:rtl w:val="0"/>
                </w:rPr>
                <w:t xml:space="preserve">#9</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study settings (eg, community clinic, academic hospital) and list of countries where data will be collected. Reference to where list of study sites can be obtained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P5-6, line160-183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Eligibility criteria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2">
            <w:pPr>
              <w:rPr>
                <w:rFonts w:ascii="Calibri" w:cs="Calibri" w:eastAsia="Calibri" w:hAnsi="Calibri"/>
                <w:sz w:val="22"/>
                <w:szCs w:val="22"/>
              </w:rPr>
            </w:pPr>
            <w:hyperlink r:id="rId22">
              <w:r w:rsidDel="00000000" w:rsidR="00000000" w:rsidRPr="00000000">
                <w:rPr>
                  <w:rFonts w:ascii="Calibri" w:cs="Calibri" w:eastAsia="Calibri" w:hAnsi="Calibri"/>
                  <w:color w:val="0563c1"/>
                  <w:sz w:val="22"/>
                  <w:szCs w:val="22"/>
                  <w:u w:val="single"/>
                  <w:rtl w:val="0"/>
                </w:rPr>
                <w:t xml:space="preserve">#10</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Inclusion and exclusion criteria for participants. If applicable, eligibility criteria for study centres and individuals who will perform the interventions (eg, surgeons, psychotherapists)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P6,line185-203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5">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Interventions: description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7">
            <w:pPr>
              <w:rPr>
                <w:rFonts w:ascii="Calibri" w:cs="Calibri" w:eastAsia="Calibri" w:hAnsi="Calibri"/>
                <w:sz w:val="22"/>
                <w:szCs w:val="22"/>
              </w:rPr>
            </w:pPr>
            <w:hyperlink r:id="rId23">
              <w:r w:rsidDel="00000000" w:rsidR="00000000" w:rsidRPr="00000000">
                <w:rPr>
                  <w:rFonts w:ascii="Calibri" w:cs="Calibri" w:eastAsia="Calibri" w:hAnsi="Calibri"/>
                  <w:color w:val="0563c1"/>
                  <w:sz w:val="22"/>
                  <w:szCs w:val="22"/>
                  <w:u w:val="single"/>
                  <w:rtl w:val="0"/>
                </w:rPr>
                <w:t xml:space="preserve">#11a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Interventions for each group with sufficient detail to allow replication, including how and when they will be administered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P7, line206-221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A">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Interventions: modifications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C">
            <w:pPr>
              <w:rPr>
                <w:rFonts w:ascii="Calibri" w:cs="Calibri" w:eastAsia="Calibri" w:hAnsi="Calibri"/>
                <w:sz w:val="22"/>
                <w:szCs w:val="22"/>
              </w:rPr>
            </w:pPr>
            <w:hyperlink r:id="rId24">
              <w:r w:rsidDel="00000000" w:rsidR="00000000" w:rsidRPr="00000000">
                <w:rPr>
                  <w:rFonts w:ascii="Calibri" w:cs="Calibri" w:eastAsia="Calibri" w:hAnsi="Calibri"/>
                  <w:color w:val="0563c1"/>
                  <w:sz w:val="22"/>
                  <w:szCs w:val="22"/>
                  <w:u w:val="single"/>
                  <w:rtl w:val="0"/>
                </w:rPr>
                <w:t xml:space="preserve">#11b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Criteria for discontinuing or modifying allocated interventions for a given trial participant (eg, drug dose change in response to harms, participant request, or improving / worsening disease)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P7, line 221-223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F">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Interventions: adherance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1">
            <w:pPr>
              <w:rPr>
                <w:rFonts w:ascii="Calibri" w:cs="Calibri" w:eastAsia="Calibri" w:hAnsi="Calibri"/>
                <w:sz w:val="22"/>
                <w:szCs w:val="22"/>
              </w:rPr>
            </w:pPr>
            <w:hyperlink r:id="rId25">
              <w:r w:rsidDel="00000000" w:rsidR="00000000" w:rsidRPr="00000000">
                <w:rPr>
                  <w:rFonts w:ascii="Calibri" w:cs="Calibri" w:eastAsia="Calibri" w:hAnsi="Calibri"/>
                  <w:color w:val="0563c1"/>
                  <w:sz w:val="22"/>
                  <w:szCs w:val="22"/>
                  <w:u w:val="single"/>
                  <w:rtl w:val="0"/>
                </w:rPr>
                <w:t xml:space="preserve">#11c</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Strategies to improve adherence to intervention protocols, and any procedures for monitoring adherence (eg, drug tablet return; laboratory tests)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P7, line 225-227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Monitoring by physicians responsible for each patient, geriatrician monitoring </w:t>
            </w:r>
            <w:r w:rsidDel="00000000" w:rsidR="00000000" w:rsidRPr="00000000">
              <w:rPr>
                <w:rFonts w:ascii="Calibri" w:cs="Calibri" w:eastAsia="Calibri" w:hAnsi="Calibri"/>
                <w:sz w:val="22"/>
                <w:szCs w:val="22"/>
                <w:rtl w:val="0"/>
              </w:rPr>
              <w:t xml:space="preserve">progress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Interventions: concomitant care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rPr>
                <w:rFonts w:ascii="Calibri" w:cs="Calibri" w:eastAsia="Calibri" w:hAnsi="Calibri"/>
                <w:sz w:val="22"/>
                <w:szCs w:val="22"/>
              </w:rPr>
            </w:pPr>
            <w:hyperlink r:id="rId26">
              <w:r w:rsidDel="00000000" w:rsidR="00000000" w:rsidRPr="00000000">
                <w:rPr>
                  <w:rFonts w:ascii="Calibri" w:cs="Calibri" w:eastAsia="Calibri" w:hAnsi="Calibri"/>
                  <w:color w:val="0563c1"/>
                  <w:sz w:val="22"/>
                  <w:szCs w:val="22"/>
                  <w:u w:val="single"/>
                  <w:rtl w:val="0"/>
                </w:rPr>
                <w:t xml:space="preserve">#11d</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Relevant concomitant care and interventions that are permitted or prohibited during the trial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P7, line 225-227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9">
            <w:pPr>
              <w:rPr>
                <w:rFonts w:ascii="Calibri" w:cs="Calibri" w:eastAsia="Calibri" w:hAnsi="Calibri"/>
                <w:sz w:val="22"/>
                <w:szCs w:val="22"/>
              </w:rPr>
            </w:pPr>
            <w:r w:rsidDel="00000000" w:rsidR="00000000" w:rsidRPr="00000000">
              <w:rPr>
                <w:rFonts w:ascii="Calibri" w:cs="Calibri" w:eastAsia="Calibri" w:hAnsi="Calibri"/>
                <w:rtl w:val="0"/>
              </w:rPr>
              <w:t xml:space="preserve">All participants will receive care or interventions as </w:t>
            </w:r>
            <w:r w:rsidDel="00000000" w:rsidR="00000000" w:rsidRPr="00000000">
              <w:rPr>
                <w:rFonts w:ascii="Calibri" w:cs="Calibri" w:eastAsia="Calibri" w:hAnsi="Calibri"/>
                <w:rtl w:val="0"/>
              </w:rPr>
              <w:t xml:space="preserve">usual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Outcomes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B">
            <w:pPr>
              <w:rPr>
                <w:rFonts w:ascii="Calibri" w:cs="Calibri" w:eastAsia="Calibri" w:hAnsi="Calibri"/>
                <w:sz w:val="22"/>
                <w:szCs w:val="22"/>
              </w:rPr>
            </w:pPr>
            <w:hyperlink r:id="rId27">
              <w:r w:rsidDel="00000000" w:rsidR="00000000" w:rsidRPr="00000000">
                <w:rPr>
                  <w:rFonts w:ascii="Calibri" w:cs="Calibri" w:eastAsia="Calibri" w:hAnsi="Calibri"/>
                  <w:color w:val="0563c1"/>
                  <w:sz w:val="22"/>
                  <w:szCs w:val="22"/>
                  <w:u w:val="single"/>
                  <w:rtl w:val="0"/>
                </w:rPr>
                <w:t xml:space="preserve">#12</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P8-12, line253-352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E">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Participant timeline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0">
            <w:pPr>
              <w:rPr>
                <w:rFonts w:ascii="Calibri" w:cs="Calibri" w:eastAsia="Calibri" w:hAnsi="Calibri"/>
                <w:sz w:val="22"/>
                <w:szCs w:val="22"/>
              </w:rPr>
            </w:pPr>
            <w:hyperlink r:id="rId28">
              <w:r w:rsidDel="00000000" w:rsidR="00000000" w:rsidRPr="00000000">
                <w:rPr>
                  <w:rFonts w:ascii="Calibri" w:cs="Calibri" w:eastAsia="Calibri" w:hAnsi="Calibri"/>
                  <w:color w:val="0563c1"/>
                  <w:sz w:val="22"/>
                  <w:szCs w:val="22"/>
                  <w:u w:val="single"/>
                  <w:rtl w:val="0"/>
                </w:rPr>
                <w:t xml:space="preserve">#13</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Time schedule of enrolment, interventions (including any run-ins and washouts), assessments, and visits for participants. A schematic diagram is highly recommended (see Figure)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P5-6, line 166-183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Figure 1</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Sample size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5">
            <w:pPr>
              <w:rPr>
                <w:rFonts w:ascii="Calibri" w:cs="Calibri" w:eastAsia="Calibri" w:hAnsi="Calibri"/>
                <w:sz w:val="22"/>
                <w:szCs w:val="22"/>
              </w:rPr>
            </w:pPr>
            <w:hyperlink r:id="rId29">
              <w:r w:rsidDel="00000000" w:rsidR="00000000" w:rsidRPr="00000000">
                <w:rPr>
                  <w:rFonts w:ascii="Calibri" w:cs="Calibri" w:eastAsia="Calibri" w:hAnsi="Calibri"/>
                  <w:color w:val="0563c1"/>
                  <w:sz w:val="22"/>
                  <w:szCs w:val="22"/>
                  <w:u w:val="single"/>
                  <w:rtl w:val="0"/>
                </w:rPr>
                <w:t xml:space="preserve">#14</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Estimated number of participants needed to achieve study objectives and how it was determined, including clinical and statistical assumptions supporting any sample size calculations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P8,line239-251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8">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Recruitment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A">
            <w:pPr>
              <w:rPr>
                <w:rFonts w:ascii="Calibri" w:cs="Calibri" w:eastAsia="Calibri" w:hAnsi="Calibri"/>
                <w:sz w:val="22"/>
                <w:szCs w:val="22"/>
              </w:rPr>
            </w:pPr>
            <w:hyperlink r:id="rId30">
              <w:r w:rsidDel="00000000" w:rsidR="00000000" w:rsidRPr="00000000">
                <w:rPr>
                  <w:rFonts w:ascii="Calibri" w:cs="Calibri" w:eastAsia="Calibri" w:hAnsi="Calibri"/>
                  <w:color w:val="0563c1"/>
                  <w:sz w:val="22"/>
                  <w:szCs w:val="22"/>
                  <w:u w:val="single"/>
                  <w:rtl w:val="0"/>
                </w:rPr>
                <w:t xml:space="preserve">#15</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Strategies for achieving adequate participant enrolment to reach target sample size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P6,line168-183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D">
            <w:pPr>
              <w:rPr>
                <w:rFonts w:ascii="Calibri" w:cs="Calibri" w:eastAsia="Calibri" w:hAnsi="Calibri"/>
                <w:sz w:val="22"/>
                <w:szCs w:val="22"/>
              </w:rPr>
            </w:pPr>
            <w:r w:rsidDel="00000000" w:rsidR="00000000" w:rsidRPr="00000000">
              <w:rPr>
                <w:rtl w:val="0"/>
              </w:rPr>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E">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Methods: Assignment of interventions (for controlled trials)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Allocation: sequence generation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4">
            <w:pPr>
              <w:rPr>
                <w:rFonts w:ascii="Calibri" w:cs="Calibri" w:eastAsia="Calibri" w:hAnsi="Calibri"/>
                <w:sz w:val="22"/>
                <w:szCs w:val="22"/>
              </w:rPr>
            </w:pPr>
            <w:hyperlink r:id="rId31">
              <w:r w:rsidDel="00000000" w:rsidR="00000000" w:rsidRPr="00000000">
                <w:rPr>
                  <w:rFonts w:ascii="Calibri" w:cs="Calibri" w:eastAsia="Calibri" w:hAnsi="Calibri"/>
                  <w:color w:val="0563c1"/>
                  <w:sz w:val="22"/>
                  <w:szCs w:val="22"/>
                  <w:u w:val="single"/>
                  <w:rtl w:val="0"/>
                </w:rPr>
                <w:t xml:space="preserve">#16a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P7, line 230-238/ P12, line 357-376/P5, line 167-183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7">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Allocation concealment mechanism</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9">
            <w:pPr>
              <w:rPr>
                <w:rFonts w:ascii="Calibri" w:cs="Calibri" w:eastAsia="Calibri" w:hAnsi="Calibri"/>
                <w:sz w:val="22"/>
                <w:szCs w:val="22"/>
              </w:rPr>
            </w:pPr>
            <w:hyperlink r:id="rId32">
              <w:r w:rsidDel="00000000" w:rsidR="00000000" w:rsidRPr="00000000">
                <w:rPr>
                  <w:rFonts w:ascii="Calibri" w:cs="Calibri" w:eastAsia="Calibri" w:hAnsi="Calibri"/>
                  <w:color w:val="0563c1"/>
                  <w:sz w:val="22"/>
                  <w:szCs w:val="22"/>
                  <w:u w:val="single"/>
                  <w:rtl w:val="0"/>
                </w:rPr>
                <w:t xml:space="preserve">#16b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Mechanism of implementing the allocation sequence (eg, central telephone; sequentially numbered, opaque, sealed envelopes), describing any steps to conceal the sequence until interventions are assigned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P5, line 167-183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Out of the three sites, one will have intervention, the other two not. Subjects are randomly recruited from the patient list in each clinic according to inclusion and exclusion criteria.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Allocation: implementation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E">
            <w:pPr>
              <w:rPr>
                <w:rFonts w:ascii="Calibri" w:cs="Calibri" w:eastAsia="Calibri" w:hAnsi="Calibri"/>
                <w:sz w:val="22"/>
                <w:szCs w:val="22"/>
              </w:rPr>
            </w:pPr>
            <w:hyperlink r:id="rId33">
              <w:r w:rsidDel="00000000" w:rsidR="00000000" w:rsidRPr="00000000">
                <w:rPr>
                  <w:rFonts w:ascii="Calibri" w:cs="Calibri" w:eastAsia="Calibri" w:hAnsi="Calibri"/>
                  <w:color w:val="0563c1"/>
                  <w:sz w:val="22"/>
                  <w:szCs w:val="22"/>
                  <w:u w:val="single"/>
                  <w:rtl w:val="0"/>
                </w:rPr>
                <w:t xml:space="preserve">#16c</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will generate the </w:t>
            </w:r>
            <w:r w:rsidDel="00000000" w:rsidR="00000000" w:rsidRPr="00000000">
              <w:rPr>
                <w:rFonts w:ascii="Calibri" w:cs="Calibri" w:eastAsia="Calibri" w:hAnsi="Calibri"/>
                <w:sz w:val="22"/>
                <w:szCs w:val="22"/>
                <w:rtl w:val="0"/>
              </w:rPr>
              <w:t xml:space="preserve">allocation</w:t>
            </w:r>
            <w:r w:rsidDel="00000000" w:rsidR="00000000" w:rsidRPr="00000000">
              <w:rPr>
                <w:rFonts w:ascii="Calibri" w:cs="Calibri" w:eastAsia="Calibri" w:hAnsi="Calibri"/>
                <w:sz w:val="22"/>
                <w:szCs w:val="22"/>
                <w:rtl w:val="0"/>
              </w:rPr>
              <w:t xml:space="preserve"> sequence, who will enrol participants, and who will assign participants to interventions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P7, line 225-228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1">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Blinding (masking)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3">
            <w:pPr>
              <w:rPr>
                <w:rFonts w:ascii="Calibri" w:cs="Calibri" w:eastAsia="Calibri" w:hAnsi="Calibri"/>
                <w:sz w:val="22"/>
                <w:szCs w:val="22"/>
              </w:rPr>
            </w:pPr>
            <w:hyperlink r:id="rId34">
              <w:r w:rsidDel="00000000" w:rsidR="00000000" w:rsidRPr="00000000">
                <w:rPr>
                  <w:rFonts w:ascii="Calibri" w:cs="Calibri" w:eastAsia="Calibri" w:hAnsi="Calibri"/>
                  <w:color w:val="0563c1"/>
                  <w:sz w:val="22"/>
                  <w:szCs w:val="22"/>
                  <w:u w:val="single"/>
                  <w:rtl w:val="0"/>
                </w:rPr>
                <w:t xml:space="preserve">#17a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will be blinded after assignment to interventions (eg, trial participants, care providers, outcome assessors, data analysts), and how</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P7,line229-237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Blinding (masking): emergency unblinding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8">
            <w:pPr>
              <w:rPr>
                <w:rFonts w:ascii="Calibri" w:cs="Calibri" w:eastAsia="Calibri" w:hAnsi="Calibri"/>
                <w:sz w:val="22"/>
                <w:szCs w:val="22"/>
              </w:rPr>
            </w:pPr>
            <w:hyperlink r:id="rId35">
              <w:r w:rsidDel="00000000" w:rsidR="00000000" w:rsidRPr="00000000">
                <w:rPr>
                  <w:rFonts w:ascii="Calibri" w:cs="Calibri" w:eastAsia="Calibri" w:hAnsi="Calibri"/>
                  <w:color w:val="0563c1"/>
                  <w:sz w:val="22"/>
                  <w:szCs w:val="22"/>
                  <w:u w:val="single"/>
                  <w:rtl w:val="0"/>
                </w:rPr>
                <w:t xml:space="preserve">#17b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If blinded, circumstances under which unblinding is permissible, and procedure for revealing a participant’s allocated intervention during the trial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design is open label so unblinding will not occur.</w:t>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C">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Methods: Data collection, management, and analysis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collection plan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2">
            <w:pPr>
              <w:rPr>
                <w:rFonts w:ascii="Calibri" w:cs="Calibri" w:eastAsia="Calibri" w:hAnsi="Calibri"/>
                <w:sz w:val="22"/>
                <w:szCs w:val="22"/>
              </w:rPr>
            </w:pPr>
            <w:hyperlink r:id="rId36">
              <w:r w:rsidDel="00000000" w:rsidR="00000000" w:rsidRPr="00000000">
                <w:rPr>
                  <w:rFonts w:ascii="Calibri" w:cs="Calibri" w:eastAsia="Calibri" w:hAnsi="Calibri"/>
                  <w:color w:val="0563c1"/>
                  <w:sz w:val="22"/>
                  <w:szCs w:val="22"/>
                  <w:u w:val="single"/>
                  <w:rtl w:val="0"/>
                </w:rPr>
                <w:t xml:space="preserve">#18a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P9-12, line280-353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5">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collection plan: retention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7">
            <w:pPr>
              <w:rPr>
                <w:rFonts w:ascii="Calibri" w:cs="Calibri" w:eastAsia="Calibri" w:hAnsi="Calibri"/>
                <w:sz w:val="22"/>
                <w:szCs w:val="22"/>
              </w:rPr>
            </w:pPr>
            <w:hyperlink r:id="rId37">
              <w:r w:rsidDel="00000000" w:rsidR="00000000" w:rsidRPr="00000000">
                <w:rPr>
                  <w:rFonts w:ascii="Calibri" w:cs="Calibri" w:eastAsia="Calibri" w:hAnsi="Calibri"/>
                  <w:color w:val="0563c1"/>
                  <w:sz w:val="22"/>
                  <w:szCs w:val="22"/>
                  <w:u w:val="single"/>
                  <w:rtl w:val="0"/>
                </w:rPr>
                <w:t xml:space="preserve">#18b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to promote participant retention and complete follow-up, including list of any outcome data to be collected for participants who discontinue or deviate from intervention protocols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P7-8, line 240-254. P6-7, line 206-223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patients will be recommended for additional measures aimed at preventing weakness and risk of falls, and discontinued when medical care interferes with correct conduct of the study</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management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C">
            <w:pPr>
              <w:rPr>
                <w:rFonts w:ascii="Calibri" w:cs="Calibri" w:eastAsia="Calibri" w:hAnsi="Calibri"/>
                <w:sz w:val="22"/>
                <w:szCs w:val="22"/>
              </w:rPr>
            </w:pPr>
            <w:hyperlink r:id="rId38">
              <w:r w:rsidDel="00000000" w:rsidR="00000000" w:rsidRPr="00000000">
                <w:rPr>
                  <w:rFonts w:ascii="Calibri" w:cs="Calibri" w:eastAsia="Calibri" w:hAnsi="Calibri"/>
                  <w:color w:val="0563c1"/>
                  <w:sz w:val="22"/>
                  <w:szCs w:val="22"/>
                  <w:u w:val="single"/>
                  <w:rtl w:val="0"/>
                </w:rPr>
                <w:t xml:space="preserve">#19</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data entry, coding, security, and storage, including any related processes to promote data quality (eg, double data entry; range checks for data values). Reference to where details of data management procedures can be found, if not in the protocol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P11,line331-336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Biological samples will be stored in the Basque Biomarker Center (Biobanco). The serum sample will be centrifuged and stored in four aliquots. One of the EDTA samples will be immediately frozen and stored at -80ºC, and the other one will be centrifuged for plasma and buffy coat extraction. Samples will be stored at -80ºC at the clinical sites, before transportation with dry ice to the Blood-Essay Evaluation Center for subsequent processing and storage.  For the management, monitoring and security in the quality of the ultrasound data, the commercial platform clarius (brand of ultrasound scanners used in the project) will be used.</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Statistics: outcomes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rPr>
                <w:rFonts w:ascii="Calibri" w:cs="Calibri" w:eastAsia="Calibri" w:hAnsi="Calibri"/>
                <w:sz w:val="22"/>
                <w:szCs w:val="22"/>
              </w:rPr>
            </w:pPr>
            <w:hyperlink r:id="rId39">
              <w:r w:rsidDel="00000000" w:rsidR="00000000" w:rsidRPr="00000000">
                <w:rPr>
                  <w:rFonts w:ascii="Calibri" w:cs="Calibri" w:eastAsia="Calibri" w:hAnsi="Calibri"/>
                  <w:color w:val="0563c1"/>
                  <w:sz w:val="22"/>
                  <w:szCs w:val="22"/>
                  <w:u w:val="single"/>
                  <w:rtl w:val="0"/>
                </w:rPr>
                <w:t xml:space="preserve">#20a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Statistical methods for analysing primary and secondary outcomes. Reference to where other details of the statistical analysis plan can be found, if not in the protocol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P12-13,line354-369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4">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Statistics: additional analyses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6">
            <w:pPr>
              <w:rPr>
                <w:rFonts w:ascii="Calibri" w:cs="Calibri" w:eastAsia="Calibri" w:hAnsi="Calibri"/>
                <w:sz w:val="22"/>
                <w:szCs w:val="22"/>
              </w:rPr>
            </w:pPr>
            <w:hyperlink r:id="rId40">
              <w:r w:rsidDel="00000000" w:rsidR="00000000" w:rsidRPr="00000000">
                <w:rPr>
                  <w:rFonts w:ascii="Calibri" w:cs="Calibri" w:eastAsia="Calibri" w:hAnsi="Calibri"/>
                  <w:color w:val="0563c1"/>
                  <w:sz w:val="22"/>
                  <w:szCs w:val="22"/>
                  <w:u w:val="single"/>
                  <w:rtl w:val="0"/>
                </w:rPr>
                <w:t xml:space="preserve">#20b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Methods for any additional analyses (eg, subgroup and adjusted analyses)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rPr>
                <w:rFonts w:ascii="Calibri" w:cs="Calibri" w:eastAsia="Calibri" w:hAnsi="Calibri"/>
                <w:sz w:val="22"/>
                <w:szCs w:val="22"/>
              </w:rPr>
            </w:pPr>
            <w:r w:rsidDel="00000000" w:rsidR="00000000" w:rsidRPr="00000000">
              <w:rPr>
                <w:sz w:val="22"/>
                <w:szCs w:val="22"/>
                <w:rtl w:val="0"/>
              </w:rPr>
              <w:t xml:space="preserve">N/A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data in this study does not require subgroup analysis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Statistics: analysis population and missing data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B">
            <w:pPr>
              <w:rPr>
                <w:rFonts w:ascii="Calibri" w:cs="Calibri" w:eastAsia="Calibri" w:hAnsi="Calibri"/>
                <w:sz w:val="22"/>
                <w:szCs w:val="22"/>
              </w:rPr>
            </w:pPr>
            <w:hyperlink r:id="rId41">
              <w:r w:rsidDel="00000000" w:rsidR="00000000" w:rsidRPr="00000000">
                <w:rPr>
                  <w:rFonts w:ascii="Calibri" w:cs="Calibri" w:eastAsia="Calibri" w:hAnsi="Calibri"/>
                  <w:color w:val="0563c1"/>
                  <w:sz w:val="22"/>
                  <w:szCs w:val="22"/>
                  <w:u w:val="single"/>
                  <w:rtl w:val="0"/>
                </w:rPr>
                <w:t xml:space="preserve">#20c</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Definition of analysis population relating to protocol non-adherence (eg, as randomised analysis), and any statistical methods to handle missing data (eg, multiple imputation)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P8, line 248-254. P12-13, line 357-375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10% drop-outs are foreseen and accounted for in the sample size calculation. data from patients with missing follow-up data will be included for randomised analysis of the primary outcomes (page 8).</w:t>
            </w:r>
          </w:p>
          <w:p w:rsidR="00000000" w:rsidDel="00000000" w:rsidP="00000000" w:rsidRDefault="00000000" w:rsidRPr="00000000" w14:paraId="000000C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Random sample imputation will be used for missing data in training, and missing reference variables will be excluded from validation and testing. (see Statistical analysis page 13-14).</w:t>
            </w:r>
          </w:p>
          <w:p w:rsidR="00000000" w:rsidDel="00000000" w:rsidP="00000000" w:rsidRDefault="00000000" w:rsidRPr="00000000" w14:paraId="000000D1">
            <w:pPr>
              <w:rPr>
                <w:rFonts w:ascii="Calibri" w:cs="Calibri" w:eastAsia="Calibri" w:hAnsi="Calibri"/>
                <w:sz w:val="22"/>
                <w:szCs w:val="22"/>
              </w:rPr>
            </w:pPr>
            <w:r w:rsidDel="00000000" w:rsidR="00000000" w:rsidRPr="00000000">
              <w:rPr>
                <w:rtl w:val="0"/>
              </w:rPr>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Methods: Monitoring</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monitoring: formal committee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8">
            <w:pPr>
              <w:rPr>
                <w:rFonts w:ascii="Calibri" w:cs="Calibri" w:eastAsia="Calibri" w:hAnsi="Calibri"/>
                <w:sz w:val="22"/>
                <w:szCs w:val="22"/>
              </w:rPr>
            </w:pPr>
            <w:hyperlink r:id="rId42">
              <w:r w:rsidDel="00000000" w:rsidR="00000000" w:rsidRPr="00000000">
                <w:rPr>
                  <w:rFonts w:ascii="Calibri" w:cs="Calibri" w:eastAsia="Calibri" w:hAnsi="Calibri"/>
                  <w:color w:val="0563c1"/>
                  <w:sz w:val="22"/>
                  <w:szCs w:val="22"/>
                  <w:u w:val="single"/>
                  <w:rtl w:val="0"/>
                </w:rPr>
                <w:t xml:space="preserve">#21a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A">
            <w:pPr>
              <w:rPr>
                <w:rFonts w:ascii="Calibri" w:cs="Calibri" w:eastAsia="Calibri" w:hAnsi="Calibri"/>
                <w:color w:val="ff0000"/>
                <w:sz w:val="22"/>
                <w:szCs w:val="22"/>
              </w:rPr>
            </w:pPr>
            <w:r w:rsidDel="00000000" w:rsidR="00000000" w:rsidRPr="00000000">
              <w:rPr>
                <w:rFonts w:ascii="Calibri" w:cs="Calibri" w:eastAsia="Calibri" w:hAnsi="Calibri"/>
                <w:sz w:val="22"/>
                <w:szCs w:val="22"/>
                <w:rtl w:val="0"/>
              </w:rPr>
              <w:t xml:space="preserve">P7, line 225-228. P7, line 230-238.</w:t>
            </w:r>
            <w:r w:rsidDel="00000000" w:rsidR="00000000" w:rsidRPr="00000000">
              <w:rPr>
                <w:rFonts w:ascii="Calibri" w:cs="Calibri" w:eastAsia="Calibri" w:hAnsi="Calibri"/>
                <w:sz w:val="22"/>
                <w:szCs w:val="22"/>
                <w:highlight w:val="red"/>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Safety aspects will be monitoring by the principal investigator of each clinical site (see safety monitoring page 7). Data allocation in training and validation sets will be blinded to data evaluation centers (see randomization and blinding Page 6).</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monitoring: interim analysis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D">
            <w:pPr>
              <w:rPr>
                <w:rFonts w:ascii="Calibri" w:cs="Calibri" w:eastAsia="Calibri" w:hAnsi="Calibri"/>
                <w:sz w:val="22"/>
                <w:szCs w:val="22"/>
              </w:rPr>
            </w:pPr>
            <w:hyperlink r:id="rId43">
              <w:r w:rsidDel="00000000" w:rsidR="00000000" w:rsidRPr="00000000">
                <w:rPr>
                  <w:rFonts w:ascii="Calibri" w:cs="Calibri" w:eastAsia="Calibri" w:hAnsi="Calibri"/>
                  <w:color w:val="0563c1"/>
                  <w:sz w:val="22"/>
                  <w:szCs w:val="22"/>
                  <w:u w:val="single"/>
                  <w:rtl w:val="0"/>
                </w:rPr>
                <w:t xml:space="preserve">#21b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any interim analyses and stopping guidelines, including who will have access to these interim results and make the final decision to terminate the trial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rPr>
                <w:rFonts w:ascii="Calibri" w:cs="Calibri" w:eastAsia="Calibri" w:hAnsi="Calibri"/>
                <w:color w:val="ff0000"/>
                <w:sz w:val="22"/>
                <w:szCs w:val="22"/>
              </w:rPr>
            </w:pPr>
            <w:r w:rsidDel="00000000" w:rsidR="00000000" w:rsidRPr="00000000">
              <w:rPr>
                <w:rFonts w:ascii="Calibri" w:cs="Calibri" w:eastAsia="Calibri" w:hAnsi="Calibri"/>
                <w:sz w:val="22"/>
                <w:szCs w:val="22"/>
                <w:rtl w:val="0"/>
              </w:rPr>
              <w:t xml:space="preserve">P7, line 225-228.</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0">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Harms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2">
            <w:pPr>
              <w:rPr>
                <w:rFonts w:ascii="Calibri" w:cs="Calibri" w:eastAsia="Calibri" w:hAnsi="Calibri"/>
                <w:sz w:val="22"/>
                <w:szCs w:val="22"/>
              </w:rPr>
            </w:pPr>
            <w:hyperlink r:id="rId44">
              <w:r w:rsidDel="00000000" w:rsidR="00000000" w:rsidRPr="00000000">
                <w:rPr>
                  <w:rFonts w:ascii="Calibri" w:cs="Calibri" w:eastAsia="Calibri" w:hAnsi="Calibri"/>
                  <w:color w:val="0563c1"/>
                  <w:sz w:val="22"/>
                  <w:szCs w:val="22"/>
                  <w:u w:val="single"/>
                  <w:rtl w:val="0"/>
                </w:rPr>
                <w:t xml:space="preserve">#22</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collecting, assessing, reporting, and managing solicited and spontaneously reported adverse events and other unintended effects of trial interventions or trial conduct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rPr>
                <w:rFonts w:ascii="Calibri" w:cs="Calibri" w:eastAsia="Calibri" w:hAnsi="Calibri"/>
                <w:sz w:val="22"/>
                <w:szCs w:val="22"/>
                <w:highlight w:val="red"/>
              </w:rPr>
            </w:pPr>
            <w:r w:rsidDel="00000000" w:rsidR="00000000" w:rsidRPr="00000000">
              <w:rPr>
                <w:rFonts w:ascii="Calibri" w:cs="Calibri" w:eastAsia="Calibri" w:hAnsi="Calibri"/>
                <w:sz w:val="22"/>
                <w:szCs w:val="22"/>
                <w:rtl w:val="0"/>
              </w:rPr>
              <w:t xml:space="preserve">P6-7, line 206-223/ </w:t>
            </w:r>
            <w:r w:rsidDel="00000000" w:rsidR="00000000" w:rsidRPr="00000000">
              <w:rPr>
                <w:rFonts w:ascii="Calibri" w:cs="Calibri" w:eastAsia="Calibri" w:hAnsi="Calibri"/>
                <w:sz w:val="22"/>
                <w:szCs w:val="22"/>
                <w:rtl w:val="0"/>
              </w:rPr>
              <w:t xml:space="preserve">P7, line 225-228.</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See Interventions "Patients which need medical medical care that interferes with the correct conduct of the study, they will be treated according to the clinical routine and will be excluded from the study."</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Auditing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7">
            <w:pPr>
              <w:rPr>
                <w:rFonts w:ascii="Calibri" w:cs="Calibri" w:eastAsia="Calibri" w:hAnsi="Calibri"/>
                <w:sz w:val="22"/>
                <w:szCs w:val="22"/>
              </w:rPr>
            </w:pPr>
            <w:hyperlink r:id="rId45">
              <w:r w:rsidDel="00000000" w:rsidR="00000000" w:rsidRPr="00000000">
                <w:rPr>
                  <w:rFonts w:ascii="Calibri" w:cs="Calibri" w:eastAsia="Calibri" w:hAnsi="Calibri"/>
                  <w:color w:val="0563c1"/>
                  <w:sz w:val="22"/>
                  <w:szCs w:val="22"/>
                  <w:u w:val="single"/>
                  <w:rtl w:val="0"/>
                </w:rPr>
                <w:t xml:space="preserve">#23</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Frequency and procedures for auditing trial conduct, if any, and whether the process will be independent from investigators and the sponsor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9">
            <w:pPr>
              <w:rPr>
                <w:rFonts w:ascii="Calibri" w:cs="Calibri" w:eastAsia="Calibri" w:hAnsi="Calibri"/>
                <w:color w:val="ff0000"/>
                <w:sz w:val="22"/>
                <w:szCs w:val="22"/>
              </w:rPr>
            </w:pPr>
            <w:r w:rsidDel="00000000" w:rsidR="00000000" w:rsidRPr="00000000">
              <w:rPr>
                <w:rFonts w:ascii="Calibri" w:cs="Calibri" w:eastAsia="Calibri" w:hAnsi="Calibri"/>
                <w:sz w:val="22"/>
                <w:szCs w:val="22"/>
                <w:rtl w:val="0"/>
              </w:rPr>
              <w:t xml:space="preserve">N/A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As part of grant specifications, yearly reports are submitted to the funding institution. As part of IRB specifications, auditing may be performed from the ethics committee during the study.</w:t>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B">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Ethics and dissemination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Research ethics approval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1">
            <w:pPr>
              <w:rPr>
                <w:rFonts w:ascii="Calibri" w:cs="Calibri" w:eastAsia="Calibri" w:hAnsi="Calibri"/>
                <w:sz w:val="22"/>
                <w:szCs w:val="22"/>
              </w:rPr>
            </w:pPr>
            <w:hyperlink r:id="rId46">
              <w:r w:rsidDel="00000000" w:rsidR="00000000" w:rsidRPr="00000000">
                <w:rPr>
                  <w:rFonts w:ascii="Calibri" w:cs="Calibri" w:eastAsia="Calibri" w:hAnsi="Calibri"/>
                  <w:color w:val="0563c1"/>
                  <w:sz w:val="22"/>
                  <w:szCs w:val="22"/>
                  <w:u w:val="single"/>
                  <w:rtl w:val="0"/>
                </w:rPr>
                <w:t xml:space="preserve">#24</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seeking research ethics committee / institutional review board (REC / IRB) approval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P15,line452-458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4">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Protocol amendments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6">
            <w:pPr>
              <w:rPr>
                <w:rFonts w:ascii="Calibri" w:cs="Calibri" w:eastAsia="Calibri" w:hAnsi="Calibri"/>
                <w:sz w:val="22"/>
                <w:szCs w:val="22"/>
              </w:rPr>
            </w:pPr>
            <w:hyperlink r:id="rId47">
              <w:r w:rsidDel="00000000" w:rsidR="00000000" w:rsidRPr="00000000">
                <w:rPr>
                  <w:rFonts w:ascii="Calibri" w:cs="Calibri" w:eastAsia="Calibri" w:hAnsi="Calibri"/>
                  <w:color w:val="0563c1"/>
                  <w:sz w:val="22"/>
                  <w:szCs w:val="22"/>
                  <w:u w:val="single"/>
                  <w:rtl w:val="0"/>
                </w:rPr>
                <w:t xml:space="preserve">#25</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communicating important protocol modifications (eg, changes to eligibility criteria, outcomes, analyses) to relevant parties (eg, investigators, REC / IRBs, trial participants, trial registries, journals, regulators)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8">
            <w:pPr>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If it is necessary to modify this protocol during clinical research, it will be reviewed by the hospital ethics committee and implemented after approval. The investigators will communicate the trial results to participants via email.</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Consent or assent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rPr>
                <w:rFonts w:ascii="Calibri" w:cs="Calibri" w:eastAsia="Calibri" w:hAnsi="Calibri"/>
                <w:sz w:val="22"/>
                <w:szCs w:val="22"/>
              </w:rPr>
            </w:pPr>
            <w:hyperlink r:id="rId48">
              <w:r w:rsidDel="00000000" w:rsidR="00000000" w:rsidRPr="00000000">
                <w:rPr>
                  <w:rFonts w:ascii="Calibri" w:cs="Calibri" w:eastAsia="Calibri" w:hAnsi="Calibri"/>
                  <w:color w:val="0563c1"/>
                  <w:sz w:val="22"/>
                  <w:szCs w:val="22"/>
                  <w:u w:val="single"/>
                  <w:rtl w:val="0"/>
                </w:rPr>
                <w:t xml:space="preserve">#26a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will obtain informed consent or assent from potential trial participants or authorised surrogates, and how (see Item 32)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P15,line456-458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Written informed consent will be obtained from each subject. The objectives and methods, benefits, possible risks and solutions will be clarified clearly for all subjects by the authors. Appendix 1.</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Consent or assent: ancillary studies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0">
            <w:pPr>
              <w:rPr>
                <w:rFonts w:ascii="Calibri" w:cs="Calibri" w:eastAsia="Calibri" w:hAnsi="Calibri"/>
                <w:sz w:val="22"/>
                <w:szCs w:val="22"/>
              </w:rPr>
            </w:pPr>
            <w:hyperlink r:id="rId49">
              <w:r w:rsidDel="00000000" w:rsidR="00000000" w:rsidRPr="00000000">
                <w:rPr>
                  <w:rFonts w:ascii="Calibri" w:cs="Calibri" w:eastAsia="Calibri" w:hAnsi="Calibri"/>
                  <w:color w:val="0563c1"/>
                  <w:sz w:val="22"/>
                  <w:szCs w:val="22"/>
                  <w:u w:val="single"/>
                  <w:rtl w:val="0"/>
                </w:rPr>
                <w:t xml:space="preserve">#26b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Additional consent provisions for collection and use of participant data and biological specimens in ancillary studies, if applicable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2">
            <w:pPr>
              <w:rPr>
                <w:rFonts w:ascii="Calibri" w:cs="Calibri" w:eastAsia="Calibri" w:hAnsi="Calibri"/>
                <w:sz w:val="22"/>
                <w:szCs w:val="22"/>
              </w:rPr>
            </w:pPr>
            <w:r w:rsidDel="00000000" w:rsidR="00000000" w:rsidRPr="00000000">
              <w:rPr>
                <w:sz w:val="22"/>
                <w:szCs w:val="22"/>
                <w:rtl w:val="0"/>
              </w:rPr>
              <w:t xml:space="preserve">N/A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Applicable in appendix 1. All the consent needed are applicable in one consent.</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Confidentiality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5">
            <w:pPr>
              <w:rPr>
                <w:rFonts w:ascii="Calibri" w:cs="Calibri" w:eastAsia="Calibri" w:hAnsi="Calibri"/>
                <w:sz w:val="22"/>
                <w:szCs w:val="22"/>
              </w:rPr>
            </w:pPr>
            <w:hyperlink r:id="rId50">
              <w:r w:rsidDel="00000000" w:rsidR="00000000" w:rsidRPr="00000000">
                <w:rPr>
                  <w:rFonts w:ascii="Calibri" w:cs="Calibri" w:eastAsia="Calibri" w:hAnsi="Calibri"/>
                  <w:color w:val="0563c1"/>
                  <w:sz w:val="22"/>
                  <w:szCs w:val="22"/>
                  <w:u w:val="single"/>
                  <w:rtl w:val="0"/>
                </w:rPr>
                <w:t xml:space="preserve">#27</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personal information about potential and enrolled participants will be collected, shared, and maintained in order to protect confidentiality before, during, and after the trial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P15,line456-458/ 461-465/ 474-469/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documents communicating with the ethics committee will be kept in the researcher’s folder.</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Declaration of interests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A">
            <w:pPr>
              <w:rPr>
                <w:rFonts w:ascii="Calibri" w:cs="Calibri" w:eastAsia="Calibri" w:hAnsi="Calibri"/>
                <w:sz w:val="22"/>
                <w:szCs w:val="22"/>
              </w:rPr>
            </w:pPr>
            <w:hyperlink r:id="rId51">
              <w:r w:rsidDel="00000000" w:rsidR="00000000" w:rsidRPr="00000000">
                <w:rPr>
                  <w:rFonts w:ascii="Calibri" w:cs="Calibri" w:eastAsia="Calibri" w:hAnsi="Calibri"/>
                  <w:color w:val="0563c1"/>
                  <w:sz w:val="22"/>
                  <w:szCs w:val="22"/>
                  <w:u w:val="single"/>
                  <w:rtl w:val="0"/>
                </w:rPr>
                <w:t xml:space="preserve">#28</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Financial and other competing interests for principal investigators for the overall trial and each study site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P16,line480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D">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access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F">
            <w:pPr>
              <w:rPr>
                <w:rFonts w:ascii="Calibri" w:cs="Calibri" w:eastAsia="Calibri" w:hAnsi="Calibri"/>
                <w:sz w:val="22"/>
                <w:szCs w:val="22"/>
              </w:rPr>
            </w:pPr>
            <w:hyperlink r:id="rId52">
              <w:r w:rsidDel="00000000" w:rsidR="00000000" w:rsidRPr="00000000">
                <w:rPr>
                  <w:rFonts w:ascii="Calibri" w:cs="Calibri" w:eastAsia="Calibri" w:hAnsi="Calibri"/>
                  <w:color w:val="0563c1"/>
                  <w:sz w:val="22"/>
                  <w:szCs w:val="22"/>
                  <w:u w:val="single"/>
                  <w:rtl w:val="0"/>
                </w:rPr>
                <w:t xml:space="preserve">#29</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Statement of who will have access to the final trial dataset, and disclosure of contractual agreements that limit such access for investigators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P15,line460-466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2">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Ancillary and post trial care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4">
            <w:pPr>
              <w:rPr>
                <w:rFonts w:ascii="Calibri" w:cs="Calibri" w:eastAsia="Calibri" w:hAnsi="Calibri"/>
                <w:sz w:val="22"/>
                <w:szCs w:val="22"/>
              </w:rPr>
            </w:pPr>
            <w:hyperlink r:id="rId53">
              <w:r w:rsidDel="00000000" w:rsidR="00000000" w:rsidRPr="00000000">
                <w:rPr>
                  <w:rFonts w:ascii="Calibri" w:cs="Calibri" w:eastAsia="Calibri" w:hAnsi="Calibri"/>
                  <w:color w:val="0563c1"/>
                  <w:sz w:val="22"/>
                  <w:szCs w:val="22"/>
                  <w:u w:val="single"/>
                  <w:rtl w:val="0"/>
                </w:rPr>
                <w:t xml:space="preserve">#30</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Provisions, if any, for ancillary and post-trial care, and for compensation to those who suffer harm from trial participation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there will be no compensation</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Dissemination policy: trial results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9">
            <w:pPr>
              <w:rPr>
                <w:rFonts w:ascii="Calibri" w:cs="Calibri" w:eastAsia="Calibri" w:hAnsi="Calibri"/>
                <w:sz w:val="22"/>
                <w:szCs w:val="22"/>
              </w:rPr>
            </w:pPr>
            <w:hyperlink r:id="rId54">
              <w:r w:rsidDel="00000000" w:rsidR="00000000" w:rsidRPr="00000000">
                <w:rPr>
                  <w:rFonts w:ascii="Calibri" w:cs="Calibri" w:eastAsia="Calibri" w:hAnsi="Calibri"/>
                  <w:color w:val="0563c1"/>
                  <w:sz w:val="22"/>
                  <w:szCs w:val="22"/>
                  <w:u w:val="single"/>
                  <w:rtl w:val="0"/>
                </w:rPr>
                <w:t xml:space="preserve">#31a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P16,line 470-477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C">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Dissemination policy: authorship</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E">
            <w:pPr>
              <w:rPr>
                <w:rFonts w:ascii="Calibri" w:cs="Calibri" w:eastAsia="Calibri" w:hAnsi="Calibri"/>
                <w:sz w:val="22"/>
                <w:szCs w:val="22"/>
              </w:rPr>
            </w:pPr>
            <w:hyperlink r:id="rId55">
              <w:r w:rsidDel="00000000" w:rsidR="00000000" w:rsidRPr="00000000">
                <w:rPr>
                  <w:rFonts w:ascii="Calibri" w:cs="Calibri" w:eastAsia="Calibri" w:hAnsi="Calibri"/>
                  <w:color w:val="0563c1"/>
                  <w:sz w:val="22"/>
                  <w:szCs w:val="22"/>
                  <w:u w:val="single"/>
                  <w:rtl w:val="0"/>
                </w:rPr>
                <w:t xml:space="preserve">#31b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Authorship eligibility guidelines and any intended use of professional writers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0">
            <w:pPr>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Authorship will be decided before publications depending on the researchers´ contributions to the specific manuscripts.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Dissemination policy: reproducible research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3">
            <w:pPr>
              <w:rPr>
                <w:rFonts w:ascii="Calibri" w:cs="Calibri" w:eastAsia="Calibri" w:hAnsi="Calibri"/>
                <w:sz w:val="22"/>
                <w:szCs w:val="22"/>
              </w:rPr>
            </w:pPr>
            <w:hyperlink r:id="rId56">
              <w:r w:rsidDel="00000000" w:rsidR="00000000" w:rsidRPr="00000000">
                <w:rPr>
                  <w:rFonts w:ascii="Calibri" w:cs="Calibri" w:eastAsia="Calibri" w:hAnsi="Calibri"/>
                  <w:color w:val="0563c1"/>
                  <w:sz w:val="22"/>
                  <w:szCs w:val="22"/>
                  <w:u w:val="single"/>
                  <w:rtl w:val="0"/>
                </w:rPr>
                <w:t xml:space="preserve">#31c</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if any, for granting public access to the full protocol, participant-level dataset, and statistical code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P16, line 475-477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Free access to the journal will be paid for and all data codes and databases will be made available. Software models derived from the ultrasound raw data will be made available in open-source software repositories (e.g., GitLab).</w:t>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7">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Appendices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Informed consent materials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D">
            <w:pPr>
              <w:rPr>
                <w:rFonts w:ascii="Calibri" w:cs="Calibri" w:eastAsia="Calibri" w:hAnsi="Calibri"/>
                <w:sz w:val="22"/>
                <w:szCs w:val="22"/>
              </w:rPr>
            </w:pPr>
            <w:hyperlink r:id="rId57">
              <w:r w:rsidDel="00000000" w:rsidR="00000000" w:rsidRPr="00000000">
                <w:rPr>
                  <w:rFonts w:ascii="Calibri" w:cs="Calibri" w:eastAsia="Calibri" w:hAnsi="Calibri"/>
                  <w:color w:val="0563c1"/>
                  <w:sz w:val="22"/>
                  <w:szCs w:val="22"/>
                  <w:u w:val="single"/>
                  <w:rtl w:val="0"/>
                </w:rPr>
                <w:t xml:space="preserve">#32</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Model consent form and other related documentation given to participants and authorised surrogates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Appendix 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2" w:right="0"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Appendix 1.</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Appendix 1: </w:t>
            </w:r>
            <w:r w:rsidDel="00000000" w:rsidR="00000000" w:rsidRPr="00000000">
              <w:rPr>
                <w:rtl w:val="0"/>
              </w:rPr>
            </w:r>
          </w:p>
          <w:p w:rsidR="00000000" w:rsidDel="00000000" w:rsidP="00000000" w:rsidRDefault="00000000" w:rsidRPr="00000000" w14:paraId="00000131">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32">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Fonts w:ascii="Arial" w:cs="Arial" w:eastAsia="Arial" w:hAnsi="Arial"/>
                <w:color w:val="000000"/>
                <w:sz w:val="22"/>
                <w:szCs w:val="22"/>
                <w:rtl w:val="0"/>
              </w:rPr>
              <w:t xml:space="preserve">Translated to English from original protocol. </w:t>
            </w:r>
            <w:r w:rsidDel="00000000" w:rsidR="00000000" w:rsidRPr="00000000">
              <w:rPr>
                <w:rtl w:val="0"/>
              </w:rPr>
            </w:r>
          </w:p>
          <w:p w:rsidR="00000000" w:rsidDel="00000000" w:rsidP="00000000" w:rsidRDefault="00000000" w:rsidRPr="00000000" w14:paraId="00000133">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34">
            <w:pPr>
              <w:spacing w:after="110"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w:t>
            </w:r>
          </w:p>
          <w:p w:rsidR="00000000" w:rsidDel="00000000" w:rsidP="00000000" w:rsidRDefault="00000000" w:rsidRPr="00000000" w14:paraId="00000135">
            <w:pPr>
              <w:spacing w:before="0" w:line="240" w:lineRule="auto"/>
              <w:ind w:left="-2" w:right="335" w:hanging="2"/>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2"/>
                <w:szCs w:val="22"/>
                <w:u w:val="single"/>
                <w:rtl w:val="0"/>
              </w:rPr>
              <w:t xml:space="preserve">INFORMED CONSENT </w:t>
            </w:r>
            <w:r w:rsidDel="00000000" w:rsidR="00000000" w:rsidRPr="00000000">
              <w:rPr>
                <w:rFonts w:ascii="Times New Roman" w:cs="Times New Roman" w:eastAsia="Times New Roman" w:hAnsi="Times New Roman"/>
                <w:color w:val="000000"/>
              </w:rPr>
              <w:drawing>
                <wp:inline distB="0" distT="0" distL="0" distR="0">
                  <wp:extent cx="1685925" cy="476885"/>
                  <wp:effectExtent b="0" l="0" r="0" t="0"/>
                  <wp:docPr descr="https://lh6.googleusercontent.com/matK4TscYQLpC_mFny_kFpXZYmpouspNKKBzD8w5z8gXrzxjW7p3ncqwn-qSVSTVvEnVCrys6nkHyGJUECR7whreOtYB0AjTJb7cwyMfA8XM8lnEJjXpvjOfUn9VLqlAnKMyALpXObPBuZYEOdyrig" id="7" name="image3.jpg"/>
                  <a:graphic>
                    <a:graphicData uri="http://schemas.openxmlformats.org/drawingml/2006/picture">
                      <pic:pic>
                        <pic:nvPicPr>
                          <pic:cNvPr descr="https://lh6.googleusercontent.com/matK4TscYQLpC_mFny_kFpXZYmpouspNKKBzD8w5z8gXrzxjW7p3ncqwn-qSVSTVvEnVCrys6nkHyGJUECR7whreOtYB0AjTJb7cwyMfA8XM8lnEJjXpvjOfUn9VLqlAnKMyALpXObPBuZYEOdyrig" id="0" name="image3.jpg"/>
                          <pic:cNvPicPr preferRelativeResize="0"/>
                        </pic:nvPicPr>
                        <pic:blipFill>
                          <a:blip r:embed="rId58"/>
                          <a:srcRect b="0" l="0" r="0" t="0"/>
                          <a:stretch>
                            <a:fillRect/>
                          </a:stretch>
                        </pic:blipFill>
                        <pic:spPr>
                          <a:xfrm>
                            <a:off x="0" y="0"/>
                            <a:ext cx="1685925" cy="476885"/>
                          </a:xfrm>
                          <a:prstGeom prst="rect"/>
                          <a:ln/>
                        </pic:spPr>
                      </pic:pic>
                    </a:graphicData>
                  </a:graphic>
                </wp:inline>
              </w:drawing>
            </w:r>
            <w:r w:rsidDel="00000000" w:rsidR="00000000" w:rsidRPr="00000000">
              <w:rPr>
                <w:rFonts w:ascii="Times New Roman" w:cs="Times New Roman" w:eastAsia="Times New Roman" w:hAnsi="Times New Roman"/>
                <w:color w:val="000000"/>
              </w:rPr>
              <w:drawing>
                <wp:inline distB="0" distT="0" distL="0" distR="0">
                  <wp:extent cx="1415415" cy="469265"/>
                  <wp:effectExtent b="0" l="0" r="0" t="0"/>
                  <wp:docPr descr="https://lh5.googleusercontent.com/N_q9Xjl0or_rV9Xefa1aK1ngKdGGFTym_Pnat8diPmBTZ7n9RwfMr5hJytthKI7oYRct3NhtFQYHRoJGZxFU8rTa6YZ36Ty8i0Zeva8KU9FVAxRnT16FDMVGrWYXz1kakV1O5-n9BzNOVtNVGuDhCg" id="9" name="image1.jpg"/>
                  <a:graphic>
                    <a:graphicData uri="http://schemas.openxmlformats.org/drawingml/2006/picture">
                      <pic:pic>
                        <pic:nvPicPr>
                          <pic:cNvPr descr="https://lh5.googleusercontent.com/N_q9Xjl0or_rV9Xefa1aK1ngKdGGFTym_Pnat8diPmBTZ7n9RwfMr5hJytthKI7oYRct3NhtFQYHRoJGZxFU8rTa6YZ36Ty8i0Zeva8KU9FVAxRnT16FDMVGrWYXz1kakV1O5-n9BzNOVtNVGuDhCg" id="0" name="image1.jpg"/>
                          <pic:cNvPicPr preferRelativeResize="0"/>
                        </pic:nvPicPr>
                        <pic:blipFill>
                          <a:blip r:embed="rId59"/>
                          <a:srcRect b="0" l="0" r="0" t="0"/>
                          <a:stretch>
                            <a:fillRect/>
                          </a:stretch>
                        </pic:blipFill>
                        <pic:spPr>
                          <a:xfrm>
                            <a:off x="0" y="0"/>
                            <a:ext cx="1415415" cy="469265"/>
                          </a:xfrm>
                          <a:prstGeom prst="rect"/>
                          <a:ln/>
                        </pic:spPr>
                      </pic:pic>
                    </a:graphicData>
                  </a:graphic>
                </wp:inline>
              </w:drawing>
            </w:r>
            <w:r w:rsidDel="00000000" w:rsidR="00000000" w:rsidRPr="00000000">
              <w:rPr>
                <w:rtl w:val="0"/>
              </w:rPr>
            </w:r>
          </w:p>
          <w:p w:rsidR="00000000" w:rsidDel="00000000" w:rsidP="00000000" w:rsidRDefault="00000000" w:rsidRPr="00000000" w14:paraId="00000136">
            <w:pPr>
              <w:spacing w:after="58"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16"/>
                <w:szCs w:val="16"/>
                <w:rtl w:val="0"/>
              </w:rPr>
              <w:t xml:space="preserve"> </w:t>
            </w:r>
            <w:r w:rsidDel="00000000" w:rsidR="00000000" w:rsidRPr="00000000">
              <w:rPr>
                <w:rtl w:val="0"/>
              </w:rPr>
            </w:r>
          </w:p>
          <w:p w:rsidR="00000000" w:rsidDel="00000000" w:rsidP="00000000" w:rsidRDefault="00000000" w:rsidRPr="00000000" w14:paraId="00000137">
            <w:pPr>
              <w:spacing w:after="4" w:before="0" w:line="240" w:lineRule="auto"/>
              <w:ind w:left="-2" w:right="-9" w:hanging="2"/>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Title of the study: </w:t>
            </w:r>
            <w:r w:rsidDel="00000000" w:rsidR="00000000" w:rsidRPr="00000000">
              <w:rPr>
                <w:rFonts w:ascii="Times New Roman" w:cs="Times New Roman" w:eastAsia="Times New Roman" w:hAnsi="Times New Roman"/>
                <w:color w:val="000000"/>
                <w:sz w:val="20"/>
                <w:szCs w:val="20"/>
                <w:rtl w:val="0"/>
              </w:rPr>
              <w:t xml:space="preserve">"Development of continuous assessment of muscle fragility and quality in older subjects using multiparametric omics based on ultrasound and blood analysis". ECOFRAIL study.</w:t>
            </w:r>
            <w:r w:rsidDel="00000000" w:rsidR="00000000" w:rsidRPr="00000000">
              <w:rPr>
                <w:rtl w:val="0"/>
              </w:rPr>
            </w:r>
          </w:p>
          <w:p w:rsidR="00000000" w:rsidDel="00000000" w:rsidP="00000000" w:rsidRDefault="00000000" w:rsidRPr="00000000" w14:paraId="00000138">
            <w:pPr>
              <w:spacing w:before="0" w:line="240" w:lineRule="auto"/>
              <w:rPr>
                <w:rFonts w:ascii="Times New Roman" w:cs="Times New Roman" w:eastAsia="Times New Roman" w:hAnsi="Times New Roman"/>
                <w:color w:val="000000"/>
              </w:rPr>
            </w:pPr>
            <w:r w:rsidDel="00000000" w:rsidR="00000000" w:rsidRPr="00000000">
              <w:rPr>
                <w:rtl w:val="0"/>
              </w:rPr>
            </w:r>
          </w:p>
          <w:tbl>
            <w:tblPr>
              <w:tblStyle w:val="Table2"/>
              <w:tblW w:w="7396.0" w:type="dxa"/>
              <w:jc w:val="left"/>
              <w:tblLayout w:type="fixed"/>
              <w:tblLook w:val="0400"/>
            </w:tblPr>
            <w:tblGrid>
              <w:gridCol w:w="7396"/>
              <w:tblGridChange w:id="0">
                <w:tblGrid>
                  <w:gridCol w:w="7396"/>
                </w:tblGrid>
              </w:tblGridChange>
            </w:tblGrid>
            <w:tr>
              <w:trPr>
                <w:cantSplit w:val="0"/>
                <w:trHeight w:val="7112"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11.0" w:type="dxa"/>
                    <w:right w:w="53.0" w:type="dxa"/>
                  </w:tcMar>
                  <w:vAlign w:val="bottom"/>
                </w:tcPr>
                <w:p w:rsidR="00000000" w:rsidDel="00000000" w:rsidP="00000000" w:rsidRDefault="00000000" w:rsidRPr="00000000" w14:paraId="00000139">
                  <w:pPr>
                    <w:spacing w:before="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TO BE FILLED IN ONLY BY THE PATIENT (in his/her own handwriting): </w:t>
                  </w:r>
                  <w:r w:rsidDel="00000000" w:rsidR="00000000" w:rsidRPr="00000000">
                    <w:rPr>
                      <w:rtl w:val="0"/>
                    </w:rPr>
                  </w:r>
                </w:p>
                <w:p w:rsidR="00000000" w:rsidDel="00000000" w:rsidP="00000000" w:rsidRDefault="00000000" w:rsidRPr="00000000" w14:paraId="0000013A">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tl w:val="0"/>
                    </w:rPr>
                  </w:r>
                </w:p>
                <w:p w:rsidR="00000000" w:rsidDel="00000000" w:rsidP="00000000" w:rsidRDefault="00000000" w:rsidRPr="00000000" w14:paraId="0000013B">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I (name and surname) ___________________________________________ </w:t>
                  </w:r>
                  <w:r w:rsidDel="00000000" w:rsidR="00000000" w:rsidRPr="00000000">
                    <w:rPr>
                      <w:rtl w:val="0"/>
                    </w:rPr>
                  </w:r>
                </w:p>
                <w:p w:rsidR="00000000" w:rsidDel="00000000" w:rsidP="00000000" w:rsidRDefault="00000000" w:rsidRPr="00000000" w14:paraId="0000013C">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tl w:val="0"/>
                    </w:rPr>
                  </w:r>
                </w:p>
                <w:p w:rsidR="00000000" w:rsidDel="00000000" w:rsidP="00000000" w:rsidRDefault="00000000" w:rsidRPr="00000000" w14:paraId="0000013D">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I have read and understood the information sheet given to me. </w:t>
                  </w:r>
                  <w:r w:rsidDel="00000000" w:rsidR="00000000" w:rsidRPr="00000000">
                    <w:rPr>
                      <w:rtl w:val="0"/>
                    </w:rPr>
                  </w:r>
                </w:p>
                <w:p w:rsidR="00000000" w:rsidDel="00000000" w:rsidP="00000000" w:rsidRDefault="00000000" w:rsidRPr="00000000" w14:paraId="0000013E">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I have been able to ask questions about the study and they have been answered. </w:t>
                  </w:r>
                  <w:r w:rsidDel="00000000" w:rsidR="00000000" w:rsidRPr="00000000">
                    <w:rPr>
                      <w:rtl w:val="0"/>
                    </w:rPr>
                  </w:r>
                </w:p>
                <w:p w:rsidR="00000000" w:rsidDel="00000000" w:rsidP="00000000" w:rsidRDefault="00000000" w:rsidRPr="00000000" w14:paraId="0000013F">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I have received sufficient information about the study. </w:t>
                  </w:r>
                  <w:r w:rsidDel="00000000" w:rsidR="00000000" w:rsidRPr="00000000">
                    <w:rPr>
                      <w:rtl w:val="0"/>
                    </w:rPr>
                  </w:r>
                </w:p>
                <w:p w:rsidR="00000000" w:rsidDel="00000000" w:rsidP="00000000" w:rsidRDefault="00000000" w:rsidRPr="00000000" w14:paraId="00000140">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Destination of the leftover sample after use in this research project </w:t>
                  </w:r>
                  <w:r w:rsidDel="00000000" w:rsidR="00000000" w:rsidRPr="00000000">
                    <w:rPr>
                      <w:rtl w:val="0"/>
                    </w:rPr>
                  </w:r>
                </w:p>
                <w:p w:rsidR="00000000" w:rsidDel="00000000" w:rsidP="00000000" w:rsidRDefault="00000000" w:rsidRPr="00000000" w14:paraId="00000141">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ab/>
                  </w:r>
                  <w:sdt>
                    <w:sdtPr>
                      <w:tag w:val="goog_rdk_0"/>
                    </w:sdtPr>
                    <w:sdtContent>
                      <w:r w:rsidDel="00000000" w:rsidR="00000000" w:rsidRPr="00000000">
                        <w:rPr>
                          <w:rFonts w:ascii="Arial Unicode MS" w:cs="Arial Unicode MS" w:eastAsia="Arial Unicode MS" w:hAnsi="Arial Unicode MS"/>
                          <w:b w:val="1"/>
                          <w:color w:val="000000"/>
                          <w:sz w:val="20"/>
                          <w:szCs w:val="20"/>
                          <w:rtl w:val="0"/>
                        </w:rPr>
                        <w:t xml:space="preserve">⃣</w:t>
                      </w:r>
                    </w:sdtContent>
                  </w:sdt>
                  <w:r w:rsidDel="00000000" w:rsidR="00000000" w:rsidRPr="00000000">
                    <w:rPr>
                      <w:rFonts w:ascii="Times New Roman" w:cs="Times New Roman" w:eastAsia="Times New Roman" w:hAnsi="Times New Roman"/>
                      <w:b w:val="1"/>
                      <w:color w:val="000000"/>
                      <w:sz w:val="20"/>
                      <w:szCs w:val="20"/>
                      <w:rtl w:val="0"/>
                    </w:rPr>
                    <w:t xml:space="preserve">  Destruction </w:t>
                  </w:r>
                  <w:r w:rsidDel="00000000" w:rsidR="00000000" w:rsidRPr="00000000">
                    <w:rPr>
                      <w:rtl w:val="0"/>
                    </w:rPr>
                  </w:r>
                </w:p>
                <w:p w:rsidR="00000000" w:rsidDel="00000000" w:rsidP="00000000" w:rsidRDefault="00000000" w:rsidRPr="00000000" w14:paraId="00000142">
                  <w:pPr>
                    <w:spacing w:before="0" w:line="240" w:lineRule="auto"/>
                    <w:ind w:left="-2" w:hanging="2"/>
                    <w:rPr>
                      <w:rFonts w:ascii="Times New Roman" w:cs="Times New Roman" w:eastAsia="Times New Roman" w:hAnsi="Times New Roman"/>
                      <w:color w:val="000000"/>
                    </w:rPr>
                  </w:pPr>
                  <w:sdt>
                    <w:sdtPr>
                      <w:tag w:val="goog_rdk_1"/>
                    </w:sdtPr>
                    <w:sdtContent>
                      <w:r w:rsidDel="00000000" w:rsidR="00000000" w:rsidRPr="00000000">
                        <w:rPr>
                          <w:rFonts w:ascii="Arial Unicode MS" w:cs="Arial Unicode MS" w:eastAsia="Arial Unicode MS" w:hAnsi="Arial Unicode MS"/>
                          <w:b w:val="1"/>
                          <w:color w:val="000000"/>
                          <w:sz w:val="20"/>
                          <w:szCs w:val="20"/>
                          <w:rtl w:val="0"/>
                        </w:rPr>
                        <w:t xml:space="preserve">⃣</w:t>
                      </w:r>
                    </w:sdtContent>
                  </w:sdt>
                  <w:r w:rsidDel="00000000" w:rsidR="00000000" w:rsidRPr="00000000">
                    <w:rPr>
                      <w:rFonts w:ascii="Times New Roman" w:cs="Times New Roman" w:eastAsia="Times New Roman" w:hAnsi="Times New Roman"/>
                      <w:b w:val="1"/>
                      <w:color w:val="000000"/>
                      <w:sz w:val="20"/>
                      <w:szCs w:val="20"/>
                      <w:rtl w:val="0"/>
                    </w:rPr>
                    <w:t xml:space="preserve">  Donate the surplus sample to the Basque Biobank for Research of the Basque Foundation for Health Innovation and Research (BIOEF) to be kept and used for future research. </w:t>
                  </w:r>
                  <w:r w:rsidDel="00000000" w:rsidR="00000000" w:rsidRPr="00000000">
                    <w:rPr>
                      <w:rtl w:val="0"/>
                    </w:rPr>
                  </w:r>
                </w:p>
                <w:p w:rsidR="00000000" w:rsidDel="00000000" w:rsidP="00000000" w:rsidRDefault="00000000" w:rsidRPr="00000000" w14:paraId="00000143">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ab/>
                    <w:t xml:space="preserve"> </w:t>
                  </w:r>
                  <w:sdt>
                    <w:sdtPr>
                      <w:tag w:val="goog_rdk_2"/>
                    </w:sdtPr>
                    <w:sdtContent>
                      <w:r w:rsidDel="00000000" w:rsidR="00000000" w:rsidRPr="00000000">
                        <w:rPr>
                          <w:rFonts w:ascii="Arial Unicode MS" w:cs="Arial Unicode MS" w:eastAsia="Arial Unicode MS" w:hAnsi="Arial Unicode MS"/>
                          <w:b w:val="1"/>
                          <w:color w:val="000000"/>
                          <w:sz w:val="20"/>
                          <w:szCs w:val="20"/>
                          <w:rtl w:val="0"/>
                        </w:rPr>
                        <w:t xml:space="preserve">⃣</w:t>
                      </w:r>
                    </w:sdtContent>
                  </w:sdt>
                  <w:r w:rsidDel="00000000" w:rsidR="00000000" w:rsidRPr="00000000">
                    <w:rPr>
                      <w:rFonts w:ascii="Times New Roman" w:cs="Times New Roman" w:eastAsia="Times New Roman" w:hAnsi="Times New Roman"/>
                      <w:b w:val="1"/>
                      <w:color w:val="000000"/>
                      <w:sz w:val="20"/>
                      <w:szCs w:val="20"/>
                      <w:rtl w:val="0"/>
                    </w:rPr>
                    <w:t xml:space="preserve">  Coded (to know the results of the research carried out). </w:t>
                  </w:r>
                  <w:r w:rsidDel="00000000" w:rsidR="00000000" w:rsidRPr="00000000">
                    <w:rPr>
                      <w:rtl w:val="0"/>
                    </w:rPr>
                  </w:r>
                </w:p>
                <w:p w:rsidR="00000000" w:rsidDel="00000000" w:rsidP="00000000" w:rsidRDefault="00000000" w:rsidRPr="00000000" w14:paraId="00000144">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t>
                  </w:r>
                  <w:sdt>
                    <w:sdtPr>
                      <w:tag w:val="goog_rdk_3"/>
                    </w:sdtPr>
                    <w:sdtContent>
                      <w:r w:rsidDel="00000000" w:rsidR="00000000" w:rsidRPr="00000000">
                        <w:rPr>
                          <w:rFonts w:ascii="Arial Unicode MS" w:cs="Arial Unicode MS" w:eastAsia="Arial Unicode MS" w:hAnsi="Arial Unicode MS"/>
                          <w:b w:val="1"/>
                          <w:color w:val="000000"/>
                          <w:sz w:val="20"/>
                          <w:szCs w:val="20"/>
                          <w:rtl w:val="0"/>
                        </w:rPr>
                        <w:t xml:space="preserve">⃣</w:t>
                      </w:r>
                    </w:sdtContent>
                  </w:sdt>
                  <w:r w:rsidDel="00000000" w:rsidR="00000000" w:rsidRPr="00000000">
                    <w:rPr>
                      <w:rFonts w:ascii="Times New Roman" w:cs="Times New Roman" w:eastAsia="Times New Roman" w:hAnsi="Times New Roman"/>
                      <w:b w:val="1"/>
                      <w:color w:val="000000"/>
                      <w:sz w:val="20"/>
                      <w:szCs w:val="20"/>
                      <w:rtl w:val="0"/>
                    </w:rPr>
                    <w:t xml:space="preserve">  Anonymised (nobody can ever recover the link between your samples and you). </w:t>
                  </w:r>
                  <w:r w:rsidDel="00000000" w:rsidR="00000000" w:rsidRPr="00000000">
                    <w:rPr>
                      <w:rtl w:val="0"/>
                    </w:rPr>
                  </w:r>
                </w:p>
                <w:p w:rsidR="00000000" w:rsidDel="00000000" w:rsidP="00000000" w:rsidRDefault="00000000" w:rsidRPr="00000000" w14:paraId="00000145">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I have spoken to: ___________________________________________________ </w:t>
                  </w:r>
                  <w:r w:rsidDel="00000000" w:rsidR="00000000" w:rsidRPr="00000000">
                    <w:rPr>
                      <w:rtl w:val="0"/>
                    </w:rPr>
                  </w:r>
                </w:p>
                <w:p w:rsidR="00000000" w:rsidDel="00000000" w:rsidP="00000000" w:rsidRDefault="00000000" w:rsidRPr="00000000" w14:paraId="00000146">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(Name of Researcher or person designated to provide the information) </w:t>
                  </w:r>
                  <w:r w:rsidDel="00000000" w:rsidR="00000000" w:rsidRPr="00000000">
                    <w:rPr>
                      <w:rtl w:val="0"/>
                    </w:rPr>
                  </w:r>
                </w:p>
                <w:p w:rsidR="00000000" w:rsidDel="00000000" w:rsidP="00000000" w:rsidRDefault="00000000" w:rsidRPr="00000000" w14:paraId="00000147">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tl w:val="0"/>
                    </w:rPr>
                  </w:r>
                </w:p>
                <w:p w:rsidR="00000000" w:rsidDel="00000000" w:rsidP="00000000" w:rsidRDefault="00000000" w:rsidRPr="00000000" w14:paraId="00000148">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I understand that my participation is voluntary. </w:t>
                  </w:r>
                  <w:r w:rsidDel="00000000" w:rsidR="00000000" w:rsidRPr="00000000">
                    <w:rPr>
                      <w:rtl w:val="0"/>
                    </w:rPr>
                  </w:r>
                </w:p>
                <w:p w:rsidR="00000000" w:rsidDel="00000000" w:rsidP="00000000" w:rsidRDefault="00000000" w:rsidRPr="00000000" w14:paraId="00000149">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I understand that I can withdraw from the study: </w:t>
                  </w:r>
                  <w:r w:rsidDel="00000000" w:rsidR="00000000" w:rsidRPr="00000000">
                    <w:rPr>
                      <w:rtl w:val="0"/>
                    </w:rPr>
                  </w:r>
                </w:p>
                <w:p w:rsidR="00000000" w:rsidDel="00000000" w:rsidP="00000000" w:rsidRDefault="00000000" w:rsidRPr="00000000" w14:paraId="0000014A">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Whenever I want. </w:t>
                  </w:r>
                  <w:r w:rsidDel="00000000" w:rsidR="00000000" w:rsidRPr="00000000">
                    <w:rPr>
                      <w:rtl w:val="0"/>
                    </w:rPr>
                  </w:r>
                </w:p>
                <w:p w:rsidR="00000000" w:rsidDel="00000000" w:rsidP="00000000" w:rsidRDefault="00000000" w:rsidRPr="00000000" w14:paraId="0000014B">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Without having to explain myself. </w:t>
                  </w:r>
                  <w:r w:rsidDel="00000000" w:rsidR="00000000" w:rsidRPr="00000000">
                    <w:rPr>
                      <w:rtl w:val="0"/>
                    </w:rPr>
                  </w:r>
                </w:p>
                <w:p w:rsidR="00000000" w:rsidDel="00000000" w:rsidP="00000000" w:rsidRDefault="00000000" w:rsidRPr="00000000" w14:paraId="0000014C">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Without affecting my medical care. </w:t>
                  </w:r>
                  <w:r w:rsidDel="00000000" w:rsidR="00000000" w:rsidRPr="00000000">
                    <w:rPr>
                      <w:rtl w:val="0"/>
                    </w:rPr>
                  </w:r>
                </w:p>
                <w:p w:rsidR="00000000" w:rsidDel="00000000" w:rsidP="00000000" w:rsidRDefault="00000000" w:rsidRPr="00000000" w14:paraId="0000014D">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tl w:val="0"/>
                    </w:rPr>
                  </w:r>
                </w:p>
                <w:p w:rsidR="00000000" w:rsidDel="00000000" w:rsidP="00000000" w:rsidRDefault="00000000" w:rsidRPr="00000000" w14:paraId="0000014E">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I freely agree to participate in the study.</w:t>
                  </w:r>
                  <w:r w:rsidDel="00000000" w:rsidR="00000000" w:rsidRPr="00000000">
                    <w:rPr>
                      <w:rtl w:val="0"/>
                    </w:rPr>
                  </w:r>
                </w:p>
                <w:p w:rsidR="00000000" w:rsidDel="00000000" w:rsidP="00000000" w:rsidRDefault="00000000" w:rsidRPr="00000000" w14:paraId="0000014F">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tl w:val="0"/>
                    </w:rPr>
                  </w:r>
                </w:p>
                <w:p w:rsidR="00000000" w:rsidDel="00000000" w:rsidP="00000000" w:rsidRDefault="00000000" w:rsidRPr="00000000" w14:paraId="00000150">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tl w:val="0"/>
                    </w:rPr>
                  </w:r>
                </w:p>
                <w:p w:rsidR="00000000" w:rsidDel="00000000" w:rsidP="00000000" w:rsidRDefault="00000000" w:rsidRPr="00000000" w14:paraId="00000151">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tl w:val="0"/>
                    </w:rPr>
                  </w:r>
                </w:p>
                <w:p w:rsidR="00000000" w:rsidDel="00000000" w:rsidP="00000000" w:rsidRDefault="00000000" w:rsidRPr="00000000" w14:paraId="00000152">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ab/>
                    <w:t xml:space="preserve">Date: Signature of Participant </w:t>
                  </w:r>
                  <w:r w:rsidDel="00000000" w:rsidR="00000000" w:rsidRPr="00000000">
                    <w:rPr>
                      <w:rtl w:val="0"/>
                    </w:rPr>
                  </w:r>
                </w:p>
                <w:p w:rsidR="00000000" w:rsidDel="00000000" w:rsidP="00000000" w:rsidRDefault="00000000" w:rsidRPr="00000000" w14:paraId="00000153">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0"/>
                      <w:szCs w:val="20"/>
                      <w:rtl w:val="0"/>
                    </w:rPr>
                    <w:t xml:space="preserve">(To be completed by the patient) </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tl w:val="0"/>
                    </w:rPr>
                  </w:r>
                </w:p>
              </w:tc>
            </w:tr>
          </w:tbl>
          <w:p w:rsidR="00000000" w:rsidDel="00000000" w:rsidP="00000000" w:rsidRDefault="00000000" w:rsidRPr="00000000" w14:paraId="00000154">
            <w:pPr>
              <w:spacing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sz w:val="22"/>
                <w:szCs w:val="22"/>
                <w:rtl w:val="0"/>
              </w:rPr>
              <w:t xml:space="preserve"> </w:t>
            </w:r>
            <w:r w:rsidDel="00000000" w:rsidR="00000000" w:rsidRPr="00000000">
              <w:rPr>
                <w:rtl w:val="0"/>
              </w:rPr>
            </w:r>
          </w:p>
          <w:p w:rsidR="00000000" w:rsidDel="00000000" w:rsidP="00000000" w:rsidRDefault="00000000" w:rsidRPr="00000000" w14:paraId="00000155">
            <w:pPr>
              <w:spacing w:after="1094"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2"/>
                <w:szCs w:val="22"/>
                <w:rtl w:val="0"/>
              </w:rPr>
              <w:t xml:space="preserve">Date:                                    Signature of the person explaining the informed consen</w:t>
            </w:r>
            <w:r w:rsidDel="00000000" w:rsidR="00000000" w:rsidRPr="00000000">
              <w:rPr>
                <w:rtl w:val="0"/>
              </w:rPr>
            </w:r>
          </w:p>
          <w:p w:rsidR="00000000" w:rsidDel="00000000" w:rsidP="00000000" w:rsidRDefault="00000000" w:rsidRPr="00000000" w14:paraId="00000156">
            <w:pPr>
              <w:spacing w:after="1094" w:before="0" w:line="240" w:lineRule="auto"/>
              <w:ind w:left="-2" w:hanging="2"/>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sz w:val="22"/>
                <w:szCs w:val="22"/>
                <w:rtl w:val="0"/>
              </w:rPr>
              <w:t xml:space="preserve">Patient Information Sheet Version 3, May 31, 2022.   </w:t>
              <w:tab/>
            </w:r>
            <w:r w:rsidDel="00000000" w:rsidR="00000000" w:rsidRPr="00000000">
              <w:rPr>
                <w:rFonts w:ascii="Times New Roman" w:cs="Times New Roman" w:eastAsia="Times New Roman" w:hAnsi="Times New Roman"/>
                <w:color w:val="000000"/>
                <w:rtl w:val="0"/>
              </w:rPr>
              <w:t xml:space="preserve">2 </w:t>
            </w:r>
          </w:p>
          <w:p w:rsidR="00000000" w:rsidDel="00000000" w:rsidP="00000000" w:rsidRDefault="00000000" w:rsidRPr="00000000" w14:paraId="00000157">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58">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59">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5A">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5B">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5C">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5D">
            <w:pPr>
              <w:spacing w:before="0" w:line="240" w:lineRule="auto"/>
              <w:ind w:left="-2" w:hanging="2"/>
              <w:jc w:val="both"/>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Biological specimens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F">
            <w:pPr>
              <w:rPr>
                <w:rFonts w:ascii="Calibri" w:cs="Calibri" w:eastAsia="Calibri" w:hAnsi="Calibri"/>
                <w:sz w:val="22"/>
                <w:szCs w:val="22"/>
              </w:rPr>
            </w:pPr>
            <w:hyperlink r:id="rId60">
              <w:r w:rsidDel="00000000" w:rsidR="00000000" w:rsidRPr="00000000">
                <w:rPr>
                  <w:rFonts w:ascii="Calibri" w:cs="Calibri" w:eastAsia="Calibri" w:hAnsi="Calibri"/>
                  <w:color w:val="0563c1"/>
                  <w:sz w:val="22"/>
                  <w:szCs w:val="22"/>
                  <w:u w:val="single"/>
                  <w:rtl w:val="0"/>
                </w:rPr>
                <w:t xml:space="preserve">#33</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collection, laboratory evaluation, and storage of biological specimens for genetic or molecular analysis in the current trial and for future use in ancillary studies, if applicable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Appendix 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2">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Fonts w:ascii="Arial" w:cs="Arial" w:eastAsia="Arial" w:hAnsi="Arial"/>
                <w:color w:val="000000"/>
                <w:sz w:val="22"/>
                <w:szCs w:val="22"/>
                <w:rtl w:val="0"/>
              </w:rPr>
              <w:t xml:space="preserve">Appendix 2:</w:t>
            </w:r>
            <w:r w:rsidDel="00000000" w:rsidR="00000000" w:rsidRPr="00000000">
              <w:rPr>
                <w:rtl w:val="0"/>
              </w:rPr>
            </w:r>
          </w:p>
          <w:p w:rsidR="00000000" w:rsidDel="00000000" w:rsidP="00000000" w:rsidRDefault="00000000" w:rsidRPr="00000000" w14:paraId="00000163">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64">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Fonts w:ascii="Arial" w:cs="Arial" w:eastAsia="Arial" w:hAnsi="Arial"/>
                <w:color w:val="000000"/>
                <w:sz w:val="22"/>
                <w:szCs w:val="22"/>
                <w:rtl w:val="0"/>
              </w:rPr>
              <w:t xml:space="preserve">Ultrasound data flow and management from clinical acquisition centres to ultrasound data evaluation centre. </w:t>
            </w:r>
            <w:r w:rsidDel="00000000" w:rsidR="00000000" w:rsidRPr="00000000">
              <w:rPr>
                <w:rtl w:val="0"/>
              </w:rPr>
            </w:r>
          </w:p>
          <w:p w:rsidR="00000000" w:rsidDel="00000000" w:rsidP="00000000" w:rsidRDefault="00000000" w:rsidRPr="00000000" w14:paraId="00000165">
            <w:pPr>
              <w:spacing w:before="0" w:line="240" w:lineRule="auto"/>
              <w:ind w:left="-2" w:hanging="2"/>
              <w:jc w:val="both"/>
              <w:rPr>
                <w:rFonts w:ascii="Times New Roman" w:cs="Times New Roman" w:eastAsia="Times New Roman" w:hAnsi="Times New Roman"/>
                <w:color w:val="000000"/>
              </w:rPr>
            </w:pPr>
            <w:r w:rsidDel="00000000" w:rsidR="00000000" w:rsidRPr="00000000">
              <w:rPr>
                <w:rFonts w:ascii="Arial" w:cs="Arial" w:eastAsia="Arial" w:hAnsi="Arial"/>
                <w:color w:val="000000"/>
                <w:sz w:val="20"/>
                <w:szCs w:val="20"/>
              </w:rPr>
              <w:drawing>
                <wp:inline distB="0" distT="0" distL="0" distR="0">
                  <wp:extent cx="4742269" cy="1440331"/>
                  <wp:effectExtent b="0" l="0" r="0" t="0"/>
                  <wp:docPr descr="https://lh5.googleusercontent.com/gQtv7_OBKwGNkgIs96sJlIudNysf-GWg_YCq9f96dyeKApi8I6H20pjfFI4ko6qv3nVhFPhDwNMHAD452PsTuBYXhK_8ln3bi9KnssE3BnHdPH4KD-ZfjoSP6ewZFlncbWARtOENbCnTotQvgCWa_A" id="8" name="image4.jpg"/>
                  <a:graphic>
                    <a:graphicData uri="http://schemas.openxmlformats.org/drawingml/2006/picture">
                      <pic:pic>
                        <pic:nvPicPr>
                          <pic:cNvPr descr="https://lh5.googleusercontent.com/gQtv7_OBKwGNkgIs96sJlIudNysf-GWg_YCq9f96dyeKApi8I6H20pjfFI4ko6qv3nVhFPhDwNMHAD452PsTuBYXhK_8ln3bi9KnssE3BnHdPH4KD-ZfjoSP6ewZFlncbWARtOENbCnTotQvgCWa_A" id="0" name="image4.jpg"/>
                          <pic:cNvPicPr preferRelativeResize="0"/>
                        </pic:nvPicPr>
                        <pic:blipFill>
                          <a:blip r:embed="rId61"/>
                          <a:srcRect b="0" l="0" r="0" t="0"/>
                          <a:stretch>
                            <a:fillRect/>
                          </a:stretch>
                        </pic:blipFill>
                        <pic:spPr>
                          <a:xfrm>
                            <a:off x="0" y="0"/>
                            <a:ext cx="4742269" cy="1440331"/>
                          </a:xfrm>
                          <a:prstGeom prst="rect"/>
                          <a:ln/>
                        </pic:spPr>
                      </pic:pic>
                    </a:graphicData>
                  </a:graphic>
                </wp:inline>
              </w:drawing>
            </w:r>
            <w:r w:rsidDel="00000000" w:rsidR="00000000" w:rsidRPr="00000000">
              <w:rPr>
                <w:rtl w:val="0"/>
              </w:rPr>
            </w:r>
          </w:p>
          <w:p w:rsidR="00000000" w:rsidDel="00000000" w:rsidP="00000000" w:rsidRDefault="00000000" w:rsidRPr="00000000" w14:paraId="00000166">
            <w:pPr>
              <w:shd w:fill="ffffff" w:val="clear"/>
              <w:spacing w:before="0" w:line="240" w:lineRule="auto"/>
              <w:ind w:left="-2" w:hanging="2"/>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67">
            <w:pPr>
              <w:spacing w:before="0" w:line="240" w:lineRule="auto"/>
              <w:ind w:left="-2" w:hanging="2"/>
              <w:jc w:val="both"/>
              <w:rPr>
                <w:rFonts w:ascii="Times New Roman" w:cs="Times New Roman" w:eastAsia="Times New Roman" w:hAnsi="Times New Roman"/>
                <w:color w:val="000000"/>
              </w:rPr>
            </w:pPr>
            <w:r w:rsidDel="00000000" w:rsidR="00000000" w:rsidRPr="00000000">
              <w:rPr>
                <w:rFonts w:ascii="Arial" w:cs="Arial" w:eastAsia="Arial" w:hAnsi="Arial"/>
                <w:color w:val="000000"/>
                <w:sz w:val="20"/>
                <w:szCs w:val="20"/>
                <w:rtl w:val="0"/>
              </w:rPr>
              <w:t xml:space="preserve">Biomarkers data flow and management from clinical centres to blood-essay evaluation centre. </w:t>
            </w:r>
            <w:r w:rsidDel="00000000" w:rsidR="00000000" w:rsidRPr="00000000">
              <w:rPr>
                <w:rtl w:val="0"/>
              </w:rPr>
            </w:r>
          </w:p>
          <w:p w:rsidR="00000000" w:rsidDel="00000000" w:rsidP="00000000" w:rsidRDefault="00000000" w:rsidRPr="00000000" w14:paraId="00000168">
            <w:pPr>
              <w:spacing w:before="0" w:line="240" w:lineRule="auto"/>
              <w:ind w:left="-2" w:hanging="2"/>
              <w:jc w:val="both"/>
              <w:rPr>
                <w:rFonts w:ascii="Times New Roman" w:cs="Times New Roman" w:eastAsia="Times New Roman" w:hAnsi="Times New Roman"/>
                <w:color w:val="000000"/>
              </w:rPr>
            </w:pPr>
            <w:r w:rsidDel="00000000" w:rsidR="00000000" w:rsidRPr="00000000">
              <w:rPr>
                <w:rFonts w:ascii="Arial" w:cs="Arial" w:eastAsia="Arial" w:hAnsi="Arial"/>
                <w:color w:val="000000"/>
                <w:sz w:val="20"/>
                <w:szCs w:val="20"/>
              </w:rPr>
              <w:drawing>
                <wp:inline distB="0" distT="0" distL="0" distR="0">
                  <wp:extent cx="4490691" cy="1407693"/>
                  <wp:effectExtent b="0" l="0" r="0" t="0"/>
                  <wp:docPr descr="https://lh6.googleusercontent.com/7w8GCGh3dc0ojoWGqJT3b-dMfXZKKxFCeceKHxNXoLzvoveHxx78QffXw8YfhybquUt-ma2J2YrWUxjc2NMqxXKABHtorckQejwp_CrMPzmJXQSJhQHLyFb_9_JYSGjwk563eN4AXVZRIybFVLcY9g" id="10" name="image2.jpg"/>
                  <a:graphic>
                    <a:graphicData uri="http://schemas.openxmlformats.org/drawingml/2006/picture">
                      <pic:pic>
                        <pic:nvPicPr>
                          <pic:cNvPr descr="https://lh6.googleusercontent.com/7w8GCGh3dc0ojoWGqJT3b-dMfXZKKxFCeceKHxNXoLzvoveHxx78QffXw8YfhybquUt-ma2J2YrWUxjc2NMqxXKABHtorckQejwp_CrMPzmJXQSJhQHLyFb_9_JYSGjwk563eN4AXVZRIybFVLcY9g" id="0" name="image2.jpg"/>
                          <pic:cNvPicPr preferRelativeResize="0"/>
                        </pic:nvPicPr>
                        <pic:blipFill>
                          <a:blip r:embed="rId62"/>
                          <a:srcRect b="0" l="0" r="0" t="0"/>
                          <a:stretch>
                            <a:fillRect/>
                          </a:stretch>
                        </pic:blipFill>
                        <pic:spPr>
                          <a:xfrm>
                            <a:off x="0" y="0"/>
                            <a:ext cx="4490691" cy="1407693"/>
                          </a:xfrm>
                          <a:prstGeom prst="rect"/>
                          <a:ln/>
                        </pic:spPr>
                      </pic:pic>
                    </a:graphicData>
                  </a:graphic>
                </wp:inline>
              </w:drawing>
            </w:r>
            <w:r w:rsidDel="00000000" w:rsidR="00000000" w:rsidRPr="00000000">
              <w:rPr>
                <w:rtl w:val="0"/>
              </w:rPr>
            </w:r>
          </w:p>
          <w:p w:rsidR="00000000" w:rsidDel="00000000" w:rsidP="00000000" w:rsidRDefault="00000000" w:rsidRPr="00000000" w14:paraId="00000169">
            <w:pPr>
              <w:rPr>
                <w:rFonts w:ascii="Calibri" w:cs="Calibri" w:eastAsia="Calibri" w:hAnsi="Calibri"/>
                <w:sz w:val="22"/>
                <w:szCs w:val="22"/>
              </w:rPr>
            </w:pPr>
            <w:bookmarkStart w:colFirst="0" w:colLast="0" w:name="_heading=h.30j0zll" w:id="1"/>
            <w:bookmarkEnd w:id="1"/>
            <w:r w:rsidDel="00000000" w:rsidR="00000000" w:rsidRPr="00000000">
              <w:rPr>
                <w:rtl w:val="0"/>
              </w:rPr>
            </w:r>
          </w:p>
        </w:tc>
      </w:tr>
    </w:tbl>
    <w:p w:rsidR="00000000" w:rsidDel="00000000" w:rsidP="00000000" w:rsidRDefault="00000000" w:rsidRPr="00000000" w14:paraId="0000016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3">
        <w:r w:rsidDel="00000000" w:rsidR="00000000" w:rsidRPr="00000000">
          <w:rPr>
            <w:rFonts w:ascii="Calibri" w:cs="Calibri" w:eastAsia="Calibri" w:hAnsi="Calibri"/>
            <w:color w:val="0563c1"/>
            <w:sz w:val="22"/>
            <w:szCs w:val="22"/>
            <w:u w:val="single"/>
            <w:rtl w:val="0"/>
          </w:rPr>
          <w:t xml:space="preserve">Attribution-NonCommercial-NoDerivs 3.0 Unported</w:t>
        </w:r>
      </w:hyperlink>
      <w:r w:rsidDel="00000000" w:rsidR="00000000" w:rsidRPr="00000000">
        <w:rPr>
          <w:rFonts w:ascii="Calibri" w:cs="Calibri" w:eastAsia="Calibri" w:hAnsi="Calibri"/>
          <w:sz w:val="22"/>
          <w:szCs w:val="22"/>
          <w:rtl w:val="0"/>
        </w:rPr>
        <w:t xml:space="preserve">” license. This checklist can be completed online using https://www.goodreports.org/, a tool made by the EQUATOR Network in collaboration with Penelope.ai</w:t>
      </w:r>
    </w:p>
    <w:p w:rsidR="00000000" w:rsidDel="00000000" w:rsidP="00000000" w:rsidRDefault="00000000" w:rsidRPr="00000000" w14:paraId="0000016B">
      <w:pPr>
        <w:rPr>
          <w:rFonts w:ascii="Calibri" w:cs="Calibri" w:eastAsia="Calibri" w:hAnsi="Calibri"/>
          <w:sz w:val="22"/>
          <w:szCs w:val="22"/>
        </w:rPr>
      </w:pPr>
      <w:r w:rsidDel="00000000" w:rsidR="00000000" w:rsidRPr="00000000">
        <w:rPr>
          <w:rtl w:val="0"/>
        </w:rPr>
      </w:r>
    </w:p>
    <w:sectPr>
      <w:headerReference r:id="rId64" w:type="first"/>
      <w:pgSz w:h="12240" w:w="15840" w:orient="landscape"/>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Calibri"/>
  <w:font w:name="Arial"/>
  <w:font w:name="Times New Roman"/>
  <w:font w:name="Arial Unicode MS"/>
  <w:font w:name="Tahoma">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Helvetica Neue" w:cs="Helvetica Neue" w:eastAsia="Helvetica Neue" w:hAnsi="Helvetica Neue"/>
        <w:b w:val="0"/>
        <w:i w:val="0"/>
        <w:smallCaps w:val="0"/>
        <w:strike w:val="0"/>
        <w:color w:val="353744"/>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-50799</wp:posOffset>
              </wp:positionH>
              <wp:positionV relativeFrom="paragraph">
                <wp:posOffset>673100</wp:posOffset>
              </wp:positionV>
              <wp:extent cx="6181725" cy="55245"/>
              <wp:effectExtent b="0" l="0" r="0" t="0"/>
              <wp:wrapNone/>
              <wp:docPr id="6" name=""/>
              <a:graphic>
                <a:graphicData uri="http://schemas.microsoft.com/office/word/2010/wordprocessingShape">
                  <wps:wsp>
                    <wps:cNvSpPr/>
                    <wps:cNvPr id="2" name="Shape 2"/>
                    <wps:spPr>
                      <a:xfrm>
                        <a:off x="2259900" y="3757141"/>
                        <a:ext cx="6172200" cy="45719"/>
                      </a:xfrm>
                      <a:prstGeom prst="rect">
                        <a:avLst/>
                      </a:prstGeom>
                      <a:solidFill>
                        <a:srgbClr val="2BB29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-50799</wp:posOffset>
              </wp:positionH>
              <wp:positionV relativeFrom="paragraph">
                <wp:posOffset>673100</wp:posOffset>
              </wp:positionV>
              <wp:extent cx="6181725" cy="55245"/>
              <wp:effectExtent b="0" l="0" r="0" t="0"/>
              <wp:wrapNone/>
              <wp:docPr id="6"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6181725" cy="55245"/>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Helvetica Neue" w:cs="Helvetica Neue" w:eastAsia="Helvetica Neue" w:hAnsi="Helvetica Neue"/>
        <w:color w:val="353744"/>
        <w:sz w:val="24"/>
        <w:szCs w:val="24"/>
        <w:lang w:val="en-US"/>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400" w:before="320" w:line="240" w:lineRule="auto"/>
    </w:pPr>
    <w:rPr>
      <w:color w:val="000000"/>
      <w:sz w:val="48"/>
      <w:szCs w:val="48"/>
    </w:rPr>
  </w:style>
  <w:style w:type="paragraph" w:styleId="Heading2">
    <w:name w:val="heading 2"/>
    <w:basedOn w:val="Normal"/>
    <w:next w:val="Normal"/>
    <w:pPr>
      <w:spacing w:after="200" w:before="300" w:line="240" w:lineRule="auto"/>
    </w:pPr>
    <w:rPr>
      <w:b w:val="1"/>
      <w:color w:val="27a799"/>
      <w:sz w:val="32"/>
      <w:szCs w:val="32"/>
    </w:rPr>
  </w:style>
  <w:style w:type="paragraph" w:styleId="Heading3">
    <w:name w:val="heading 3"/>
    <w:basedOn w:val="Normal"/>
    <w:next w:val="Normal"/>
    <w:pPr/>
    <w:rPr>
      <w:b w:val="1"/>
      <w:color w:val="000000"/>
    </w:rPr>
  </w:style>
  <w:style w:type="paragraph" w:styleId="Heading4">
    <w:name w:val="heading 4"/>
    <w:basedOn w:val="Normal"/>
    <w:next w:val="Normal"/>
    <w:pPr>
      <w:spacing w:before="100" w:lineRule="auto"/>
    </w:pPr>
    <w:rPr>
      <w:sz w:val="32"/>
      <w:szCs w:val="32"/>
    </w:rPr>
  </w:style>
  <w:style w:type="paragraph" w:styleId="Heading5">
    <w:name w:val="heading 5"/>
    <w:basedOn w:val="Normal"/>
    <w:next w:val="Normal"/>
    <w:pPr>
      <w:keepNext w:val="1"/>
      <w:keepLines w:val="1"/>
      <w:spacing w:before="160" w:lineRule="auto"/>
    </w:pPr>
    <w:rPr>
      <w:rFonts w:ascii="Trebuchet MS" w:cs="Trebuchet MS" w:eastAsia="Trebuchet MS" w:hAnsi="Trebuchet MS"/>
      <w:color w:val="666666"/>
    </w:rPr>
  </w:style>
  <w:style w:type="paragraph" w:styleId="Heading6">
    <w:name w:val="heading 6"/>
    <w:basedOn w:val="Normal"/>
    <w:next w:val="Normal"/>
    <w:pPr>
      <w:keepNext w:val="1"/>
      <w:keepLines w:val="1"/>
      <w:spacing w:before="160" w:lineRule="auto"/>
    </w:pPr>
    <w:rPr>
      <w:rFonts w:ascii="Trebuchet MS" w:cs="Trebuchet MS" w:eastAsia="Trebuchet MS" w:hAnsi="Trebuchet MS"/>
      <w:i w:val="1"/>
      <w:color w:val="666666"/>
    </w:rPr>
  </w:style>
  <w:style w:type="paragraph" w:styleId="Title">
    <w:name w:val="Title"/>
    <w:basedOn w:val="Normal"/>
    <w:next w:val="Normal"/>
    <w:pPr>
      <w:spacing w:before="320" w:line="240" w:lineRule="auto"/>
    </w:pPr>
    <w:rPr>
      <w:sz w:val="72"/>
      <w:szCs w:val="72"/>
    </w:rPr>
  </w:style>
  <w:style w:type="paragraph" w:styleId="Normal" w:default="1">
    <w:name w:val="Normal"/>
    <w:pPr>
      <w:spacing w:before="200" w:line="312" w:lineRule="auto"/>
    </w:pPr>
    <w:rPr>
      <w:rFonts w:ascii="Helvetica" w:cs="Proxima Nova" w:eastAsia="Proxima Nova" w:hAnsi="Helvetica"/>
      <w:color w:val="353744"/>
      <w:sz w:val="24"/>
      <w:szCs w:val="24"/>
      <w:lang w:eastAsia="en-US" w:val="en-US"/>
    </w:rPr>
  </w:style>
  <w:style w:type="paragraph" w:styleId="Ttulo1">
    <w:name w:val="heading 1"/>
    <w:basedOn w:val="Ttulo"/>
    <w:next w:val="Normal"/>
    <w:pPr>
      <w:spacing w:after="400"/>
      <w:contextualSpacing w:val="0"/>
      <w:outlineLvl w:val="0"/>
    </w:pPr>
    <w:rPr>
      <w:color w:val="000000" w:themeColor="text1"/>
      <w:sz w:val="48"/>
      <w:szCs w:val="48"/>
    </w:rPr>
  </w:style>
  <w:style w:type="paragraph" w:styleId="Ttulo2">
    <w:name w:val="heading 2"/>
    <w:basedOn w:val="Normal"/>
    <w:next w:val="Normal"/>
    <w:pPr>
      <w:spacing w:after="200" w:before="300" w:line="240" w:lineRule="auto"/>
      <w:contextualSpacing w:val="1"/>
      <w:outlineLvl w:val="1"/>
    </w:pPr>
    <w:rPr>
      <w:b w:val="1"/>
      <w:color w:val="27a799"/>
      <w:sz w:val="32"/>
      <w:szCs w:val="32"/>
    </w:rPr>
  </w:style>
  <w:style w:type="paragraph" w:styleId="Ttulo3">
    <w:name w:val="heading 3"/>
    <w:basedOn w:val="Normal"/>
    <w:next w:val="Normal"/>
    <w:pPr>
      <w:outlineLvl w:val="2"/>
    </w:pPr>
    <w:rPr>
      <w:b w:val="1"/>
      <w:color w:val="auto"/>
    </w:rPr>
  </w:style>
  <w:style w:type="paragraph" w:styleId="Ttulo4">
    <w:name w:val="heading 4"/>
    <w:basedOn w:val="Normal"/>
    <w:next w:val="Normal"/>
    <w:pPr>
      <w:spacing w:before="100"/>
      <w:outlineLvl w:val="3"/>
    </w:pPr>
    <w:rPr>
      <w:sz w:val="32"/>
      <w:szCs w:val="32"/>
    </w:rPr>
  </w:style>
  <w:style w:type="paragraph" w:styleId="Ttulo5">
    <w:name w:val="heading 5"/>
    <w:basedOn w:val="Normal"/>
    <w:next w:val="Normal"/>
    <w:pPr>
      <w:keepNext w:val="1"/>
      <w:keepLines w:val="1"/>
      <w:spacing w:before="160"/>
      <w:contextualSpacing w:val="1"/>
      <w:outlineLvl w:val="4"/>
    </w:pPr>
    <w:rPr>
      <w:rFonts w:ascii="Trebuchet MS" w:cs="Trebuchet MS" w:eastAsia="Trebuchet MS" w:hAnsi="Trebuchet MS"/>
      <w:color w:val="666666"/>
    </w:rPr>
  </w:style>
  <w:style w:type="paragraph" w:styleId="Ttulo6">
    <w:name w:val="heading 6"/>
    <w:basedOn w:val="Normal"/>
    <w:next w:val="Normal"/>
    <w:pPr>
      <w:keepNext w:val="1"/>
      <w:keepLines w:val="1"/>
      <w:spacing w:before="160"/>
      <w:contextualSpacing w:val="1"/>
      <w:outlineLvl w:val="5"/>
    </w:pPr>
    <w:rPr>
      <w:rFonts w:ascii="Trebuchet MS" w:cs="Trebuchet MS" w:eastAsia="Trebuchet MS" w:hAnsi="Trebuchet MS"/>
      <w:i w:val="1"/>
      <w:color w:val="666666"/>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Ttulo">
    <w:name w:val="Title"/>
    <w:basedOn w:val="Normal"/>
    <w:next w:val="Normal"/>
    <w:qFormat w:val="1"/>
    <w:pPr>
      <w:spacing w:before="320" w:line="240" w:lineRule="auto"/>
      <w:contextualSpacing w:val="1"/>
    </w:pPr>
    <w:rPr>
      <w:sz w:val="72"/>
      <w:szCs w:val="72"/>
    </w:rPr>
  </w:style>
  <w:style w:type="paragraph" w:styleId="Textocomentario">
    <w:name w:val="annotation text"/>
    <w:basedOn w:val="Normal"/>
    <w:link w:val="TextocomentarioCar"/>
    <w:uiPriority w:val="99"/>
    <w:semiHidden w:val="1"/>
    <w:unhideWhenUsed w:val="1"/>
    <w:pPr>
      <w:spacing w:line="240" w:lineRule="auto"/>
    </w:pPr>
  </w:style>
  <w:style w:type="paragraph" w:styleId="Textodeglobo">
    <w:name w:val="Balloon Text"/>
    <w:basedOn w:val="Normal"/>
    <w:link w:val="TextodegloboCar"/>
    <w:uiPriority w:val="99"/>
    <w:semiHidden w:val="1"/>
    <w:unhideWhenUsed w:val="1"/>
    <w:pPr>
      <w:spacing w:before="0" w:line="240" w:lineRule="auto"/>
    </w:pPr>
    <w:rPr>
      <w:rFonts w:ascii="Times New Roman" w:cs="Times New Roman" w:hAnsi="Times New Roman"/>
      <w:sz w:val="18"/>
      <w:szCs w:val="18"/>
    </w:rPr>
  </w:style>
  <w:style w:type="paragraph" w:styleId="Piedepgina">
    <w:name w:val="footer"/>
    <w:basedOn w:val="Normal"/>
    <w:link w:val="PiedepginaCar"/>
    <w:uiPriority w:val="99"/>
    <w:unhideWhenUsed w:val="1"/>
    <w:pPr>
      <w:tabs>
        <w:tab w:val="center" w:pos="4513"/>
        <w:tab w:val="right" w:pos="9026"/>
      </w:tabs>
      <w:spacing w:before="0" w:line="240" w:lineRule="auto"/>
    </w:pPr>
  </w:style>
  <w:style w:type="paragraph" w:styleId="Encabezado">
    <w:name w:val="header"/>
    <w:basedOn w:val="Normal"/>
    <w:link w:val="EncabezadoCar"/>
    <w:uiPriority w:val="99"/>
    <w:unhideWhenUsed w:val="1"/>
    <w:pPr>
      <w:tabs>
        <w:tab w:val="center" w:pos="4513"/>
        <w:tab w:val="right" w:pos="9026"/>
      </w:tabs>
      <w:spacing w:before="0" w:line="240" w:lineRule="auto"/>
    </w:pPr>
  </w:style>
  <w:style w:type="paragraph" w:styleId="Subttulo">
    <w:name w:val="Subtitle"/>
    <w:basedOn w:val="Normal"/>
    <w:next w:val="Normal"/>
    <w:qFormat w:val="1"/>
    <w:pPr>
      <w:spacing w:before="0" w:line="240" w:lineRule="auto"/>
      <w:contextualSpacing w:val="1"/>
    </w:pPr>
    <w:rPr>
      <w:color w:val="666666"/>
      <w:sz w:val="26"/>
      <w:szCs w:val="26"/>
    </w:rPr>
  </w:style>
  <w:style w:type="character" w:styleId="Hipervnculovisitado">
    <w:name w:val="FollowedHyperlink"/>
    <w:basedOn w:val="Fuentedeprrafopredeter"/>
    <w:uiPriority w:val="99"/>
    <w:semiHidden w:val="1"/>
    <w:unhideWhenUsed w:val="1"/>
    <w:qFormat w:val="1"/>
    <w:rPr>
      <w:color w:val="954f72" w:themeColor="followedHyperlink"/>
      <w:u w:val="single"/>
    </w:rPr>
  </w:style>
  <w:style w:type="character" w:styleId="Hipervnculo">
    <w:name w:val="Hyperlink"/>
    <w:basedOn w:val="Fuentedeprrafopredeter"/>
    <w:uiPriority w:val="99"/>
    <w:unhideWhenUsed w:val="1"/>
    <w:qFormat w:val="1"/>
    <w:rPr>
      <w:color w:val="0563c1" w:themeColor="hyperlink"/>
      <w:u w:val="single"/>
    </w:rPr>
  </w:style>
  <w:style w:type="character" w:styleId="Refdecomentario">
    <w:name w:val="annotation reference"/>
    <w:basedOn w:val="Fuentedeprrafopredeter"/>
    <w:uiPriority w:val="99"/>
    <w:semiHidden w:val="1"/>
    <w:unhideWhenUsed w:val="1"/>
    <w:qFormat w:val="1"/>
    <w:rPr>
      <w:sz w:val="18"/>
      <w:szCs w:val="18"/>
    </w:rPr>
  </w:style>
  <w:style w:type="table" w:styleId="1" w:customStyle="1">
    <w:name w:val="1"/>
    <w:basedOn w:val="Tablanormal"/>
    <w:qFormat w:val="1"/>
    <w:tblPr/>
  </w:style>
  <w:style w:type="character" w:styleId="TextocomentarioCar" w:customStyle="1">
    <w:name w:val="Texto comentario Car"/>
    <w:basedOn w:val="Fuentedeprrafopredeter"/>
    <w:link w:val="Textocomentario"/>
    <w:uiPriority w:val="99"/>
    <w:semiHidden w:val="1"/>
    <w:qFormat w:val="1"/>
    <w:rPr>
      <w:sz w:val="24"/>
      <w:szCs w:val="24"/>
    </w:rPr>
  </w:style>
  <w:style w:type="character" w:styleId="TextodegloboCar" w:customStyle="1">
    <w:name w:val="Texto de globo Car"/>
    <w:basedOn w:val="Fuentedeprrafopredeter"/>
    <w:link w:val="Textodeglobo"/>
    <w:uiPriority w:val="99"/>
    <w:semiHidden w:val="1"/>
    <w:rPr>
      <w:rFonts w:ascii="Times New Roman" w:cs="Times New Roman" w:hAnsi="Times New Roman"/>
      <w:sz w:val="18"/>
      <w:szCs w:val="18"/>
    </w:rPr>
  </w:style>
  <w:style w:type="character" w:styleId="EncabezadoCar" w:customStyle="1">
    <w:name w:val="Encabezado Car"/>
    <w:basedOn w:val="Fuentedeprrafopredeter"/>
    <w:link w:val="Encabezado"/>
    <w:uiPriority w:val="99"/>
    <w:qFormat w:val="1"/>
  </w:style>
  <w:style w:type="character" w:styleId="PiedepginaCar" w:customStyle="1">
    <w:name w:val="Pie de página Car"/>
    <w:basedOn w:val="Fuentedeprrafopredeter"/>
    <w:link w:val="Piedepgina"/>
    <w:uiPriority w:val="99"/>
    <w:qFormat w:val="1"/>
  </w:style>
  <w:style w:type="paragraph" w:styleId="SourceCode" w:customStyle="1">
    <w:name w:val="Source Code"/>
    <w:basedOn w:val="Normal"/>
    <w:qFormat w:val="1"/>
    <w:pPr>
      <w:wordWrap w:val="0"/>
    </w:pPr>
  </w:style>
  <w:style w:type="character" w:styleId="KeywordTok" w:customStyle="1">
    <w:name w:val="KeywordTok"/>
    <w:qFormat w:val="1"/>
    <w:rPr>
      <w:b w:val="1"/>
      <w:color w:val="007020"/>
    </w:rPr>
  </w:style>
  <w:style w:type="character" w:styleId="DataTypeTok" w:customStyle="1">
    <w:name w:val="DataTypeTok"/>
    <w:rPr>
      <w:color w:val="902000"/>
    </w:rPr>
  </w:style>
  <w:style w:type="character" w:styleId="DecValTok" w:customStyle="1">
    <w:name w:val="DecValTok"/>
    <w:qFormat w:val="1"/>
    <w:rPr>
      <w:color w:val="40a070"/>
    </w:rPr>
  </w:style>
  <w:style w:type="character" w:styleId="BaseNTok" w:customStyle="1">
    <w:name w:val="BaseNTok"/>
    <w:qFormat w:val="1"/>
    <w:rPr>
      <w:color w:val="40a070"/>
    </w:rPr>
  </w:style>
  <w:style w:type="character" w:styleId="FloatTok" w:customStyle="1">
    <w:name w:val="FloatTok"/>
    <w:qFormat w:val="1"/>
    <w:rPr>
      <w:color w:val="40a070"/>
    </w:rPr>
  </w:style>
  <w:style w:type="character" w:styleId="ConstantTok" w:customStyle="1">
    <w:name w:val="ConstantTok"/>
    <w:qFormat w:val="1"/>
    <w:rPr>
      <w:color w:val="880000"/>
    </w:rPr>
  </w:style>
  <w:style w:type="character" w:styleId="CharTok" w:customStyle="1">
    <w:name w:val="CharTok"/>
    <w:qFormat w:val="1"/>
    <w:rPr>
      <w:color w:val="4070a0"/>
    </w:rPr>
  </w:style>
  <w:style w:type="character" w:styleId="SpecialCharTok" w:customStyle="1">
    <w:name w:val="SpecialCharTok"/>
    <w:qFormat w:val="1"/>
    <w:rPr>
      <w:color w:val="4070a0"/>
    </w:rPr>
  </w:style>
  <w:style w:type="character" w:styleId="StringTok" w:customStyle="1">
    <w:name w:val="StringTok"/>
    <w:qFormat w:val="1"/>
    <w:rPr>
      <w:color w:val="4070a0"/>
    </w:rPr>
  </w:style>
  <w:style w:type="character" w:styleId="VerbatimStringTok" w:customStyle="1">
    <w:name w:val="VerbatimStringTok"/>
    <w:qFormat w:val="1"/>
    <w:rPr>
      <w:color w:val="4070a0"/>
    </w:rPr>
  </w:style>
  <w:style w:type="character" w:styleId="SpecialStringTok" w:customStyle="1">
    <w:name w:val="SpecialStringTok"/>
    <w:qFormat w:val="1"/>
    <w:rPr>
      <w:color w:val="bb6688"/>
    </w:rPr>
  </w:style>
  <w:style w:type="character" w:styleId="ImportTok" w:customStyle="1">
    <w:name w:val="ImportTok"/>
    <w:qFormat w:val="1"/>
  </w:style>
  <w:style w:type="character" w:styleId="CommentTok" w:customStyle="1">
    <w:name w:val="CommentTok"/>
    <w:qFormat w:val="1"/>
    <w:rPr>
      <w:i w:val="1"/>
      <w:color w:val="60a0b0"/>
    </w:rPr>
  </w:style>
  <w:style w:type="character" w:styleId="DocumentationTok" w:customStyle="1">
    <w:name w:val="DocumentationTok"/>
    <w:qFormat w:val="1"/>
    <w:rPr>
      <w:i w:val="1"/>
      <w:color w:val="ba2121"/>
    </w:rPr>
  </w:style>
  <w:style w:type="character" w:styleId="AnnotationTok" w:customStyle="1">
    <w:name w:val="AnnotationTok"/>
    <w:qFormat w:val="1"/>
    <w:rPr>
      <w:b w:val="1"/>
      <w:i w:val="1"/>
      <w:color w:val="60a0b0"/>
    </w:rPr>
  </w:style>
  <w:style w:type="character" w:styleId="CommentVarTok" w:customStyle="1">
    <w:name w:val="CommentVarTok"/>
    <w:qFormat w:val="1"/>
    <w:rPr>
      <w:b w:val="1"/>
      <w:i w:val="1"/>
      <w:color w:val="60a0b0"/>
    </w:rPr>
  </w:style>
  <w:style w:type="character" w:styleId="OtherTok" w:customStyle="1">
    <w:name w:val="OtherTok"/>
    <w:qFormat w:val="1"/>
    <w:rPr>
      <w:color w:val="007020"/>
    </w:rPr>
  </w:style>
  <w:style w:type="character" w:styleId="FunctionTok" w:customStyle="1">
    <w:name w:val="FunctionTok"/>
    <w:qFormat w:val="1"/>
    <w:rPr>
      <w:color w:val="06287e"/>
    </w:rPr>
  </w:style>
  <w:style w:type="character" w:styleId="VariableTok" w:customStyle="1">
    <w:name w:val="VariableTok"/>
    <w:qFormat w:val="1"/>
    <w:rPr>
      <w:color w:val="19177c"/>
    </w:rPr>
  </w:style>
  <w:style w:type="character" w:styleId="ControlFlowTok" w:customStyle="1">
    <w:name w:val="ControlFlowTok"/>
    <w:qFormat w:val="1"/>
    <w:rPr>
      <w:b w:val="1"/>
      <w:color w:val="007020"/>
    </w:rPr>
  </w:style>
  <w:style w:type="character" w:styleId="OperatorTok" w:customStyle="1">
    <w:name w:val="OperatorTok"/>
    <w:qFormat w:val="1"/>
    <w:rPr>
      <w:color w:val="666666"/>
    </w:rPr>
  </w:style>
  <w:style w:type="character" w:styleId="BuiltInTok" w:customStyle="1">
    <w:name w:val="BuiltInTok"/>
    <w:qFormat w:val="1"/>
  </w:style>
  <w:style w:type="character" w:styleId="ExtensionTok" w:customStyle="1">
    <w:name w:val="ExtensionTok"/>
    <w:qFormat w:val="1"/>
  </w:style>
  <w:style w:type="character" w:styleId="PreprocessorTok" w:customStyle="1">
    <w:name w:val="PreprocessorTok"/>
    <w:qFormat w:val="1"/>
    <w:rPr>
      <w:color w:val="bc7a00"/>
    </w:rPr>
  </w:style>
  <w:style w:type="character" w:styleId="AttributeTok" w:customStyle="1">
    <w:name w:val="AttributeTok"/>
    <w:qFormat w:val="1"/>
    <w:rPr>
      <w:color w:val="7d9029"/>
    </w:rPr>
  </w:style>
  <w:style w:type="character" w:styleId="RegionMarkerTok" w:customStyle="1">
    <w:name w:val="RegionMarkerTok"/>
    <w:qFormat w:val="1"/>
  </w:style>
  <w:style w:type="character" w:styleId="InformationTok" w:customStyle="1">
    <w:name w:val="InformationTok"/>
    <w:qFormat w:val="1"/>
    <w:rPr>
      <w:b w:val="1"/>
      <w:i w:val="1"/>
      <w:color w:val="60a0b0"/>
    </w:rPr>
  </w:style>
  <w:style w:type="character" w:styleId="WarningTok" w:customStyle="1">
    <w:name w:val="WarningTok"/>
    <w:qFormat w:val="1"/>
    <w:rPr>
      <w:b w:val="1"/>
      <w:i w:val="1"/>
      <w:color w:val="60a0b0"/>
    </w:rPr>
  </w:style>
  <w:style w:type="character" w:styleId="AlertTok" w:customStyle="1">
    <w:name w:val="AlertTok"/>
    <w:qFormat w:val="1"/>
    <w:rPr>
      <w:b w:val="1"/>
      <w:color w:val="ff0000"/>
    </w:rPr>
  </w:style>
  <w:style w:type="character" w:styleId="ErrorTok" w:customStyle="1">
    <w:name w:val="ErrorTok"/>
    <w:qFormat w:val="1"/>
    <w:rPr>
      <w:b w:val="1"/>
      <w:color w:val="ff0000"/>
    </w:rPr>
  </w:style>
  <w:style w:type="character" w:styleId="NormalTok" w:customStyle="1">
    <w:name w:val="NormalTok"/>
    <w:qFormat w:val="1"/>
  </w:style>
  <w:style w:type="character" w:styleId="fontstyle01" w:customStyle="1">
    <w:name w:val="fontstyle01"/>
    <w:basedOn w:val="Fuentedeprrafopredeter"/>
    <w:qFormat w:val="1"/>
    <w:rPr>
      <w:rFonts w:ascii="TimesNewRomanPSMT" w:hAnsi="TimesNewRomanPSMT" w:hint="default"/>
      <w:color w:val="000000"/>
      <w:sz w:val="22"/>
      <w:szCs w:val="22"/>
    </w:rPr>
  </w:style>
  <w:style w:type="paragraph" w:styleId="NormalWeb">
    <w:name w:val="Normal (Web)"/>
    <w:basedOn w:val="Normal"/>
    <w:uiPriority w:val="99"/>
    <w:semiHidden w:val="1"/>
    <w:unhideWhenUsed w:val="1"/>
    <w:rsid w:val="0096682A"/>
    <w:pPr>
      <w:spacing w:after="100" w:afterAutospacing="1" w:before="100" w:beforeAutospacing="1" w:line="240" w:lineRule="auto"/>
    </w:pPr>
    <w:rPr>
      <w:rFonts w:ascii="Times New Roman" w:cs="Times New Roman" w:eastAsia="Times New Roman" w:hAnsi="Times New Roman"/>
      <w:color w:val="auto"/>
      <w:lang w:eastAsia="es-ES" w:val="es-ES"/>
    </w:rPr>
  </w:style>
  <w:style w:type="character" w:styleId="apple-tab-span" w:customStyle="1">
    <w:name w:val="apple-tab-span"/>
    <w:basedOn w:val="Fuentedeprrafopredeter"/>
    <w:rsid w:val="0096682A"/>
  </w:style>
  <w:style w:type="paragraph" w:styleId="Subtitle">
    <w:name w:val="Subtitle"/>
    <w:basedOn w:val="Normal"/>
    <w:next w:val="Normal"/>
    <w:pPr>
      <w:spacing w:before="0" w:line="240" w:lineRule="auto"/>
    </w:pPr>
    <w:rPr>
      <w:color w:val="666666"/>
      <w:sz w:val="26"/>
      <w:szCs w:val="26"/>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goodreports.org/reporting-checklists/spirit/info/#20b" TargetMode="External"/><Relationship Id="rId42" Type="http://schemas.openxmlformats.org/officeDocument/2006/relationships/hyperlink" Target="https://www.goodreports.org/reporting-checklists/spirit/info/#21a" TargetMode="External"/><Relationship Id="rId41" Type="http://schemas.openxmlformats.org/officeDocument/2006/relationships/hyperlink" Target="https://www.goodreports.org/reporting-checklists/spirit/info/#20c" TargetMode="External"/><Relationship Id="rId44" Type="http://schemas.openxmlformats.org/officeDocument/2006/relationships/hyperlink" Target="https://www.goodreports.org/reporting-checklists/spirit/info/#22" TargetMode="External"/><Relationship Id="rId43" Type="http://schemas.openxmlformats.org/officeDocument/2006/relationships/hyperlink" Target="https://www.goodreports.org/reporting-checklists/spirit/info/#21b" TargetMode="External"/><Relationship Id="rId46" Type="http://schemas.openxmlformats.org/officeDocument/2006/relationships/hyperlink" Target="https://www.goodreports.org/reporting-checklists/spirit/info/#24" TargetMode="External"/><Relationship Id="rId45" Type="http://schemas.openxmlformats.org/officeDocument/2006/relationships/hyperlink" Target="https://www.goodreports.org/reporting-checklists/spirit/info/#2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oodreports.org/reporting-checklists/spirit/info/#2a" TargetMode="External"/><Relationship Id="rId48" Type="http://schemas.openxmlformats.org/officeDocument/2006/relationships/hyperlink" Target="https://www.goodreports.org/reporting-checklists/spirit/info/#26a" TargetMode="External"/><Relationship Id="rId47" Type="http://schemas.openxmlformats.org/officeDocument/2006/relationships/hyperlink" Target="https://www.goodreports.org/reporting-checklists/spirit/info/#25" TargetMode="External"/><Relationship Id="rId49" Type="http://schemas.openxmlformats.org/officeDocument/2006/relationships/hyperlink" Target="https://www.goodreports.org/reporting-checklists/spirit/info/#26b"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spirit-statement.org/schedule-of-enrolment-interventions-and-assessments/" TargetMode="External"/><Relationship Id="rId8" Type="http://schemas.openxmlformats.org/officeDocument/2006/relationships/hyperlink" Target="https://www.goodreports.org/reporting-checklists/spirit/info/#1" TargetMode="External"/><Relationship Id="rId31" Type="http://schemas.openxmlformats.org/officeDocument/2006/relationships/hyperlink" Target="https://www.goodreports.org/reporting-checklists/spirit/info/#16a" TargetMode="External"/><Relationship Id="rId30" Type="http://schemas.openxmlformats.org/officeDocument/2006/relationships/hyperlink" Target="https://www.goodreports.org/reporting-checklists/spirit/info/#15" TargetMode="External"/><Relationship Id="rId33" Type="http://schemas.openxmlformats.org/officeDocument/2006/relationships/hyperlink" Target="https://www.goodreports.org/reporting-checklists/spirit/info/#16c" TargetMode="External"/><Relationship Id="rId32" Type="http://schemas.openxmlformats.org/officeDocument/2006/relationships/hyperlink" Target="https://www.goodreports.org/reporting-checklists/spirit/info/#16b" TargetMode="External"/><Relationship Id="rId35" Type="http://schemas.openxmlformats.org/officeDocument/2006/relationships/hyperlink" Target="https://www.goodreports.org/reporting-checklists/spirit/info/#17b" TargetMode="External"/><Relationship Id="rId34" Type="http://schemas.openxmlformats.org/officeDocument/2006/relationships/hyperlink" Target="https://www.goodreports.org/reporting-checklists/spirit/info/#17a" TargetMode="External"/><Relationship Id="rId37" Type="http://schemas.openxmlformats.org/officeDocument/2006/relationships/hyperlink" Target="https://www.goodreports.org/reporting-checklists/spirit/info/#18b" TargetMode="External"/><Relationship Id="rId36" Type="http://schemas.openxmlformats.org/officeDocument/2006/relationships/hyperlink" Target="https://www.goodreports.org/reporting-checklists/spirit/info/#18a" TargetMode="External"/><Relationship Id="rId39" Type="http://schemas.openxmlformats.org/officeDocument/2006/relationships/hyperlink" Target="https://www.goodreports.org/reporting-checklists/spirit/info/#20a" TargetMode="External"/><Relationship Id="rId38" Type="http://schemas.openxmlformats.org/officeDocument/2006/relationships/hyperlink" Target="https://www.goodreports.org/reporting-checklists/spirit/info/#19" TargetMode="External"/><Relationship Id="rId62" Type="http://schemas.openxmlformats.org/officeDocument/2006/relationships/image" Target="media/image2.jpg"/><Relationship Id="rId61" Type="http://schemas.openxmlformats.org/officeDocument/2006/relationships/image" Target="media/image4.jpg"/><Relationship Id="rId20" Type="http://schemas.openxmlformats.org/officeDocument/2006/relationships/hyperlink" Target="https://www.goodreports.org/reporting-checklists/spirit/info/#8" TargetMode="External"/><Relationship Id="rId64" Type="http://schemas.openxmlformats.org/officeDocument/2006/relationships/header" Target="header1.xml"/><Relationship Id="rId63" Type="http://schemas.openxmlformats.org/officeDocument/2006/relationships/hyperlink" Target="http://www.creativecommons.org/licenses/by-nc-nd/3.0/" TargetMode="External"/><Relationship Id="rId22" Type="http://schemas.openxmlformats.org/officeDocument/2006/relationships/hyperlink" Target="https://www.goodreports.org/reporting-checklists/spirit/info/#10" TargetMode="External"/><Relationship Id="rId21" Type="http://schemas.openxmlformats.org/officeDocument/2006/relationships/hyperlink" Target="https://www.goodreports.org/reporting-checklists/spirit/info/#9" TargetMode="External"/><Relationship Id="rId24" Type="http://schemas.openxmlformats.org/officeDocument/2006/relationships/hyperlink" Target="https://www.goodreports.org/reporting-checklists/spirit/info/#11b" TargetMode="External"/><Relationship Id="rId23" Type="http://schemas.openxmlformats.org/officeDocument/2006/relationships/hyperlink" Target="https://www.goodreports.org/reporting-checklists/spirit/info/#11a" TargetMode="External"/><Relationship Id="rId60" Type="http://schemas.openxmlformats.org/officeDocument/2006/relationships/hyperlink" Target="https://www.goodreports.org/reporting-checklists/spirit/info/#33" TargetMode="External"/><Relationship Id="rId26" Type="http://schemas.openxmlformats.org/officeDocument/2006/relationships/hyperlink" Target="https://www.goodreports.org/reporting-checklists/spirit/info/#11d" TargetMode="External"/><Relationship Id="rId25" Type="http://schemas.openxmlformats.org/officeDocument/2006/relationships/hyperlink" Target="https://www.goodreports.org/reporting-checklists/spirit/info/#11c" TargetMode="External"/><Relationship Id="rId28" Type="http://schemas.openxmlformats.org/officeDocument/2006/relationships/hyperlink" Target="https://www.goodreports.org/reporting-checklists/spirit/info/#13" TargetMode="External"/><Relationship Id="rId27" Type="http://schemas.openxmlformats.org/officeDocument/2006/relationships/hyperlink" Target="https://www.goodreports.org/reporting-checklists/spirit/info/#12" TargetMode="External"/><Relationship Id="rId29" Type="http://schemas.openxmlformats.org/officeDocument/2006/relationships/hyperlink" Target="https://www.goodreports.org/reporting-checklists/spirit/info/#14" TargetMode="External"/><Relationship Id="rId51" Type="http://schemas.openxmlformats.org/officeDocument/2006/relationships/hyperlink" Target="https://www.goodreports.org/reporting-checklists/spirit/info/#28" TargetMode="External"/><Relationship Id="rId50" Type="http://schemas.openxmlformats.org/officeDocument/2006/relationships/hyperlink" Target="https://www.goodreports.org/reporting-checklists/spirit/info/#27" TargetMode="External"/><Relationship Id="rId53" Type="http://schemas.openxmlformats.org/officeDocument/2006/relationships/hyperlink" Target="https://www.goodreports.org/reporting-checklists/spirit/info/#30" TargetMode="External"/><Relationship Id="rId52" Type="http://schemas.openxmlformats.org/officeDocument/2006/relationships/hyperlink" Target="https://www.goodreports.org/reporting-checklists/spirit/info/#29" TargetMode="External"/><Relationship Id="rId11" Type="http://schemas.openxmlformats.org/officeDocument/2006/relationships/hyperlink" Target="https://www.goodreports.org/reporting-checklists/spirit/info/#3" TargetMode="External"/><Relationship Id="rId55" Type="http://schemas.openxmlformats.org/officeDocument/2006/relationships/hyperlink" Target="https://www.goodreports.org/reporting-checklists/spirit/info/#31b" TargetMode="External"/><Relationship Id="rId10" Type="http://schemas.openxmlformats.org/officeDocument/2006/relationships/hyperlink" Target="https://www.goodreports.org/reporting-checklists/spirit/info/#2b" TargetMode="External"/><Relationship Id="rId54" Type="http://schemas.openxmlformats.org/officeDocument/2006/relationships/hyperlink" Target="https://www.goodreports.org/reporting-checklists/spirit/info/#31a" TargetMode="External"/><Relationship Id="rId13" Type="http://schemas.openxmlformats.org/officeDocument/2006/relationships/hyperlink" Target="https://www.goodreports.org/reporting-checklists/spirit/info/#5a" TargetMode="External"/><Relationship Id="rId57" Type="http://schemas.openxmlformats.org/officeDocument/2006/relationships/hyperlink" Target="https://www.goodreports.org/reporting-checklists/spirit/info/#32" TargetMode="External"/><Relationship Id="rId12" Type="http://schemas.openxmlformats.org/officeDocument/2006/relationships/hyperlink" Target="https://www.goodreports.org/reporting-checklists/spirit/info/#4" TargetMode="External"/><Relationship Id="rId56" Type="http://schemas.openxmlformats.org/officeDocument/2006/relationships/hyperlink" Target="https://www.goodreports.org/reporting-checklists/spirit/info/#31c" TargetMode="External"/><Relationship Id="rId15" Type="http://schemas.openxmlformats.org/officeDocument/2006/relationships/hyperlink" Target="https://www.goodreports.org/reporting-checklists/spirit/info/#5c" TargetMode="External"/><Relationship Id="rId59" Type="http://schemas.openxmlformats.org/officeDocument/2006/relationships/image" Target="media/image1.jpg"/><Relationship Id="rId14" Type="http://schemas.openxmlformats.org/officeDocument/2006/relationships/hyperlink" Target="https://www.goodreports.org/reporting-checklists/spirit/info/#5b" TargetMode="External"/><Relationship Id="rId58" Type="http://schemas.openxmlformats.org/officeDocument/2006/relationships/image" Target="media/image3.jpg"/><Relationship Id="rId17" Type="http://schemas.openxmlformats.org/officeDocument/2006/relationships/hyperlink" Target="https://www.goodreports.org/reporting-checklists/spirit/info/#6a" TargetMode="External"/><Relationship Id="rId16" Type="http://schemas.openxmlformats.org/officeDocument/2006/relationships/hyperlink" Target="https://www.goodreports.org/reporting-checklists/spirit/info/#5d" TargetMode="External"/><Relationship Id="rId19" Type="http://schemas.openxmlformats.org/officeDocument/2006/relationships/hyperlink" Target="https://www.goodreports.org/reporting-checklists/spirit/info/#7" TargetMode="External"/><Relationship Id="rId18" Type="http://schemas.openxmlformats.org/officeDocument/2006/relationships/hyperlink" Target="https://www.goodreports.org/reporting-checklists/spirit/info/#6b"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zeH3gxNMcpWufgUSSZsYezrnUGg==">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E782CB4722DC4B2F853ECA9148A9AE5B</vt:lpwstr>
  </property>
</Properties>
</file>