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62" w:rsidRPr="00D8323E" w:rsidRDefault="00C61E62" w:rsidP="00C61E62">
      <w:pPr>
        <w:rPr>
          <w:rFonts w:ascii="Helvetica" w:hAnsi="Helvetica" w:cs="Helvetica"/>
          <w:b/>
          <w:sz w:val="36"/>
          <w:lang w:val="en-GB"/>
        </w:rPr>
      </w:pPr>
      <w:r w:rsidRPr="00D8323E">
        <w:rPr>
          <w:rFonts w:ascii="Helvetica" w:hAnsi="Helvetica" w:cs="Helvetica"/>
          <w:b/>
          <w:sz w:val="36"/>
          <w:lang w:val="en-GB"/>
        </w:rPr>
        <w:t>Online Data Supplement</w:t>
      </w:r>
    </w:p>
    <w:p w:rsidR="00C61E62" w:rsidRDefault="00C61E62" w:rsidP="00C61E62">
      <w:pPr>
        <w:spacing w:before="20" w:after="20" w:line="480" w:lineRule="auto"/>
        <w:jc w:val="both"/>
        <w:rPr>
          <w:rFonts w:ascii="Helvetica" w:hAnsi="Helvetica" w:cs="Helvetica"/>
          <w:b/>
          <w:sz w:val="22"/>
          <w:szCs w:val="22"/>
        </w:rPr>
      </w:pPr>
    </w:p>
    <w:p w:rsidR="00D8323E" w:rsidRDefault="00D8323E" w:rsidP="00D8323E">
      <w:pPr>
        <w:spacing w:line="480" w:lineRule="auto"/>
        <w:jc w:val="both"/>
        <w:rPr>
          <w:rFonts w:ascii="Helvetica" w:hAnsi="Helvetica" w:cs="Helvetica"/>
          <w:b/>
          <w:lang w:val="en-GB"/>
        </w:rPr>
      </w:pPr>
    </w:p>
    <w:p w:rsidR="00B46549" w:rsidRDefault="00D8323E" w:rsidP="00B46549">
      <w:pPr>
        <w:spacing w:line="480" w:lineRule="auto"/>
        <w:jc w:val="both"/>
        <w:rPr>
          <w:rFonts w:ascii="Arial" w:hAnsi="Arial" w:cs="Arial"/>
          <w:b/>
          <w:sz w:val="22"/>
          <w:szCs w:val="22"/>
        </w:rPr>
      </w:pPr>
      <w:r w:rsidRPr="00D8323E">
        <w:rPr>
          <w:rFonts w:ascii="Helvetica" w:hAnsi="Helvetica" w:cs="Helvetica"/>
          <w:b/>
          <w:lang w:val="en-GB"/>
        </w:rPr>
        <w:t xml:space="preserve">Manuscript Title: </w:t>
      </w:r>
      <w:r w:rsidR="00B46549" w:rsidRPr="00B46549">
        <w:rPr>
          <w:rFonts w:ascii="Arial" w:hAnsi="Arial" w:cs="Arial"/>
          <w:szCs w:val="22"/>
        </w:rPr>
        <w:t>The diagnostic accuracy of lung ultrasound to determine PiCCO-derived extravascular lung water in invasively ventilated patients with COVID-19 ARDS</w:t>
      </w:r>
    </w:p>
    <w:p w:rsidR="00D8323E" w:rsidRPr="00D8323E" w:rsidRDefault="00D8323E" w:rsidP="00D8323E">
      <w:pPr>
        <w:spacing w:line="480" w:lineRule="auto"/>
        <w:jc w:val="both"/>
        <w:rPr>
          <w:rFonts w:ascii="Helvetica" w:hAnsi="Helvetica" w:cs="Helvetica"/>
          <w:b/>
        </w:rPr>
      </w:pPr>
    </w:p>
    <w:p w:rsidR="00D8323E" w:rsidRPr="00D8323E" w:rsidRDefault="00D8323E" w:rsidP="00C61E62">
      <w:pPr>
        <w:spacing w:before="20" w:after="20" w:line="480" w:lineRule="auto"/>
        <w:jc w:val="both"/>
        <w:rPr>
          <w:rFonts w:ascii="Helvetica" w:hAnsi="Helvetica" w:cs="Helvetica"/>
          <w:b/>
          <w:sz w:val="22"/>
          <w:szCs w:val="22"/>
          <w:lang w:val="en-GB"/>
        </w:rPr>
      </w:pPr>
    </w:p>
    <w:sdt>
      <w:sdtPr>
        <w:rPr>
          <w:rFonts w:ascii="Helvetica" w:eastAsiaTheme="minorHAnsi" w:hAnsi="Helvetica" w:cs="Helvetica"/>
          <w:b/>
          <w:color w:val="auto"/>
          <w:sz w:val="28"/>
          <w:szCs w:val="24"/>
          <w:lang w:val="en-US" w:eastAsia="en-US"/>
        </w:rPr>
        <w:id w:val="1957979806"/>
        <w:docPartObj>
          <w:docPartGallery w:val="Table of Contents"/>
          <w:docPartUnique/>
        </w:docPartObj>
      </w:sdtPr>
      <w:sdtEndPr>
        <w:rPr>
          <w:bCs/>
          <w:sz w:val="24"/>
        </w:rPr>
      </w:sdtEndPr>
      <w:sdtContent>
        <w:p w:rsidR="00D8323E" w:rsidRPr="00D8323E" w:rsidRDefault="00D8323E">
          <w:pPr>
            <w:pStyle w:val="Kopvaninhoudsopgave"/>
            <w:rPr>
              <w:rFonts w:ascii="Helvetica" w:hAnsi="Helvetica" w:cs="Helvetica"/>
              <w:b/>
              <w:color w:val="auto"/>
              <w:sz w:val="24"/>
              <w:lang w:val="en-US"/>
            </w:rPr>
          </w:pPr>
          <w:r w:rsidRPr="00D8323E">
            <w:rPr>
              <w:rFonts w:ascii="Helvetica" w:hAnsi="Helvetica" w:cs="Helvetica"/>
              <w:b/>
              <w:color w:val="auto"/>
              <w:sz w:val="24"/>
              <w:lang w:val="en-US"/>
            </w:rPr>
            <w:t>Table of contents</w:t>
          </w:r>
        </w:p>
        <w:p w:rsidR="00D8323E" w:rsidRPr="00D8323E" w:rsidRDefault="00D8323E" w:rsidP="00D8323E">
          <w:pPr>
            <w:rPr>
              <w:rFonts w:ascii="Helvetica" w:hAnsi="Helvetica" w:cs="Helvetica"/>
              <w:lang w:eastAsia="nl-NL"/>
            </w:rPr>
          </w:pPr>
          <w:bookmarkStart w:id="0" w:name="_GoBack"/>
          <w:bookmarkEnd w:id="0"/>
        </w:p>
        <w:p w:rsidR="007B7150" w:rsidRDefault="00D8323E">
          <w:pPr>
            <w:pStyle w:val="Inhopg1"/>
            <w:tabs>
              <w:tab w:val="right" w:leader="dot" w:pos="9010"/>
            </w:tabs>
            <w:rPr>
              <w:rFonts w:eastAsiaTheme="minorEastAsia"/>
              <w:noProof/>
              <w:sz w:val="22"/>
              <w:szCs w:val="22"/>
              <w:lang w:val="nl-NL" w:eastAsia="nl-NL"/>
            </w:rPr>
          </w:pPr>
          <w:r w:rsidRPr="00D8323E">
            <w:rPr>
              <w:rFonts w:ascii="Helvetica" w:hAnsi="Helvetica" w:cs="Helvetica"/>
            </w:rPr>
            <w:fldChar w:fldCharType="begin"/>
          </w:r>
          <w:r w:rsidRPr="00D8323E">
            <w:rPr>
              <w:rFonts w:ascii="Helvetica" w:hAnsi="Helvetica" w:cs="Helvetica"/>
            </w:rPr>
            <w:instrText xml:space="preserve"> TOC \o "1-3" \h \z \u </w:instrText>
          </w:r>
          <w:r w:rsidRPr="00D8323E">
            <w:rPr>
              <w:rFonts w:ascii="Helvetica" w:hAnsi="Helvetica" w:cs="Helvetica"/>
            </w:rPr>
            <w:fldChar w:fldCharType="separate"/>
          </w:r>
          <w:hyperlink w:anchor="_Toc128578328" w:history="1">
            <w:r w:rsidR="007B7150" w:rsidRPr="00641AFB">
              <w:rPr>
                <w:rStyle w:val="Hyperlink"/>
                <w:rFonts w:ascii="Helvetica" w:hAnsi="Helvetica" w:cs="Helvetica"/>
                <w:b/>
                <w:noProof/>
              </w:rPr>
              <w:t xml:space="preserve">Online Supplement A: </w:t>
            </w:r>
            <w:r w:rsidR="007B7150" w:rsidRPr="00641AFB">
              <w:rPr>
                <w:rStyle w:val="Hyperlink"/>
                <w:rFonts w:ascii="Helvetica" w:hAnsi="Helvetica" w:cs="Helvetica"/>
                <w:noProof/>
              </w:rPr>
              <w:t>Exclusion criteria INVENT COVID trial</w:t>
            </w:r>
            <w:r w:rsidR="007B7150">
              <w:rPr>
                <w:noProof/>
                <w:webHidden/>
              </w:rPr>
              <w:tab/>
            </w:r>
            <w:r w:rsidR="007B7150">
              <w:rPr>
                <w:noProof/>
                <w:webHidden/>
              </w:rPr>
              <w:fldChar w:fldCharType="begin"/>
            </w:r>
            <w:r w:rsidR="007B7150">
              <w:rPr>
                <w:noProof/>
                <w:webHidden/>
              </w:rPr>
              <w:instrText xml:space="preserve"> PAGEREF _Toc128578328 \h </w:instrText>
            </w:r>
            <w:r w:rsidR="007B7150">
              <w:rPr>
                <w:noProof/>
                <w:webHidden/>
              </w:rPr>
            </w:r>
            <w:r w:rsidR="007B7150">
              <w:rPr>
                <w:noProof/>
                <w:webHidden/>
              </w:rPr>
              <w:fldChar w:fldCharType="separate"/>
            </w:r>
            <w:r w:rsidR="007B7150">
              <w:rPr>
                <w:noProof/>
                <w:webHidden/>
              </w:rPr>
              <w:t>1</w:t>
            </w:r>
            <w:r w:rsidR="007B7150">
              <w:rPr>
                <w:noProof/>
                <w:webHidden/>
              </w:rPr>
              <w:fldChar w:fldCharType="end"/>
            </w:r>
          </w:hyperlink>
        </w:p>
        <w:p w:rsidR="007B7150" w:rsidRDefault="00B46549">
          <w:pPr>
            <w:pStyle w:val="Inhopg1"/>
            <w:tabs>
              <w:tab w:val="right" w:leader="dot" w:pos="9010"/>
            </w:tabs>
            <w:rPr>
              <w:rFonts w:eastAsiaTheme="minorEastAsia"/>
              <w:noProof/>
              <w:sz w:val="22"/>
              <w:szCs w:val="22"/>
              <w:lang w:val="nl-NL" w:eastAsia="nl-NL"/>
            </w:rPr>
          </w:pPr>
          <w:hyperlink w:anchor="_Toc128578329" w:history="1">
            <w:r w:rsidR="007B7150" w:rsidRPr="00641AFB">
              <w:rPr>
                <w:rStyle w:val="Hyperlink"/>
                <w:rFonts w:ascii="Helvetica" w:hAnsi="Helvetica" w:cs="Helvetica"/>
                <w:b/>
                <w:noProof/>
              </w:rPr>
              <w:t xml:space="preserve">Online Supplement B: </w:t>
            </w:r>
            <w:r w:rsidR="007B7150" w:rsidRPr="00641AFB">
              <w:rPr>
                <w:rStyle w:val="Hyperlink"/>
                <w:rFonts w:ascii="Helvetica" w:hAnsi="Helvetica" w:cs="Helvetica"/>
                <w:noProof/>
              </w:rPr>
              <w:t>Standard operating procedure for PiCCO measurement</w:t>
            </w:r>
            <w:r w:rsidR="007B7150">
              <w:rPr>
                <w:noProof/>
                <w:webHidden/>
              </w:rPr>
              <w:tab/>
            </w:r>
            <w:r w:rsidR="007B7150">
              <w:rPr>
                <w:noProof/>
                <w:webHidden/>
              </w:rPr>
              <w:fldChar w:fldCharType="begin"/>
            </w:r>
            <w:r w:rsidR="007B7150">
              <w:rPr>
                <w:noProof/>
                <w:webHidden/>
              </w:rPr>
              <w:instrText xml:space="preserve"> PAGEREF _Toc128578329 \h </w:instrText>
            </w:r>
            <w:r w:rsidR="007B7150">
              <w:rPr>
                <w:noProof/>
                <w:webHidden/>
              </w:rPr>
            </w:r>
            <w:r w:rsidR="007B7150">
              <w:rPr>
                <w:noProof/>
                <w:webHidden/>
              </w:rPr>
              <w:fldChar w:fldCharType="separate"/>
            </w:r>
            <w:r w:rsidR="007B7150">
              <w:rPr>
                <w:noProof/>
                <w:webHidden/>
              </w:rPr>
              <w:t>2</w:t>
            </w:r>
            <w:r w:rsidR="007B7150">
              <w:rPr>
                <w:noProof/>
                <w:webHidden/>
              </w:rPr>
              <w:fldChar w:fldCharType="end"/>
            </w:r>
          </w:hyperlink>
        </w:p>
        <w:p w:rsidR="007B7150" w:rsidRDefault="00B46549">
          <w:pPr>
            <w:pStyle w:val="Inhopg1"/>
            <w:tabs>
              <w:tab w:val="right" w:leader="dot" w:pos="9010"/>
            </w:tabs>
            <w:rPr>
              <w:rFonts w:eastAsiaTheme="minorEastAsia"/>
              <w:noProof/>
              <w:sz w:val="22"/>
              <w:szCs w:val="22"/>
              <w:lang w:val="nl-NL" w:eastAsia="nl-NL"/>
            </w:rPr>
          </w:pPr>
          <w:hyperlink w:anchor="_Toc128578330" w:history="1">
            <w:r w:rsidR="007B7150" w:rsidRPr="00641AFB">
              <w:rPr>
                <w:rStyle w:val="Hyperlink"/>
                <w:rFonts w:ascii="Helvetica" w:hAnsi="Helvetica" w:cs="Helvetica"/>
                <w:b/>
                <w:noProof/>
              </w:rPr>
              <w:t>Table S1:</w:t>
            </w:r>
            <w:r w:rsidR="007B7150" w:rsidRPr="00641AFB">
              <w:rPr>
                <w:rStyle w:val="Hyperlink"/>
                <w:rFonts w:ascii="Helvetica" w:hAnsi="Helvetica" w:cs="Helvetica"/>
                <w:noProof/>
              </w:rPr>
              <w:t xml:space="preserve"> The 4-region B-line count score</w:t>
            </w:r>
            <w:r w:rsidR="007B7150">
              <w:rPr>
                <w:noProof/>
                <w:webHidden/>
              </w:rPr>
              <w:tab/>
            </w:r>
            <w:r w:rsidR="007B7150">
              <w:rPr>
                <w:noProof/>
                <w:webHidden/>
              </w:rPr>
              <w:fldChar w:fldCharType="begin"/>
            </w:r>
            <w:r w:rsidR="007B7150">
              <w:rPr>
                <w:noProof/>
                <w:webHidden/>
              </w:rPr>
              <w:instrText xml:space="preserve"> PAGEREF _Toc128578330 \h </w:instrText>
            </w:r>
            <w:r w:rsidR="007B7150">
              <w:rPr>
                <w:noProof/>
                <w:webHidden/>
              </w:rPr>
            </w:r>
            <w:r w:rsidR="007B7150">
              <w:rPr>
                <w:noProof/>
                <w:webHidden/>
              </w:rPr>
              <w:fldChar w:fldCharType="separate"/>
            </w:r>
            <w:r w:rsidR="007B7150">
              <w:rPr>
                <w:noProof/>
                <w:webHidden/>
              </w:rPr>
              <w:t>4</w:t>
            </w:r>
            <w:r w:rsidR="007B7150">
              <w:rPr>
                <w:noProof/>
                <w:webHidden/>
              </w:rPr>
              <w:fldChar w:fldCharType="end"/>
            </w:r>
          </w:hyperlink>
        </w:p>
        <w:p w:rsidR="00D8323E" w:rsidRPr="00D8323E" w:rsidRDefault="00D8323E">
          <w:pPr>
            <w:rPr>
              <w:rFonts w:ascii="Helvetica" w:hAnsi="Helvetica" w:cs="Helvetica"/>
            </w:rPr>
          </w:pPr>
          <w:r w:rsidRPr="00D8323E">
            <w:rPr>
              <w:rFonts w:ascii="Helvetica" w:hAnsi="Helvetica" w:cs="Helvetica"/>
              <w:b/>
              <w:bCs/>
            </w:rPr>
            <w:fldChar w:fldCharType="end"/>
          </w:r>
        </w:p>
      </w:sdtContent>
    </w:sdt>
    <w:p w:rsidR="0045757E" w:rsidRPr="00D8323E" w:rsidRDefault="0045757E" w:rsidP="00C61E62">
      <w:pPr>
        <w:spacing w:before="20" w:after="20" w:line="360" w:lineRule="auto"/>
        <w:jc w:val="both"/>
        <w:rPr>
          <w:rFonts w:ascii="Helvetica" w:hAnsi="Helvetica" w:cs="Helvetica"/>
          <w:b/>
          <w:sz w:val="22"/>
          <w:szCs w:val="22"/>
        </w:rPr>
      </w:pPr>
    </w:p>
    <w:p w:rsidR="0045757E" w:rsidRPr="00D8323E" w:rsidRDefault="0045757E" w:rsidP="00C61E62">
      <w:pPr>
        <w:spacing w:before="20" w:after="20" w:line="360" w:lineRule="auto"/>
        <w:jc w:val="both"/>
        <w:rPr>
          <w:rFonts w:ascii="Helvetica" w:hAnsi="Helvetica" w:cs="Helvetica"/>
          <w:b/>
          <w:sz w:val="22"/>
          <w:szCs w:val="22"/>
        </w:rPr>
      </w:pPr>
    </w:p>
    <w:p w:rsidR="0045757E" w:rsidRPr="00D8323E" w:rsidRDefault="0045757E" w:rsidP="00C61E62">
      <w:pPr>
        <w:spacing w:before="20" w:after="20" w:line="360" w:lineRule="auto"/>
        <w:jc w:val="both"/>
        <w:rPr>
          <w:rFonts w:ascii="Helvetica" w:hAnsi="Helvetica" w:cs="Helvetica"/>
          <w:b/>
          <w:sz w:val="22"/>
          <w:szCs w:val="22"/>
        </w:rPr>
      </w:pPr>
      <w:r w:rsidRPr="00D8323E">
        <w:rPr>
          <w:rFonts w:ascii="Helvetica" w:hAnsi="Helvetica" w:cs="Helvetica"/>
          <w:b/>
          <w:sz w:val="22"/>
          <w:szCs w:val="22"/>
        </w:rPr>
        <w:br w:type="page"/>
      </w:r>
    </w:p>
    <w:p w:rsidR="0045757E" w:rsidRPr="00D8323E" w:rsidRDefault="0045757E" w:rsidP="00C61E62">
      <w:pPr>
        <w:spacing w:before="20" w:after="20" w:line="360" w:lineRule="auto"/>
        <w:jc w:val="both"/>
        <w:rPr>
          <w:rFonts w:ascii="Helvetica" w:hAnsi="Helvetica" w:cs="Helvetica"/>
          <w:b/>
          <w:sz w:val="22"/>
          <w:szCs w:val="22"/>
        </w:rPr>
        <w:sectPr w:rsidR="0045757E" w:rsidRPr="00D8323E" w:rsidSect="0045757E">
          <w:footerReference w:type="default" r:id="rId8"/>
          <w:pgSz w:w="11900" w:h="16840"/>
          <w:pgMar w:top="1440" w:right="1440" w:bottom="1440" w:left="1440" w:header="708" w:footer="708" w:gutter="0"/>
          <w:pgNumType w:start="0"/>
          <w:cols w:space="708"/>
          <w:titlePg/>
          <w:docGrid w:linePitch="360"/>
        </w:sectPr>
      </w:pPr>
    </w:p>
    <w:p w:rsidR="00C61E62" w:rsidRPr="00D8323E" w:rsidRDefault="007B7150" w:rsidP="00D8323E">
      <w:pPr>
        <w:pStyle w:val="Kop1"/>
        <w:rPr>
          <w:rFonts w:ascii="Helvetica" w:hAnsi="Helvetica" w:cs="Helvetica"/>
          <w:color w:val="auto"/>
          <w:sz w:val="24"/>
        </w:rPr>
      </w:pPr>
      <w:bookmarkStart w:id="1" w:name="_Toc128578328"/>
      <w:r>
        <w:rPr>
          <w:rFonts w:ascii="Helvetica" w:hAnsi="Helvetica" w:cs="Helvetica"/>
          <w:b/>
          <w:color w:val="auto"/>
          <w:sz w:val="24"/>
        </w:rPr>
        <w:lastRenderedPageBreak/>
        <w:t>Online Supplement A</w:t>
      </w:r>
      <w:r w:rsidR="00C61E62" w:rsidRPr="00D8323E">
        <w:rPr>
          <w:rFonts w:ascii="Helvetica" w:hAnsi="Helvetica" w:cs="Helvetica"/>
          <w:b/>
          <w:color w:val="auto"/>
          <w:sz w:val="24"/>
        </w:rPr>
        <w:t xml:space="preserve">: </w:t>
      </w:r>
      <w:r w:rsidR="00C61E62" w:rsidRPr="00D8323E">
        <w:rPr>
          <w:rFonts w:ascii="Helvetica" w:hAnsi="Helvetica" w:cs="Helvetica"/>
          <w:color w:val="auto"/>
          <w:sz w:val="24"/>
        </w:rPr>
        <w:t>Exclusion criteria INVENT COVID trial</w:t>
      </w:r>
      <w:bookmarkEnd w:id="1"/>
    </w:p>
    <w:p w:rsidR="00D8323E" w:rsidRPr="00D8323E" w:rsidRDefault="00D8323E" w:rsidP="00D8323E"/>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Persistent septic shock (&gt; 24 h) with a mean arterial pressure ≤ 65 mmHg and serum lactate level &gt; 4 mmol/L (36 mg/</w:t>
      </w:r>
      <w:proofErr w:type="spellStart"/>
      <w:r w:rsidRPr="00D8323E">
        <w:rPr>
          <w:rFonts w:ascii="Helvetica" w:hAnsi="Helvetica" w:cs="Helvetica"/>
          <w:sz w:val="22"/>
          <w:szCs w:val="22"/>
        </w:rPr>
        <w:t>dL</w:t>
      </w:r>
      <w:proofErr w:type="spellEnd"/>
      <w:r w:rsidRPr="00D8323E">
        <w:rPr>
          <w:rFonts w:ascii="Helvetica" w:hAnsi="Helvetica" w:cs="Helvetica"/>
          <w:sz w:val="22"/>
          <w:szCs w:val="22"/>
        </w:rPr>
        <w:t>) despite adequate volume resuscitation and vasopressor use (norepinephrine &gt; 0·2 </w:t>
      </w:r>
      <w:proofErr w:type="spellStart"/>
      <w:r w:rsidRPr="00D8323E">
        <w:rPr>
          <w:rFonts w:ascii="Helvetica" w:hAnsi="Helvetica" w:cs="Helvetica"/>
          <w:sz w:val="22"/>
          <w:szCs w:val="22"/>
        </w:rPr>
        <w:t>μg</w:t>
      </w:r>
      <w:proofErr w:type="spellEnd"/>
      <w:r w:rsidRPr="00D8323E">
        <w:rPr>
          <w:rFonts w:ascii="Helvetica" w:hAnsi="Helvetica" w:cs="Helvetica"/>
          <w:sz w:val="22"/>
          <w:szCs w:val="22"/>
        </w:rPr>
        <w:t>/kg/min) for &gt; 6 h;</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Pre-existing chronic pulmonary disease, including known diagnosis of interstitial lung disease; known diagnosis of chronic obstructive pulmonary disease GOLD Stage IV or forced expiratory volume in 1 s &lt; 30% predicted; diffusing capacity for carbon monoxide &lt; 45% (if test results are available); total lung capacity &lt; 60% of predicted (if test results are available);</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Chronic home oxygen treatment;</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Pre-existing heart failure with known left ventricular ejection fraction &lt; 40%;</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Active treatment of hematological or non-hematological cancer with targeted immuno- or chemotherapy, or thoracic radiotherapy in the last year;</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Currently receiving extracorporeal life support;</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Severe chronic liver disease with Child-Pugh score &gt; 12;</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Subjects in whom a decision to withdraw medical care is made (e.g., palliative setting);</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Inability of the ICU staff to initiate investigational medicinal product administration within 48 h of intubation;</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Known to be pregnant or breast-feeding;</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Enrolled in a concomitant clinical trial of an investigational medicinal product;</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White blood cell count &lt; 2·5 × 10</w:t>
      </w:r>
      <w:r w:rsidRPr="00D8323E">
        <w:rPr>
          <w:rFonts w:ascii="Helvetica" w:hAnsi="Helvetica" w:cs="Helvetica"/>
          <w:sz w:val="22"/>
          <w:szCs w:val="22"/>
          <w:vertAlign w:val="superscript"/>
        </w:rPr>
        <w:t>9</w:t>
      </w:r>
      <w:r w:rsidRPr="00D8323E">
        <w:rPr>
          <w:rFonts w:ascii="Helvetica" w:hAnsi="Helvetica" w:cs="Helvetica"/>
          <w:sz w:val="22"/>
          <w:szCs w:val="22"/>
        </w:rPr>
        <w:t>/l; hemoglobin &lt; 4·0 mmol/l or thrombocytes &lt; 50 × 10</w:t>
      </w:r>
      <w:r w:rsidRPr="00D8323E">
        <w:rPr>
          <w:rFonts w:ascii="Helvetica" w:hAnsi="Helvetica" w:cs="Helvetica"/>
          <w:sz w:val="22"/>
          <w:szCs w:val="22"/>
          <w:vertAlign w:val="superscript"/>
        </w:rPr>
        <w:t>9</w:t>
      </w:r>
      <w:r w:rsidRPr="00D8323E">
        <w:rPr>
          <w:rFonts w:ascii="Helvetica" w:hAnsi="Helvetica" w:cs="Helvetica"/>
          <w:sz w:val="22"/>
          <w:szCs w:val="22"/>
        </w:rPr>
        <w:t>/l;</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 xml:space="preserve">The use of strong CYP3A4 inducers, including the following drugs: Carbamazepine, </w:t>
      </w:r>
      <w:proofErr w:type="spellStart"/>
      <w:r w:rsidRPr="00D8323E">
        <w:rPr>
          <w:rFonts w:ascii="Helvetica" w:hAnsi="Helvetica" w:cs="Helvetica"/>
          <w:sz w:val="22"/>
          <w:szCs w:val="22"/>
        </w:rPr>
        <w:t>efavirenz</w:t>
      </w:r>
      <w:proofErr w:type="spellEnd"/>
      <w:r w:rsidRPr="00D8323E">
        <w:rPr>
          <w:rFonts w:ascii="Helvetica" w:hAnsi="Helvetica" w:cs="Helvetica"/>
          <w:sz w:val="22"/>
          <w:szCs w:val="22"/>
        </w:rPr>
        <w:t xml:space="preserve">, enzalutamide, phenobarbital, phenytoin, </w:t>
      </w:r>
      <w:proofErr w:type="spellStart"/>
      <w:r w:rsidRPr="00D8323E">
        <w:rPr>
          <w:rFonts w:ascii="Helvetica" w:hAnsi="Helvetica" w:cs="Helvetica"/>
          <w:sz w:val="22"/>
          <w:szCs w:val="22"/>
        </w:rPr>
        <w:t>hypericum</w:t>
      </w:r>
      <w:proofErr w:type="spellEnd"/>
      <w:r w:rsidRPr="00D8323E">
        <w:rPr>
          <w:rFonts w:ascii="Helvetica" w:hAnsi="Helvetica" w:cs="Helvetica"/>
          <w:sz w:val="22"/>
          <w:szCs w:val="22"/>
        </w:rPr>
        <w:t xml:space="preserve"> (St. John’s </w:t>
      </w:r>
      <w:proofErr w:type="spellStart"/>
      <w:r w:rsidRPr="00D8323E">
        <w:rPr>
          <w:rFonts w:ascii="Helvetica" w:hAnsi="Helvetica" w:cs="Helvetica"/>
          <w:sz w:val="22"/>
          <w:szCs w:val="22"/>
        </w:rPr>
        <w:t>wort</w:t>
      </w:r>
      <w:proofErr w:type="spellEnd"/>
      <w:r w:rsidRPr="00D8323E">
        <w:rPr>
          <w:rFonts w:ascii="Helvetica" w:hAnsi="Helvetica" w:cs="Helvetica"/>
          <w:sz w:val="22"/>
          <w:szCs w:val="22"/>
        </w:rPr>
        <w:t xml:space="preserve">), </w:t>
      </w:r>
      <w:proofErr w:type="spellStart"/>
      <w:r w:rsidRPr="00D8323E">
        <w:rPr>
          <w:rFonts w:ascii="Helvetica" w:hAnsi="Helvetica" w:cs="Helvetica"/>
          <w:sz w:val="22"/>
          <w:szCs w:val="22"/>
        </w:rPr>
        <w:t>mitotane</w:t>
      </w:r>
      <w:proofErr w:type="spellEnd"/>
      <w:r w:rsidRPr="00D8323E">
        <w:rPr>
          <w:rFonts w:ascii="Helvetica" w:hAnsi="Helvetica" w:cs="Helvetica"/>
          <w:sz w:val="22"/>
          <w:szCs w:val="22"/>
        </w:rPr>
        <w:t xml:space="preserve">, </w:t>
      </w:r>
      <w:proofErr w:type="spellStart"/>
      <w:r w:rsidRPr="00D8323E">
        <w:rPr>
          <w:rFonts w:ascii="Helvetica" w:hAnsi="Helvetica" w:cs="Helvetica"/>
          <w:sz w:val="22"/>
          <w:szCs w:val="22"/>
        </w:rPr>
        <w:t>nevirapine</w:t>
      </w:r>
      <w:proofErr w:type="spellEnd"/>
      <w:r w:rsidRPr="00D8323E">
        <w:rPr>
          <w:rFonts w:ascii="Helvetica" w:hAnsi="Helvetica" w:cs="Helvetica"/>
          <w:sz w:val="22"/>
          <w:szCs w:val="22"/>
        </w:rPr>
        <w:t xml:space="preserve">, </w:t>
      </w:r>
      <w:proofErr w:type="spellStart"/>
      <w:r w:rsidRPr="00D8323E">
        <w:rPr>
          <w:rFonts w:ascii="Helvetica" w:hAnsi="Helvetica" w:cs="Helvetica"/>
          <w:sz w:val="22"/>
          <w:szCs w:val="22"/>
        </w:rPr>
        <w:t>primidone</w:t>
      </w:r>
      <w:proofErr w:type="spellEnd"/>
      <w:r w:rsidRPr="00D8323E">
        <w:rPr>
          <w:rFonts w:ascii="Helvetica" w:hAnsi="Helvetica" w:cs="Helvetica"/>
          <w:sz w:val="22"/>
          <w:szCs w:val="22"/>
        </w:rPr>
        <w:t xml:space="preserve">, </w:t>
      </w:r>
      <w:proofErr w:type="spellStart"/>
      <w:r w:rsidRPr="00D8323E">
        <w:rPr>
          <w:rFonts w:ascii="Helvetica" w:hAnsi="Helvetica" w:cs="Helvetica"/>
          <w:sz w:val="22"/>
          <w:szCs w:val="22"/>
        </w:rPr>
        <w:t>rifabutin</w:t>
      </w:r>
      <w:proofErr w:type="spellEnd"/>
      <w:r w:rsidRPr="00D8323E">
        <w:rPr>
          <w:rFonts w:ascii="Helvetica" w:hAnsi="Helvetica" w:cs="Helvetica"/>
          <w:sz w:val="22"/>
          <w:szCs w:val="22"/>
        </w:rPr>
        <w:t>, rifampicin;</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The presence of an intra-aortic balloon pump (IABP);</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Known medical history of aortic aneurysm in the trajectory of the PiCCO measurement between central venous line and arterial detector;</w:t>
      </w:r>
    </w:p>
    <w:p w:rsidR="00C61E62" w:rsidRPr="00D8323E" w:rsidRDefault="00C61E62" w:rsidP="00C61E62">
      <w:pPr>
        <w:numPr>
          <w:ilvl w:val="0"/>
          <w:numId w:val="4"/>
        </w:numPr>
        <w:shd w:val="clear" w:color="auto" w:fill="FFFFFF"/>
        <w:spacing w:line="276" w:lineRule="auto"/>
        <w:rPr>
          <w:rFonts w:ascii="Helvetica" w:hAnsi="Helvetica" w:cs="Helvetica"/>
          <w:sz w:val="22"/>
          <w:szCs w:val="22"/>
        </w:rPr>
      </w:pPr>
      <w:r w:rsidRPr="00D8323E">
        <w:rPr>
          <w:rFonts w:ascii="Helvetica" w:hAnsi="Helvetica" w:cs="Helvetica"/>
          <w:sz w:val="22"/>
          <w:szCs w:val="22"/>
        </w:rPr>
        <w:t>Known medical history of an intracardiac shunt.</w:t>
      </w:r>
    </w:p>
    <w:p w:rsidR="00C61E62" w:rsidRPr="00D8323E" w:rsidRDefault="00C61E62" w:rsidP="00C61E62">
      <w:pPr>
        <w:spacing w:before="20" w:after="20" w:line="480" w:lineRule="auto"/>
        <w:rPr>
          <w:rFonts w:ascii="Helvetica" w:hAnsi="Helvetica" w:cs="Helvetica"/>
          <w:b/>
          <w:sz w:val="22"/>
          <w:szCs w:val="22"/>
        </w:rPr>
        <w:sectPr w:rsidR="00C61E62" w:rsidRPr="00D8323E" w:rsidSect="00D20E0F">
          <w:pgSz w:w="11900" w:h="16840"/>
          <w:pgMar w:top="1440" w:right="1440" w:bottom="1440" w:left="1440" w:header="708" w:footer="708" w:gutter="0"/>
          <w:cols w:space="708"/>
          <w:docGrid w:linePitch="360"/>
        </w:sectPr>
      </w:pPr>
    </w:p>
    <w:p w:rsidR="00C61E62" w:rsidRPr="00517463" w:rsidRDefault="007B7150" w:rsidP="00D8323E">
      <w:pPr>
        <w:pStyle w:val="Kop1"/>
        <w:rPr>
          <w:rFonts w:ascii="Helvetica" w:hAnsi="Helvetica" w:cs="Helvetica"/>
          <w:color w:val="auto"/>
          <w:sz w:val="24"/>
        </w:rPr>
      </w:pPr>
      <w:bookmarkStart w:id="2" w:name="_Toc128578329"/>
      <w:r>
        <w:rPr>
          <w:rFonts w:ascii="Helvetica" w:hAnsi="Helvetica" w:cs="Helvetica"/>
          <w:b/>
          <w:color w:val="auto"/>
          <w:sz w:val="24"/>
        </w:rPr>
        <w:t>Online Supplement B</w:t>
      </w:r>
      <w:r w:rsidR="00C61E62" w:rsidRPr="00517463">
        <w:rPr>
          <w:rFonts w:ascii="Helvetica" w:hAnsi="Helvetica" w:cs="Helvetica"/>
          <w:b/>
          <w:color w:val="auto"/>
          <w:sz w:val="24"/>
        </w:rPr>
        <w:t xml:space="preserve">: </w:t>
      </w:r>
      <w:r w:rsidR="00C61E62" w:rsidRPr="00517463">
        <w:rPr>
          <w:rFonts w:ascii="Helvetica" w:hAnsi="Helvetica" w:cs="Helvetica"/>
          <w:color w:val="auto"/>
          <w:sz w:val="24"/>
        </w:rPr>
        <w:t>Standard operating procedure for PiCCO measurement</w:t>
      </w:r>
      <w:bookmarkEnd w:id="2"/>
      <w:r w:rsidR="00C61E62" w:rsidRPr="00517463">
        <w:rPr>
          <w:rFonts w:ascii="Helvetica" w:hAnsi="Helvetica" w:cs="Helvetica"/>
          <w:color w:val="auto"/>
          <w:sz w:val="24"/>
        </w:rPr>
        <w:t xml:space="preserve"> </w:t>
      </w:r>
    </w:p>
    <w:p w:rsidR="00D8323E" w:rsidRPr="00D8323E" w:rsidRDefault="00D8323E" w:rsidP="00D8323E"/>
    <w:p w:rsidR="00C61E62" w:rsidRPr="00D8323E" w:rsidRDefault="00C61E62" w:rsidP="00C61E62">
      <w:pPr>
        <w:spacing w:after="100" w:line="276" w:lineRule="auto"/>
        <w:jc w:val="both"/>
        <w:rPr>
          <w:rFonts w:ascii="Helvetica" w:hAnsi="Helvetica" w:cs="Helvetica"/>
          <w:sz w:val="22"/>
          <w:szCs w:val="22"/>
          <w:u w:val="single"/>
        </w:rPr>
      </w:pPr>
      <w:r w:rsidRPr="00D8323E">
        <w:rPr>
          <w:rFonts w:ascii="Helvetica" w:hAnsi="Helvetica" w:cs="Helvetica"/>
          <w:sz w:val="22"/>
          <w:szCs w:val="22"/>
          <w:u w:val="single"/>
        </w:rPr>
        <w:t>Background</w:t>
      </w: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sz w:val="22"/>
          <w:szCs w:val="22"/>
        </w:rPr>
        <w:t xml:space="preserve">PICCO stands for Pulse Contour Cardiac Output monitoring. It involves the principle of thermodilution. A sensor cable (see figure, 1) is attached to the central venous catheter (CVC), with its tip in the superior vena cava. The PICCO thermodilution catheter is placed in the femoral artery. An injection of 20 ml of cold (&lt;8 degrees Celsius) </w:t>
      </w:r>
      <w:proofErr w:type="spellStart"/>
      <w:r w:rsidRPr="00D8323E">
        <w:rPr>
          <w:rFonts w:ascii="Helvetica" w:hAnsi="Helvetica" w:cs="Helvetica"/>
          <w:sz w:val="22"/>
          <w:szCs w:val="22"/>
        </w:rPr>
        <w:t>NaCl</w:t>
      </w:r>
      <w:proofErr w:type="spellEnd"/>
      <w:r w:rsidRPr="00D8323E">
        <w:rPr>
          <w:rFonts w:ascii="Helvetica" w:hAnsi="Helvetica" w:cs="Helvetica"/>
          <w:sz w:val="22"/>
          <w:szCs w:val="22"/>
        </w:rPr>
        <w:t xml:space="preserve"> is injected via the central venous catheter. Subsequently, the change in temperature is detected via the PICCO catheter.</w:t>
      </w:r>
    </w:p>
    <w:p w:rsidR="00C61E62" w:rsidRPr="00D8323E" w:rsidRDefault="00C61E62" w:rsidP="00C61E62">
      <w:pPr>
        <w:spacing w:line="276" w:lineRule="auto"/>
        <w:jc w:val="both"/>
        <w:rPr>
          <w:rFonts w:ascii="Helvetica" w:hAnsi="Helvetica" w:cs="Helvetica"/>
          <w:sz w:val="22"/>
          <w:szCs w:val="22"/>
        </w:rPr>
      </w:pP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noProof/>
          <w:sz w:val="22"/>
          <w:szCs w:val="22"/>
          <w:lang w:val="nl-NL" w:eastAsia="nl-NL"/>
        </w:rPr>
        <w:drawing>
          <wp:inline distT="0" distB="0" distL="0" distR="0" wp14:anchorId="7A05C766" wp14:editId="4ABF9B60">
            <wp:extent cx="3891064" cy="23537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1-08 at 10.55.37.png"/>
                    <pic:cNvPicPr/>
                  </pic:nvPicPr>
                  <pic:blipFill rotWithShape="1">
                    <a:blip r:embed="rId9">
                      <a:extLst>
                        <a:ext uri="{28A0092B-C50C-407E-A947-70E740481C1C}">
                          <a14:useLocalDpi xmlns:a14="http://schemas.microsoft.com/office/drawing/2010/main" val="0"/>
                        </a:ext>
                      </a:extLst>
                    </a:blip>
                    <a:srcRect t="1" b="2512"/>
                    <a:stretch/>
                  </pic:blipFill>
                  <pic:spPr bwMode="auto">
                    <a:xfrm>
                      <a:off x="0" y="0"/>
                      <a:ext cx="3911775" cy="2366320"/>
                    </a:xfrm>
                    <a:prstGeom prst="rect">
                      <a:avLst/>
                    </a:prstGeom>
                    <a:ln>
                      <a:noFill/>
                    </a:ln>
                    <a:extLst>
                      <a:ext uri="{53640926-AAD7-44D8-BBD7-CCE9431645EC}">
                        <a14:shadowObscured xmlns:a14="http://schemas.microsoft.com/office/drawing/2010/main"/>
                      </a:ext>
                    </a:extLst>
                  </pic:spPr>
                </pic:pic>
              </a:graphicData>
            </a:graphic>
          </wp:inline>
        </w:drawing>
      </w:r>
    </w:p>
    <w:p w:rsidR="00C61E62" w:rsidRPr="00D8323E" w:rsidRDefault="00C61E62" w:rsidP="00C61E62">
      <w:pPr>
        <w:pStyle w:val="Normaalweb"/>
        <w:spacing w:before="0" w:after="0" w:line="276" w:lineRule="auto"/>
        <w:jc w:val="both"/>
        <w:rPr>
          <w:rFonts w:ascii="Helvetica" w:hAnsi="Helvetica" w:cs="Helvetica"/>
          <w:i/>
          <w:sz w:val="22"/>
          <w:szCs w:val="22"/>
        </w:rPr>
      </w:pPr>
      <w:r w:rsidRPr="00D8323E">
        <w:rPr>
          <w:rFonts w:ascii="Helvetica" w:hAnsi="Helvetica" w:cs="Helvetica"/>
          <w:i/>
          <w:sz w:val="22"/>
          <w:szCs w:val="22"/>
        </w:rPr>
        <w:t>1: Injectate sensor cable; 2: Arterial connection cable; 3: Pressure connection cable</w:t>
      </w:r>
    </w:p>
    <w:p w:rsidR="00C61E62" w:rsidRPr="00D8323E" w:rsidRDefault="00C61E62" w:rsidP="00C61E62">
      <w:pPr>
        <w:spacing w:line="276" w:lineRule="auto"/>
        <w:jc w:val="both"/>
        <w:rPr>
          <w:rFonts w:ascii="Helvetica" w:hAnsi="Helvetica" w:cs="Helvetica"/>
          <w:sz w:val="22"/>
          <w:szCs w:val="22"/>
        </w:rPr>
      </w:pP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sz w:val="22"/>
          <w:szCs w:val="22"/>
        </w:rPr>
        <w:t>Several parameters can be obtained by transpulmonary dilution, including:</w:t>
      </w:r>
    </w:p>
    <w:p w:rsidR="00C61E62" w:rsidRPr="00D8323E" w:rsidRDefault="00C61E62" w:rsidP="00C61E62">
      <w:pPr>
        <w:pStyle w:val="Lijstalinea"/>
        <w:numPr>
          <w:ilvl w:val="0"/>
          <w:numId w:val="1"/>
        </w:numPr>
        <w:spacing w:line="276" w:lineRule="auto"/>
        <w:jc w:val="both"/>
        <w:rPr>
          <w:rFonts w:ascii="Helvetica" w:hAnsi="Helvetica" w:cs="Helvetica"/>
          <w:sz w:val="22"/>
          <w:szCs w:val="22"/>
        </w:rPr>
      </w:pPr>
      <w:r w:rsidRPr="00D8323E">
        <w:rPr>
          <w:rFonts w:ascii="Helvetica" w:hAnsi="Helvetica" w:cs="Helvetica"/>
          <w:sz w:val="22"/>
          <w:szCs w:val="22"/>
        </w:rPr>
        <w:t xml:space="preserve">Extravascular lung water (EVLW) and pulmonary vascular permeability (PVP) </w:t>
      </w:r>
    </w:p>
    <w:p w:rsidR="00C61E62" w:rsidRPr="00D8323E" w:rsidRDefault="00C61E62" w:rsidP="00C61E62">
      <w:pPr>
        <w:pStyle w:val="Lijstalinea"/>
        <w:numPr>
          <w:ilvl w:val="0"/>
          <w:numId w:val="1"/>
        </w:numPr>
        <w:spacing w:line="276" w:lineRule="auto"/>
        <w:jc w:val="both"/>
        <w:rPr>
          <w:rFonts w:ascii="Helvetica" w:hAnsi="Helvetica" w:cs="Helvetica"/>
          <w:sz w:val="22"/>
          <w:szCs w:val="22"/>
        </w:rPr>
      </w:pPr>
      <w:r w:rsidRPr="00D8323E">
        <w:rPr>
          <w:rFonts w:ascii="Helvetica" w:hAnsi="Helvetica" w:cs="Helvetica"/>
          <w:sz w:val="22"/>
          <w:szCs w:val="22"/>
        </w:rPr>
        <w:t xml:space="preserve">Measures of cardiac contractility: global ejection fraction, GEF), cardiac output (CO), filling volume (global end-diastolic volume, GEDV) and stroke volume variation (SVV). </w:t>
      </w: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sz w:val="22"/>
          <w:szCs w:val="22"/>
        </w:rPr>
        <w:t>These parameters are indexed against body surface area (BSA).</w:t>
      </w:r>
    </w:p>
    <w:p w:rsidR="00C61E62" w:rsidRPr="00D8323E" w:rsidRDefault="00C61E62" w:rsidP="00C61E62">
      <w:pPr>
        <w:spacing w:line="276" w:lineRule="auto"/>
        <w:jc w:val="both"/>
        <w:rPr>
          <w:rFonts w:ascii="Helvetica" w:hAnsi="Helvetica" w:cs="Helvetica"/>
          <w:sz w:val="22"/>
          <w:szCs w:val="22"/>
        </w:rPr>
      </w:pPr>
    </w:p>
    <w:p w:rsidR="00C61E62" w:rsidRPr="00D8323E" w:rsidRDefault="00C61E62" w:rsidP="00C61E62">
      <w:pPr>
        <w:spacing w:line="276" w:lineRule="auto"/>
        <w:jc w:val="both"/>
        <w:rPr>
          <w:rFonts w:ascii="Helvetica" w:hAnsi="Helvetica" w:cs="Helvetica"/>
          <w:sz w:val="22"/>
          <w:szCs w:val="22"/>
          <w:u w:val="single"/>
        </w:rPr>
      </w:pPr>
      <w:r w:rsidRPr="00D8323E">
        <w:rPr>
          <w:rFonts w:ascii="Helvetica" w:hAnsi="Helvetica" w:cs="Helvetica"/>
          <w:sz w:val="22"/>
          <w:szCs w:val="22"/>
          <w:u w:val="single"/>
        </w:rPr>
        <w:t>Insertion of the PICCO catheter</w:t>
      </w:r>
    </w:p>
    <w:p w:rsidR="00C61E62" w:rsidRPr="00D8323E" w:rsidRDefault="00C61E62" w:rsidP="00C61E62">
      <w:pPr>
        <w:spacing w:line="276" w:lineRule="auto"/>
        <w:jc w:val="both"/>
        <w:rPr>
          <w:rFonts w:ascii="Helvetica" w:hAnsi="Helvetica" w:cs="Helvetica"/>
          <w:sz w:val="22"/>
          <w:szCs w:val="22"/>
        </w:rPr>
      </w:pP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sz w:val="22"/>
          <w:szCs w:val="22"/>
        </w:rPr>
        <w:t>Under sterile circumstances, an intensive care physician will insert the PICCO catheter using the standard ultrasound-guided procedure for arterial catheter insertion. The preferred location for the PICCO catheter is the femoral artery.</w:t>
      </w:r>
    </w:p>
    <w:p w:rsidR="00C61E62" w:rsidRPr="00D8323E" w:rsidRDefault="00C61E62" w:rsidP="00C61E62">
      <w:pPr>
        <w:spacing w:line="276" w:lineRule="auto"/>
        <w:jc w:val="both"/>
        <w:rPr>
          <w:rFonts w:ascii="Helvetica" w:hAnsi="Helvetica" w:cs="Helvetica"/>
          <w:sz w:val="22"/>
          <w:szCs w:val="22"/>
          <w:u w:val="single"/>
        </w:rPr>
      </w:pPr>
    </w:p>
    <w:p w:rsidR="00C61E62" w:rsidRPr="00D8323E" w:rsidRDefault="00C61E62" w:rsidP="00C61E62">
      <w:pPr>
        <w:spacing w:after="100" w:line="276" w:lineRule="auto"/>
        <w:jc w:val="both"/>
        <w:rPr>
          <w:rFonts w:ascii="Helvetica" w:hAnsi="Helvetica" w:cs="Helvetica"/>
          <w:sz w:val="22"/>
          <w:szCs w:val="22"/>
        </w:rPr>
      </w:pPr>
      <w:r w:rsidRPr="00D8323E">
        <w:rPr>
          <w:rFonts w:ascii="Helvetica" w:hAnsi="Helvetica" w:cs="Helvetica"/>
          <w:sz w:val="22"/>
          <w:szCs w:val="22"/>
          <w:u w:val="single"/>
        </w:rPr>
        <w:t>Monitor set-up</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Register length and weight of the patient on the monitor.</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On the monitor, chose Ventilated + PICCO</w:t>
      </w:r>
      <w:r w:rsidRPr="00D8323E">
        <w:rPr>
          <w:rFonts w:ascii="Helvetica" w:hAnsi="Helvetica" w:cs="Helvetica"/>
          <w:i/>
          <w:sz w:val="22"/>
          <w:szCs w:val="22"/>
        </w:rPr>
        <w:t>.</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Insert the PICCO module into the module rack next to the monitor and attach the PICCO cable to the module.</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Connect the long PICCO cable with the blue temperature sensor that is attached proximally at the CVC.</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 xml:space="preserve">Connect the short PICCO cable with the red transducer of the PiCCO catheter. </w:t>
      </w:r>
    </w:p>
    <w:p w:rsidR="00C61E62" w:rsidRPr="00D8323E" w:rsidRDefault="00C61E62" w:rsidP="00C61E62">
      <w:pPr>
        <w:pStyle w:val="Lijstalinea"/>
        <w:numPr>
          <w:ilvl w:val="0"/>
          <w:numId w:val="2"/>
        </w:numPr>
        <w:spacing w:line="276" w:lineRule="auto"/>
        <w:jc w:val="both"/>
        <w:rPr>
          <w:rFonts w:ascii="Helvetica" w:hAnsi="Helvetica" w:cs="Helvetica"/>
          <w:sz w:val="22"/>
          <w:szCs w:val="22"/>
        </w:rPr>
      </w:pPr>
      <w:r w:rsidRPr="00D8323E">
        <w:rPr>
          <w:rFonts w:ascii="Helvetica" w:hAnsi="Helvetica" w:cs="Helvetica"/>
          <w:sz w:val="22"/>
          <w:szCs w:val="22"/>
        </w:rPr>
        <w:t xml:space="preserve">Click CO to start calibrating the cardiac output. </w:t>
      </w:r>
    </w:p>
    <w:p w:rsidR="00C61E62" w:rsidRPr="00D8323E" w:rsidRDefault="00C61E62" w:rsidP="00C61E62">
      <w:pPr>
        <w:pStyle w:val="Normaalweb"/>
        <w:spacing w:after="120" w:line="276" w:lineRule="auto"/>
        <w:jc w:val="both"/>
        <w:rPr>
          <w:rFonts w:ascii="Helvetica" w:hAnsi="Helvetica" w:cs="Helvetica"/>
          <w:sz w:val="22"/>
          <w:szCs w:val="22"/>
          <w:u w:val="single"/>
        </w:rPr>
      </w:pPr>
      <w:r w:rsidRPr="00D8323E">
        <w:rPr>
          <w:rFonts w:ascii="Helvetica" w:hAnsi="Helvetica" w:cs="Helvetica"/>
          <w:sz w:val="22"/>
          <w:szCs w:val="22"/>
          <w:u w:val="single"/>
        </w:rPr>
        <w:t>Calibration:</w:t>
      </w:r>
    </w:p>
    <w:p w:rsidR="00C61E62" w:rsidRPr="00D8323E" w:rsidRDefault="00C61E62" w:rsidP="00C61E62">
      <w:pPr>
        <w:pStyle w:val="Normaalweb"/>
        <w:spacing w:before="0" w:line="276" w:lineRule="auto"/>
        <w:jc w:val="both"/>
        <w:rPr>
          <w:rFonts w:ascii="Helvetica" w:hAnsi="Helvetica" w:cs="Helvetica"/>
          <w:sz w:val="22"/>
          <w:szCs w:val="22"/>
        </w:rPr>
      </w:pPr>
      <w:r w:rsidRPr="00D8323E">
        <w:rPr>
          <w:rFonts w:ascii="Helvetica" w:hAnsi="Helvetica" w:cs="Helvetica"/>
          <w:sz w:val="22"/>
          <w:szCs w:val="22"/>
        </w:rPr>
        <w:t xml:space="preserve">Once per shift the cardiac output measurement is calibrated using thermodilution. Three measurements are obtained and the averaged result is saved. The PICCO can be attached to the monitor, where it displays cardiac output continuously. Other measurements, such as the GEF and EVLW, are only determined during thermodilution, not continuously. </w:t>
      </w:r>
    </w:p>
    <w:p w:rsidR="00C61E62" w:rsidRPr="00D8323E" w:rsidRDefault="00C61E62" w:rsidP="00C61E62">
      <w:pPr>
        <w:pStyle w:val="Normaalweb"/>
        <w:spacing w:before="0" w:line="276" w:lineRule="auto"/>
        <w:jc w:val="both"/>
        <w:rPr>
          <w:rFonts w:ascii="Helvetica" w:hAnsi="Helvetica" w:cs="Helvetica"/>
          <w:sz w:val="22"/>
          <w:szCs w:val="22"/>
        </w:rPr>
      </w:pPr>
      <w:r w:rsidRPr="00D8323E">
        <w:rPr>
          <w:rFonts w:ascii="Helvetica" w:hAnsi="Helvetica" w:cs="Helvetica"/>
          <w:sz w:val="22"/>
          <w:szCs w:val="22"/>
          <w:u w:val="single"/>
        </w:rPr>
        <w:t>Thermodilution measurement</w:t>
      </w:r>
    </w:p>
    <w:p w:rsidR="00C61E62" w:rsidRPr="00D8323E" w:rsidRDefault="00C61E62" w:rsidP="00C61E62">
      <w:pPr>
        <w:pStyle w:val="Lijstalinea"/>
        <w:numPr>
          <w:ilvl w:val="0"/>
          <w:numId w:val="3"/>
        </w:numPr>
        <w:spacing w:line="276" w:lineRule="auto"/>
        <w:jc w:val="both"/>
        <w:rPr>
          <w:rFonts w:ascii="Helvetica" w:hAnsi="Helvetica" w:cs="Helvetica"/>
          <w:sz w:val="22"/>
          <w:szCs w:val="22"/>
        </w:rPr>
      </w:pPr>
      <w:r w:rsidRPr="00D8323E">
        <w:rPr>
          <w:rFonts w:ascii="Helvetica" w:hAnsi="Helvetica" w:cs="Helvetica"/>
          <w:sz w:val="22"/>
          <w:szCs w:val="22"/>
        </w:rPr>
        <w:t>Make sure the injectate cable is connected to the central venous catheter as proximally as possible. The PICCO is connected to the CVC directly (</w:t>
      </w:r>
      <w:r w:rsidRPr="00D8323E">
        <w:rPr>
          <w:rFonts w:ascii="Helvetica" w:hAnsi="Helvetica" w:cs="Helvetica"/>
          <w:i/>
          <w:sz w:val="22"/>
          <w:szCs w:val="22"/>
        </w:rPr>
        <w:t>see second image below</w:t>
      </w:r>
      <w:r w:rsidRPr="00D8323E">
        <w:rPr>
          <w:rFonts w:ascii="Helvetica" w:hAnsi="Helvetica" w:cs="Helvetica"/>
          <w:sz w:val="22"/>
          <w:szCs w:val="22"/>
        </w:rPr>
        <w:t xml:space="preserve">) to ensure that the entire injection is given, minimizing loss of the cold injectate in the line. </w:t>
      </w:r>
    </w:p>
    <w:p w:rsidR="00C61E62" w:rsidRPr="00D8323E" w:rsidRDefault="00C61E62" w:rsidP="00C61E62">
      <w:pPr>
        <w:pStyle w:val="Lijstalinea"/>
        <w:spacing w:line="276" w:lineRule="auto"/>
        <w:jc w:val="both"/>
        <w:rPr>
          <w:rFonts w:ascii="Helvetica" w:hAnsi="Helvetica" w:cs="Helvetica"/>
          <w:sz w:val="22"/>
          <w:szCs w:val="22"/>
        </w:rPr>
      </w:pPr>
    </w:p>
    <w:p w:rsidR="00C61E62" w:rsidRPr="00D8323E" w:rsidRDefault="00C61E62" w:rsidP="00C61E62">
      <w:pPr>
        <w:spacing w:line="276" w:lineRule="auto"/>
        <w:jc w:val="both"/>
        <w:rPr>
          <w:rFonts w:ascii="Helvetica" w:hAnsi="Helvetica" w:cs="Helvetica"/>
          <w:sz w:val="22"/>
          <w:szCs w:val="22"/>
        </w:rPr>
      </w:pPr>
      <w:r w:rsidRPr="00D8323E">
        <w:rPr>
          <w:rFonts w:ascii="Helvetica" w:hAnsi="Helvetica" w:cs="Helvetica"/>
          <w:noProof/>
          <w:sz w:val="22"/>
          <w:szCs w:val="22"/>
          <w:lang w:val="nl-NL" w:eastAsia="nl-NL"/>
        </w:rPr>
        <w:drawing>
          <wp:inline distT="0" distB="0" distL="0" distR="0" wp14:anchorId="33B88D83" wp14:editId="4A19BA0C">
            <wp:extent cx="4586470" cy="1677194"/>
            <wp:effectExtent l="0" t="0" r="1143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1-01-08 at 14.37.50.png"/>
                    <pic:cNvPicPr/>
                  </pic:nvPicPr>
                  <pic:blipFill rotWithShape="1">
                    <a:blip r:embed="rId10">
                      <a:extLst>
                        <a:ext uri="{28A0092B-C50C-407E-A947-70E740481C1C}">
                          <a14:useLocalDpi xmlns:a14="http://schemas.microsoft.com/office/drawing/2010/main" val="0"/>
                        </a:ext>
                      </a:extLst>
                    </a:blip>
                    <a:srcRect l="849" t="3119" r="1157" b="2863"/>
                    <a:stretch/>
                  </pic:blipFill>
                  <pic:spPr bwMode="auto">
                    <a:xfrm>
                      <a:off x="0" y="0"/>
                      <a:ext cx="4636523" cy="1695498"/>
                    </a:xfrm>
                    <a:prstGeom prst="rect">
                      <a:avLst/>
                    </a:prstGeom>
                    <a:ln>
                      <a:noFill/>
                    </a:ln>
                    <a:extLst>
                      <a:ext uri="{53640926-AAD7-44D8-BBD7-CCE9431645EC}">
                        <a14:shadowObscured xmlns:a14="http://schemas.microsoft.com/office/drawing/2010/main"/>
                      </a:ext>
                    </a:extLst>
                  </pic:spPr>
                </pic:pic>
              </a:graphicData>
            </a:graphic>
          </wp:inline>
        </w:drawing>
      </w:r>
    </w:p>
    <w:p w:rsidR="00C61E62" w:rsidRPr="00D8323E" w:rsidRDefault="00C61E62" w:rsidP="00C61E62">
      <w:pPr>
        <w:spacing w:line="276" w:lineRule="auto"/>
        <w:jc w:val="both"/>
        <w:rPr>
          <w:rFonts w:ascii="Helvetica" w:hAnsi="Helvetica" w:cs="Helvetica"/>
          <w:i/>
          <w:sz w:val="22"/>
          <w:szCs w:val="22"/>
        </w:rPr>
      </w:pPr>
      <w:r w:rsidRPr="00D8323E">
        <w:rPr>
          <w:rFonts w:ascii="Helvetica" w:hAnsi="Helvetica" w:cs="Helvetica"/>
          <w:i/>
          <w:sz w:val="22"/>
          <w:szCs w:val="22"/>
        </w:rPr>
        <w:t>Red cross and arrow: incorrect connection. Green arrow: correct connection.</w:t>
      </w:r>
    </w:p>
    <w:p w:rsidR="00C61E62" w:rsidRPr="00D8323E" w:rsidRDefault="00C61E62" w:rsidP="00C61E62">
      <w:pPr>
        <w:pStyle w:val="Lijstalinea"/>
        <w:numPr>
          <w:ilvl w:val="0"/>
          <w:numId w:val="3"/>
        </w:numPr>
        <w:spacing w:before="100" w:beforeAutospacing="1" w:after="24" w:line="276" w:lineRule="auto"/>
        <w:jc w:val="both"/>
        <w:rPr>
          <w:rFonts w:ascii="Helvetica" w:hAnsi="Helvetica" w:cs="Helvetica"/>
          <w:sz w:val="22"/>
          <w:szCs w:val="22"/>
        </w:rPr>
      </w:pPr>
      <w:r w:rsidRPr="00D8323E">
        <w:rPr>
          <w:rFonts w:ascii="Helvetica" w:hAnsi="Helvetica" w:cs="Helvetica"/>
          <w:sz w:val="22"/>
          <w:szCs w:val="22"/>
        </w:rPr>
        <w:t xml:space="preserve">Prepare three syringes containing 20ml </w:t>
      </w:r>
      <w:proofErr w:type="spellStart"/>
      <w:r w:rsidRPr="00D8323E">
        <w:rPr>
          <w:rFonts w:ascii="Helvetica" w:hAnsi="Helvetica" w:cs="Helvetica"/>
          <w:sz w:val="22"/>
          <w:szCs w:val="22"/>
        </w:rPr>
        <w:t>NaCl</w:t>
      </w:r>
      <w:proofErr w:type="spellEnd"/>
      <w:r w:rsidRPr="00D8323E">
        <w:rPr>
          <w:rFonts w:ascii="Helvetica" w:hAnsi="Helvetica" w:cs="Helvetica"/>
          <w:sz w:val="22"/>
          <w:szCs w:val="22"/>
        </w:rPr>
        <w:t xml:space="preserve"> 0.9% (minimum 8 degrees Celsius)</w:t>
      </w:r>
    </w:p>
    <w:p w:rsidR="00C61E62" w:rsidRPr="00D8323E" w:rsidRDefault="00C61E62" w:rsidP="00C61E62">
      <w:pPr>
        <w:pStyle w:val="Lijstalinea"/>
        <w:numPr>
          <w:ilvl w:val="0"/>
          <w:numId w:val="3"/>
        </w:numPr>
        <w:spacing w:before="100" w:beforeAutospacing="1" w:after="24" w:line="276" w:lineRule="auto"/>
        <w:jc w:val="both"/>
        <w:rPr>
          <w:rFonts w:ascii="Helvetica" w:hAnsi="Helvetica" w:cs="Helvetica"/>
          <w:sz w:val="22"/>
          <w:szCs w:val="22"/>
        </w:rPr>
      </w:pPr>
      <w:r w:rsidRPr="00D8323E">
        <w:rPr>
          <w:rFonts w:ascii="Helvetica" w:hAnsi="Helvetica" w:cs="Helvetica"/>
          <w:sz w:val="22"/>
          <w:szCs w:val="22"/>
        </w:rPr>
        <w:t>Ensure an optimal arterial curve. If necessary, flush the arterial catheter before calibration.</w:t>
      </w:r>
    </w:p>
    <w:p w:rsidR="00C61E62" w:rsidRPr="00D8323E" w:rsidRDefault="00C61E62" w:rsidP="00C61E62">
      <w:pPr>
        <w:pStyle w:val="Lijstalinea"/>
        <w:numPr>
          <w:ilvl w:val="0"/>
          <w:numId w:val="3"/>
        </w:numPr>
        <w:spacing w:before="100" w:beforeAutospacing="1" w:after="24" w:line="276" w:lineRule="auto"/>
        <w:jc w:val="both"/>
        <w:rPr>
          <w:rFonts w:ascii="Helvetica" w:hAnsi="Helvetica" w:cs="Helvetica"/>
          <w:sz w:val="22"/>
          <w:szCs w:val="22"/>
        </w:rPr>
      </w:pPr>
      <w:r w:rsidRPr="00D8323E">
        <w:rPr>
          <w:rFonts w:ascii="Helvetica" w:hAnsi="Helvetica" w:cs="Helvetica"/>
          <w:sz w:val="22"/>
          <w:szCs w:val="22"/>
        </w:rPr>
        <w:t>Check the settings of the PICCO module (injectate volume 20ml, injectate temperature, length and weight of the patient).</w:t>
      </w:r>
    </w:p>
    <w:p w:rsidR="00C61E62" w:rsidRPr="00D8323E" w:rsidRDefault="00C61E62" w:rsidP="00C61E62">
      <w:pPr>
        <w:pStyle w:val="Lijstalinea"/>
        <w:numPr>
          <w:ilvl w:val="0"/>
          <w:numId w:val="3"/>
        </w:numPr>
        <w:spacing w:before="100" w:beforeAutospacing="1" w:after="24" w:line="276" w:lineRule="auto"/>
        <w:jc w:val="both"/>
        <w:rPr>
          <w:rFonts w:ascii="Helvetica" w:hAnsi="Helvetica" w:cs="Helvetica"/>
          <w:sz w:val="22"/>
          <w:szCs w:val="22"/>
        </w:rPr>
      </w:pPr>
      <w:r w:rsidRPr="00D8323E">
        <w:rPr>
          <w:rFonts w:ascii="Helvetica" w:hAnsi="Helvetica" w:cs="Helvetica"/>
          <w:sz w:val="22"/>
          <w:szCs w:val="22"/>
        </w:rPr>
        <w:t>Administer the injectate (20ml) within 7 seconds, paying attention that you notice a temperature decrease of at least 0.2 degrees Celsius.</w:t>
      </w:r>
    </w:p>
    <w:p w:rsidR="00C61E62" w:rsidRPr="00D8323E" w:rsidRDefault="00C61E62" w:rsidP="00C61E62">
      <w:pPr>
        <w:pStyle w:val="Lijstalinea"/>
        <w:numPr>
          <w:ilvl w:val="0"/>
          <w:numId w:val="3"/>
        </w:numPr>
        <w:spacing w:before="100" w:beforeAutospacing="1" w:after="24" w:line="276" w:lineRule="auto"/>
        <w:jc w:val="both"/>
        <w:rPr>
          <w:rFonts w:ascii="Helvetica" w:hAnsi="Helvetica" w:cs="Helvetica"/>
          <w:sz w:val="22"/>
          <w:szCs w:val="22"/>
        </w:rPr>
      </w:pPr>
      <w:r w:rsidRPr="00D8323E">
        <w:rPr>
          <w:rFonts w:ascii="Helvetica" w:hAnsi="Helvetica" w:cs="Helvetica"/>
          <w:sz w:val="22"/>
          <w:szCs w:val="22"/>
        </w:rPr>
        <w:t xml:space="preserve">Conduct at least three measurements that do not differ &gt;10%. In case of a larger deviation, tap on the measurement to annul it, then re-do the measurement. </w:t>
      </w:r>
    </w:p>
    <w:p w:rsidR="00C61E62" w:rsidRPr="00D8323E" w:rsidRDefault="00C61E62" w:rsidP="00C61E62">
      <w:pPr>
        <w:jc w:val="both"/>
        <w:rPr>
          <w:rFonts w:ascii="Helvetica" w:hAnsi="Helvetica" w:cs="Helvetica"/>
          <w:b/>
          <w:bCs/>
          <w:sz w:val="22"/>
          <w:szCs w:val="22"/>
        </w:rPr>
        <w:sectPr w:rsidR="00C61E62" w:rsidRPr="00D8323E" w:rsidSect="00D20E0F">
          <w:pgSz w:w="11900" w:h="16840"/>
          <w:pgMar w:top="1440" w:right="1440" w:bottom="1440" w:left="1440" w:header="708" w:footer="708" w:gutter="0"/>
          <w:cols w:space="708"/>
          <w:docGrid w:linePitch="360"/>
        </w:sectPr>
      </w:pPr>
    </w:p>
    <w:p w:rsidR="00C61E62" w:rsidRPr="00517463" w:rsidRDefault="00600DB5" w:rsidP="00D8323E">
      <w:pPr>
        <w:pStyle w:val="Kop1"/>
        <w:rPr>
          <w:rFonts w:ascii="Helvetica" w:hAnsi="Helvetica" w:cs="Helvetica"/>
          <w:color w:val="auto"/>
          <w:sz w:val="24"/>
        </w:rPr>
      </w:pPr>
      <w:bookmarkStart w:id="3" w:name="_Toc128578330"/>
      <w:r>
        <w:rPr>
          <w:rFonts w:ascii="Helvetica" w:hAnsi="Helvetica" w:cs="Helvetica"/>
          <w:b/>
          <w:color w:val="auto"/>
          <w:sz w:val="24"/>
        </w:rPr>
        <w:t xml:space="preserve">Table </w:t>
      </w:r>
      <w:r w:rsidR="007B7150">
        <w:rPr>
          <w:rFonts w:ascii="Helvetica" w:hAnsi="Helvetica" w:cs="Helvetica"/>
          <w:b/>
          <w:color w:val="auto"/>
          <w:sz w:val="24"/>
        </w:rPr>
        <w:t>S</w:t>
      </w:r>
      <w:r w:rsidR="00C61E62" w:rsidRPr="00517463">
        <w:rPr>
          <w:rFonts w:ascii="Helvetica" w:hAnsi="Helvetica" w:cs="Helvetica"/>
          <w:b/>
          <w:color w:val="auto"/>
          <w:sz w:val="24"/>
        </w:rPr>
        <w:t>1:</w:t>
      </w:r>
      <w:r w:rsidR="00C61E62" w:rsidRPr="00517463">
        <w:rPr>
          <w:rFonts w:ascii="Helvetica" w:hAnsi="Helvetica" w:cs="Helvetica"/>
          <w:color w:val="auto"/>
          <w:sz w:val="24"/>
        </w:rPr>
        <w:t xml:space="preserve"> The 4-region B-line count score</w:t>
      </w:r>
      <w:bookmarkEnd w:id="3"/>
      <w:r w:rsidR="00C61E62" w:rsidRPr="00517463">
        <w:rPr>
          <w:rFonts w:ascii="Helvetica" w:hAnsi="Helvetica" w:cs="Helvetica"/>
          <w:color w:val="auto"/>
          <w:sz w:val="24"/>
        </w:rPr>
        <w:t xml:space="preserve"> </w:t>
      </w:r>
    </w:p>
    <w:p w:rsidR="00C61E62" w:rsidRPr="00D8323E" w:rsidRDefault="00C61E62" w:rsidP="00C61E62">
      <w:pPr>
        <w:jc w:val="both"/>
        <w:rPr>
          <w:rFonts w:ascii="Helvetica" w:hAnsi="Helvetica" w:cs="Helvetica"/>
          <w:bCs/>
          <w:i/>
          <w:iCs/>
          <w:sz w:val="22"/>
          <w:szCs w:val="22"/>
        </w:rPr>
      </w:pPr>
    </w:p>
    <w:tbl>
      <w:tblPr>
        <w:tblStyle w:val="Tabelraster"/>
        <w:tblW w:w="5000" w:type="pct"/>
        <w:tblLook w:val="04A0" w:firstRow="1" w:lastRow="0" w:firstColumn="1" w:lastColumn="0" w:noHBand="0" w:noVBand="1"/>
      </w:tblPr>
      <w:tblGrid>
        <w:gridCol w:w="4505"/>
        <w:gridCol w:w="4505"/>
      </w:tblGrid>
      <w:tr w:rsidR="00D8323E" w:rsidRPr="00D8323E" w:rsidTr="00E41237">
        <w:trPr>
          <w:trHeight w:val="363"/>
        </w:trPr>
        <w:tc>
          <w:tcPr>
            <w:tcW w:w="2500" w:type="pct"/>
          </w:tcPr>
          <w:p w:rsidR="00C61E62" w:rsidRPr="00D8323E" w:rsidRDefault="00C61E62" w:rsidP="00E41237">
            <w:pPr>
              <w:spacing w:after="240"/>
              <w:contextualSpacing/>
              <w:jc w:val="both"/>
              <w:rPr>
                <w:rFonts w:ascii="Helvetica" w:hAnsi="Helvetica" w:cs="Helvetica"/>
                <w:b/>
                <w:bCs/>
                <w:sz w:val="22"/>
                <w:szCs w:val="22"/>
              </w:rPr>
            </w:pPr>
            <w:r w:rsidRPr="00D8323E">
              <w:rPr>
                <w:rFonts w:ascii="Helvetica" w:hAnsi="Helvetica" w:cs="Helvetica"/>
                <w:b/>
                <w:bCs/>
                <w:sz w:val="22"/>
                <w:szCs w:val="22"/>
              </w:rPr>
              <w:t>Ultrasound finding</w:t>
            </w:r>
          </w:p>
        </w:tc>
        <w:tc>
          <w:tcPr>
            <w:tcW w:w="2500" w:type="pct"/>
          </w:tcPr>
          <w:p w:rsidR="00C61E62" w:rsidRPr="00D8323E" w:rsidRDefault="00C61E62" w:rsidP="00E41237">
            <w:pPr>
              <w:spacing w:after="240"/>
              <w:contextualSpacing/>
              <w:jc w:val="both"/>
              <w:rPr>
                <w:rFonts w:ascii="Helvetica" w:hAnsi="Helvetica" w:cs="Helvetica"/>
                <w:b/>
                <w:bCs/>
                <w:sz w:val="22"/>
                <w:szCs w:val="22"/>
              </w:rPr>
            </w:pPr>
            <w:r w:rsidRPr="00D8323E">
              <w:rPr>
                <w:rFonts w:ascii="Helvetica" w:hAnsi="Helvetica" w:cs="Helvetica"/>
                <w:b/>
                <w:bCs/>
                <w:sz w:val="22"/>
                <w:szCs w:val="22"/>
              </w:rPr>
              <w:t>Score</w:t>
            </w:r>
          </w:p>
        </w:tc>
      </w:tr>
      <w:tr w:rsidR="00D8323E" w:rsidRPr="00D8323E" w:rsidTr="00E41237">
        <w:trPr>
          <w:trHeight w:val="282"/>
        </w:trPr>
        <w:tc>
          <w:tcPr>
            <w:tcW w:w="2500" w:type="pct"/>
          </w:tcPr>
          <w:p w:rsidR="00C61E62" w:rsidRPr="00D8323E" w:rsidRDefault="00C61E62" w:rsidP="00E41237">
            <w:pPr>
              <w:spacing w:after="240"/>
              <w:contextualSpacing/>
              <w:jc w:val="both"/>
              <w:rPr>
                <w:rFonts w:ascii="Helvetica" w:hAnsi="Helvetica" w:cs="Helvetica"/>
                <w:bCs/>
                <w:sz w:val="22"/>
                <w:szCs w:val="22"/>
                <w:vertAlign w:val="superscript"/>
              </w:rPr>
            </w:pPr>
            <w:r w:rsidRPr="00D8323E">
              <w:rPr>
                <w:rFonts w:ascii="Helvetica" w:hAnsi="Helvetica" w:cs="Helvetica"/>
                <w:bCs/>
                <w:sz w:val="22"/>
                <w:szCs w:val="22"/>
              </w:rPr>
              <w:t>No B-line/</w:t>
            </w:r>
            <w:proofErr w:type="spellStart"/>
            <w:r w:rsidRPr="00D8323E">
              <w:rPr>
                <w:rFonts w:ascii="Helvetica" w:hAnsi="Helvetica" w:cs="Helvetica"/>
                <w:bCs/>
                <w:sz w:val="22"/>
                <w:szCs w:val="22"/>
              </w:rPr>
              <w:t>ICS</w:t>
            </w:r>
            <w:r w:rsidRPr="00D8323E">
              <w:rPr>
                <w:rFonts w:ascii="Helvetica" w:hAnsi="Helvetica" w:cs="Helvetica"/>
                <w:bCs/>
                <w:sz w:val="22"/>
                <w:szCs w:val="22"/>
                <w:vertAlign w:val="superscript"/>
              </w:rPr>
              <w:t>a</w:t>
            </w:r>
            <w:proofErr w:type="spellEnd"/>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0</w:t>
            </w:r>
          </w:p>
        </w:tc>
      </w:tr>
      <w:tr w:rsidR="00D8323E" w:rsidRPr="00D8323E" w:rsidTr="00E41237">
        <w:trPr>
          <w:trHeight w:val="259"/>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One B-line/ICS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1</w:t>
            </w:r>
          </w:p>
        </w:tc>
      </w:tr>
      <w:tr w:rsidR="00D8323E" w:rsidRPr="00D8323E" w:rsidTr="00E41237">
        <w:trPr>
          <w:trHeight w:val="277"/>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Two B-lines/ICS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2</w:t>
            </w:r>
          </w:p>
        </w:tc>
      </w:tr>
      <w:tr w:rsidR="00D8323E" w:rsidRPr="00D8323E" w:rsidTr="00E41237">
        <w:trPr>
          <w:trHeight w:val="267"/>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Three B-lines/ICS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3</w:t>
            </w:r>
          </w:p>
        </w:tc>
      </w:tr>
      <w:tr w:rsidR="00D8323E" w:rsidRPr="00D8323E" w:rsidTr="00E41237">
        <w:trPr>
          <w:trHeight w:val="284"/>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Four B-lines/ICS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4</w:t>
            </w:r>
          </w:p>
        </w:tc>
      </w:tr>
      <w:tr w:rsidR="00D8323E" w:rsidRPr="00D8323E" w:rsidTr="00E41237">
        <w:trPr>
          <w:trHeight w:val="275"/>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Five B-lines/ICS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5</w:t>
            </w:r>
          </w:p>
        </w:tc>
      </w:tr>
      <w:tr w:rsidR="00D8323E" w:rsidRPr="00D8323E" w:rsidTr="00E41237">
        <w:trPr>
          <w:trHeight w:val="265"/>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Confluent B lines &gt;50% 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6</w:t>
            </w:r>
          </w:p>
        </w:tc>
      </w:tr>
      <w:tr w:rsidR="00D8323E" w:rsidRPr="00D8323E" w:rsidTr="00E41237">
        <w:trPr>
          <w:trHeight w:val="283"/>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Confluent B lines &gt;75% 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7</w:t>
            </w:r>
          </w:p>
        </w:tc>
      </w:tr>
      <w:tr w:rsidR="00D8323E" w:rsidRPr="00D8323E" w:rsidTr="00E41237">
        <w:trPr>
          <w:trHeight w:val="258"/>
        </w:trPr>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Confluent B lines 100% ICS</w:t>
            </w:r>
          </w:p>
        </w:tc>
        <w:tc>
          <w:tcPr>
            <w:tcW w:w="2500" w:type="pct"/>
          </w:tcPr>
          <w:p w:rsidR="00C61E62" w:rsidRPr="00D8323E" w:rsidRDefault="00C61E62" w:rsidP="00E41237">
            <w:pPr>
              <w:spacing w:after="240"/>
              <w:contextualSpacing/>
              <w:jc w:val="both"/>
              <w:rPr>
                <w:rFonts w:ascii="Helvetica" w:hAnsi="Helvetica" w:cs="Helvetica"/>
                <w:bCs/>
                <w:sz w:val="22"/>
                <w:szCs w:val="22"/>
              </w:rPr>
            </w:pPr>
            <w:r w:rsidRPr="00D8323E">
              <w:rPr>
                <w:rFonts w:ascii="Helvetica" w:hAnsi="Helvetica" w:cs="Helvetica"/>
                <w:bCs/>
                <w:sz w:val="22"/>
                <w:szCs w:val="22"/>
              </w:rPr>
              <w:t>8</w:t>
            </w:r>
          </w:p>
        </w:tc>
      </w:tr>
    </w:tbl>
    <w:p w:rsidR="00C61E62" w:rsidRPr="00D8323E" w:rsidRDefault="00C61E62" w:rsidP="00C61E62">
      <w:pPr>
        <w:spacing w:line="480" w:lineRule="auto"/>
        <w:jc w:val="both"/>
        <w:rPr>
          <w:rFonts w:ascii="Helvetica" w:hAnsi="Helvetica" w:cs="Helvetica"/>
          <w:bCs/>
          <w:i/>
          <w:sz w:val="20"/>
          <w:szCs w:val="22"/>
        </w:rPr>
      </w:pPr>
      <w:proofErr w:type="spellStart"/>
      <w:r w:rsidRPr="00D8323E">
        <w:rPr>
          <w:rFonts w:ascii="Helvetica" w:hAnsi="Helvetica" w:cs="Helvetica"/>
          <w:bCs/>
          <w:i/>
          <w:sz w:val="20"/>
          <w:szCs w:val="22"/>
          <w:vertAlign w:val="superscript"/>
        </w:rPr>
        <w:t>a</w:t>
      </w:r>
      <w:r w:rsidRPr="00D8323E">
        <w:rPr>
          <w:rFonts w:ascii="Helvetica" w:hAnsi="Helvetica" w:cs="Helvetica"/>
          <w:bCs/>
          <w:i/>
          <w:sz w:val="20"/>
          <w:szCs w:val="22"/>
        </w:rPr>
        <w:t>ICS</w:t>
      </w:r>
      <w:proofErr w:type="spellEnd"/>
      <w:r w:rsidRPr="00D8323E">
        <w:rPr>
          <w:rFonts w:ascii="Helvetica" w:hAnsi="Helvetica" w:cs="Helvetica"/>
          <w:bCs/>
          <w:i/>
          <w:sz w:val="20"/>
          <w:szCs w:val="22"/>
        </w:rPr>
        <w:t xml:space="preserve"> = intercostal space</w:t>
      </w:r>
    </w:p>
    <w:p w:rsidR="00C61E62" w:rsidRPr="00D8323E" w:rsidRDefault="00C61E62" w:rsidP="00C61E62">
      <w:pPr>
        <w:jc w:val="both"/>
        <w:rPr>
          <w:rFonts w:ascii="Helvetica" w:hAnsi="Helvetica" w:cs="Helvetica"/>
          <w:bCs/>
          <w:sz w:val="20"/>
          <w:szCs w:val="22"/>
        </w:rPr>
      </w:pPr>
      <w:r w:rsidRPr="00D8323E">
        <w:rPr>
          <w:rFonts w:ascii="Helvetica" w:hAnsi="Helvetica" w:cs="Helvetica"/>
          <w:bCs/>
          <w:i/>
          <w:sz w:val="20"/>
          <w:szCs w:val="22"/>
        </w:rPr>
        <w:t xml:space="preserve">Table summarizing the 4-region B-line count score proposed by </w:t>
      </w:r>
      <w:proofErr w:type="spellStart"/>
      <w:r w:rsidRPr="00D8323E">
        <w:rPr>
          <w:rFonts w:ascii="Helvetica" w:hAnsi="Helvetica" w:cs="Helvetica"/>
          <w:bCs/>
          <w:i/>
          <w:sz w:val="20"/>
          <w:szCs w:val="22"/>
        </w:rPr>
        <w:t>Enghard</w:t>
      </w:r>
      <w:proofErr w:type="spellEnd"/>
      <w:r w:rsidRPr="00D8323E">
        <w:rPr>
          <w:rFonts w:ascii="Helvetica" w:hAnsi="Helvetica" w:cs="Helvetica"/>
          <w:bCs/>
          <w:i/>
          <w:sz w:val="20"/>
          <w:szCs w:val="22"/>
        </w:rPr>
        <w:t xml:space="preserve"> et al.</w:t>
      </w:r>
    </w:p>
    <w:p w:rsidR="00C61E62" w:rsidRPr="00D8323E" w:rsidRDefault="00C61E62" w:rsidP="00C61E62">
      <w:pPr>
        <w:spacing w:line="480" w:lineRule="auto"/>
        <w:jc w:val="both"/>
        <w:rPr>
          <w:rFonts w:ascii="Helvetica" w:hAnsi="Helvetica" w:cs="Helvetica"/>
          <w:bCs/>
          <w:i/>
          <w:sz w:val="22"/>
          <w:szCs w:val="22"/>
        </w:rPr>
      </w:pPr>
    </w:p>
    <w:p w:rsidR="00C61E62" w:rsidRPr="00D8323E" w:rsidRDefault="00C61E62" w:rsidP="00C61E62">
      <w:pPr>
        <w:spacing w:line="480" w:lineRule="auto"/>
        <w:jc w:val="both"/>
        <w:rPr>
          <w:rFonts w:ascii="Helvetica" w:hAnsi="Helvetica" w:cs="Helvetica"/>
          <w:b/>
          <w:sz w:val="22"/>
          <w:szCs w:val="22"/>
        </w:rPr>
      </w:pPr>
    </w:p>
    <w:p w:rsidR="00F5536E" w:rsidRPr="00D8323E" w:rsidRDefault="00F5536E">
      <w:pPr>
        <w:rPr>
          <w:rFonts w:ascii="Helvetica" w:hAnsi="Helvetica" w:cs="Helvetica"/>
        </w:rPr>
      </w:pPr>
    </w:p>
    <w:sectPr w:rsidR="00F5536E" w:rsidRPr="00D8323E" w:rsidSect="00D20E0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57E" w:rsidRDefault="0045757E" w:rsidP="0045757E">
      <w:r>
        <w:separator/>
      </w:r>
    </w:p>
  </w:endnote>
  <w:endnote w:type="continuationSeparator" w:id="0">
    <w:p w:rsidR="0045757E" w:rsidRDefault="0045757E" w:rsidP="004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elvetica" w:hAnsi="Helvetica" w:cs="Helvetica"/>
        <w:sz w:val="22"/>
      </w:rPr>
      <w:id w:val="2090957768"/>
      <w:docPartObj>
        <w:docPartGallery w:val="Page Numbers (Bottom of Page)"/>
        <w:docPartUnique/>
      </w:docPartObj>
    </w:sdtPr>
    <w:sdtEndPr/>
    <w:sdtContent>
      <w:p w:rsidR="0045757E" w:rsidRPr="0045757E" w:rsidRDefault="0045757E">
        <w:pPr>
          <w:pStyle w:val="Voettekst"/>
          <w:rPr>
            <w:rFonts w:ascii="Helvetica" w:hAnsi="Helvetica" w:cs="Helvetica"/>
            <w:sz w:val="22"/>
          </w:rPr>
        </w:pPr>
        <w:r w:rsidRPr="0045757E">
          <w:rPr>
            <w:rFonts w:ascii="Helvetica" w:hAnsi="Helvetica" w:cs="Helvetica"/>
            <w:sz w:val="22"/>
          </w:rPr>
          <w:fldChar w:fldCharType="begin"/>
        </w:r>
        <w:r w:rsidRPr="0045757E">
          <w:rPr>
            <w:rFonts w:ascii="Helvetica" w:hAnsi="Helvetica" w:cs="Helvetica"/>
            <w:sz w:val="22"/>
          </w:rPr>
          <w:instrText>PAGE   \* MERGEFORMAT</w:instrText>
        </w:r>
        <w:r w:rsidRPr="0045757E">
          <w:rPr>
            <w:rFonts w:ascii="Helvetica" w:hAnsi="Helvetica" w:cs="Helvetica"/>
            <w:sz w:val="22"/>
          </w:rPr>
          <w:fldChar w:fldCharType="separate"/>
        </w:r>
        <w:r w:rsidR="00B46549" w:rsidRPr="00B46549">
          <w:rPr>
            <w:rFonts w:ascii="Helvetica" w:hAnsi="Helvetica" w:cs="Helvetica"/>
            <w:noProof/>
            <w:sz w:val="22"/>
            <w:lang w:val="nl-NL"/>
          </w:rPr>
          <w:t>4</w:t>
        </w:r>
        <w:r w:rsidRPr="0045757E">
          <w:rPr>
            <w:rFonts w:ascii="Helvetica" w:hAnsi="Helvetica" w:cs="Helvetica"/>
            <w:sz w:val="22"/>
          </w:rPr>
          <w:fldChar w:fldCharType="end"/>
        </w:r>
      </w:p>
    </w:sdtContent>
  </w:sdt>
  <w:p w:rsidR="0045757E" w:rsidRPr="0045757E" w:rsidRDefault="0045757E">
    <w:pPr>
      <w:pStyle w:val="Voettekst"/>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57E" w:rsidRDefault="0045757E" w:rsidP="0045757E">
      <w:r>
        <w:separator/>
      </w:r>
    </w:p>
  </w:footnote>
  <w:footnote w:type="continuationSeparator" w:id="0">
    <w:p w:rsidR="0045757E" w:rsidRDefault="0045757E" w:rsidP="0045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883"/>
    <w:multiLevelType w:val="hybridMultilevel"/>
    <w:tmpl w:val="CBE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F5728"/>
    <w:multiLevelType w:val="hybridMultilevel"/>
    <w:tmpl w:val="C8EA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21F59"/>
    <w:multiLevelType w:val="hybridMultilevel"/>
    <w:tmpl w:val="8E2EF61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6A6C7300"/>
    <w:multiLevelType w:val="multilevel"/>
    <w:tmpl w:val="346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62"/>
    <w:rsid w:val="0045757E"/>
    <w:rsid w:val="00517463"/>
    <w:rsid w:val="00600DB5"/>
    <w:rsid w:val="007B7150"/>
    <w:rsid w:val="00B46549"/>
    <w:rsid w:val="00BB65E0"/>
    <w:rsid w:val="00C61E62"/>
    <w:rsid w:val="00D8323E"/>
    <w:rsid w:val="00F55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215A9A1-BA09-4D01-9EB4-630161C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1E62"/>
    <w:pPr>
      <w:spacing w:after="0" w:line="240" w:lineRule="auto"/>
    </w:pPr>
    <w:rPr>
      <w:sz w:val="24"/>
      <w:szCs w:val="24"/>
      <w:lang w:val="en-US"/>
    </w:rPr>
  </w:style>
  <w:style w:type="paragraph" w:styleId="Kop1">
    <w:name w:val="heading 1"/>
    <w:basedOn w:val="Standaard"/>
    <w:next w:val="Standaard"/>
    <w:link w:val="Kop1Char"/>
    <w:uiPriority w:val="9"/>
    <w:qFormat/>
    <w:rsid w:val="00D8323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C61E62"/>
    <w:pPr>
      <w:ind w:left="720"/>
      <w:contextualSpacing/>
    </w:pPr>
  </w:style>
  <w:style w:type="paragraph" w:styleId="Normaalweb">
    <w:name w:val="Normal (Web)"/>
    <w:basedOn w:val="Standaard"/>
    <w:uiPriority w:val="99"/>
    <w:unhideWhenUsed/>
    <w:rsid w:val="00C61E62"/>
    <w:pPr>
      <w:spacing w:before="100" w:beforeAutospacing="1" w:after="100" w:afterAutospacing="1"/>
    </w:pPr>
    <w:rPr>
      <w:rFonts w:ascii="Times New Roman" w:eastAsia="Times New Roman" w:hAnsi="Times New Roman" w:cs="Times New Roman"/>
    </w:rPr>
  </w:style>
  <w:style w:type="table" w:styleId="Tabelraster">
    <w:name w:val="Table Grid"/>
    <w:basedOn w:val="Standaardtabel"/>
    <w:uiPriority w:val="39"/>
    <w:rsid w:val="00C61E6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5757E"/>
    <w:pPr>
      <w:tabs>
        <w:tab w:val="center" w:pos="4513"/>
        <w:tab w:val="right" w:pos="9026"/>
      </w:tabs>
    </w:pPr>
  </w:style>
  <w:style w:type="character" w:customStyle="1" w:styleId="KoptekstChar">
    <w:name w:val="Koptekst Char"/>
    <w:basedOn w:val="Standaardalinea-lettertype"/>
    <w:link w:val="Koptekst"/>
    <w:uiPriority w:val="99"/>
    <w:rsid w:val="0045757E"/>
    <w:rPr>
      <w:sz w:val="24"/>
      <w:szCs w:val="24"/>
      <w:lang w:val="en-US"/>
    </w:rPr>
  </w:style>
  <w:style w:type="paragraph" w:styleId="Voettekst">
    <w:name w:val="footer"/>
    <w:basedOn w:val="Standaard"/>
    <w:link w:val="VoettekstChar"/>
    <w:uiPriority w:val="99"/>
    <w:unhideWhenUsed/>
    <w:rsid w:val="0045757E"/>
    <w:pPr>
      <w:tabs>
        <w:tab w:val="center" w:pos="4513"/>
        <w:tab w:val="right" w:pos="9026"/>
      </w:tabs>
    </w:pPr>
  </w:style>
  <w:style w:type="character" w:customStyle="1" w:styleId="VoettekstChar">
    <w:name w:val="Voettekst Char"/>
    <w:basedOn w:val="Standaardalinea-lettertype"/>
    <w:link w:val="Voettekst"/>
    <w:uiPriority w:val="99"/>
    <w:rsid w:val="0045757E"/>
    <w:rPr>
      <w:sz w:val="24"/>
      <w:szCs w:val="24"/>
      <w:lang w:val="en-US"/>
    </w:rPr>
  </w:style>
  <w:style w:type="character" w:customStyle="1" w:styleId="Kop1Char">
    <w:name w:val="Kop 1 Char"/>
    <w:basedOn w:val="Standaardalinea-lettertype"/>
    <w:link w:val="Kop1"/>
    <w:uiPriority w:val="9"/>
    <w:rsid w:val="00D8323E"/>
    <w:rPr>
      <w:rFonts w:asciiTheme="majorHAnsi" w:eastAsiaTheme="majorEastAsia" w:hAnsiTheme="majorHAnsi" w:cstheme="majorBidi"/>
      <w:color w:val="2E74B5" w:themeColor="accent1" w:themeShade="BF"/>
      <w:sz w:val="32"/>
      <w:szCs w:val="32"/>
      <w:lang w:val="en-US"/>
    </w:rPr>
  </w:style>
  <w:style w:type="paragraph" w:styleId="Kopvaninhoudsopgave">
    <w:name w:val="TOC Heading"/>
    <w:basedOn w:val="Kop1"/>
    <w:next w:val="Standaard"/>
    <w:uiPriority w:val="39"/>
    <w:unhideWhenUsed/>
    <w:qFormat/>
    <w:rsid w:val="00D8323E"/>
    <w:pPr>
      <w:spacing w:line="259" w:lineRule="auto"/>
      <w:outlineLvl w:val="9"/>
    </w:pPr>
    <w:rPr>
      <w:lang w:val="nl-NL" w:eastAsia="nl-NL"/>
    </w:rPr>
  </w:style>
  <w:style w:type="paragraph" w:styleId="Inhopg1">
    <w:name w:val="toc 1"/>
    <w:basedOn w:val="Standaard"/>
    <w:next w:val="Standaard"/>
    <w:autoRedefine/>
    <w:uiPriority w:val="39"/>
    <w:unhideWhenUsed/>
    <w:rsid w:val="00D8323E"/>
    <w:pPr>
      <w:spacing w:after="100"/>
    </w:pPr>
  </w:style>
  <w:style w:type="character" w:styleId="Hyperlink">
    <w:name w:val="Hyperlink"/>
    <w:basedOn w:val="Standaardalinea-lettertype"/>
    <w:uiPriority w:val="99"/>
    <w:unhideWhenUsed/>
    <w:rsid w:val="00D83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716259">
      <w:bodyDiv w:val="1"/>
      <w:marLeft w:val="0"/>
      <w:marRight w:val="0"/>
      <w:marTop w:val="0"/>
      <w:marBottom w:val="0"/>
      <w:divBdr>
        <w:top w:val="none" w:sz="0" w:space="0" w:color="auto"/>
        <w:left w:val="none" w:sz="0" w:space="0" w:color="auto"/>
        <w:bottom w:val="none" w:sz="0" w:space="0" w:color="auto"/>
        <w:right w:val="none" w:sz="0" w:space="0" w:color="auto"/>
      </w:divBdr>
    </w:div>
    <w:div w:id="11483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D0E9-8FB0-416B-96DE-4987EB3B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916</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Atmowihardjo, L.N. (Leila)</dc:creator>
  <cp:keywords/>
  <dc:description/>
  <cp:lastModifiedBy>Atmowihardjo, L.N. (Leila)</cp:lastModifiedBy>
  <cp:revision>7</cp:revision>
  <dcterms:created xsi:type="dcterms:W3CDTF">2022-12-01T14:56:00Z</dcterms:created>
  <dcterms:modified xsi:type="dcterms:W3CDTF">2023-03-02T13:37:00Z</dcterms:modified>
</cp:coreProperties>
</file>