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A5A87" w14:textId="77777777" w:rsidR="00C4262B" w:rsidRDefault="00C4262B" w:rsidP="00C4262B">
      <w:pPr>
        <w:pStyle w:val="Heading2"/>
      </w:pPr>
      <w:r w:rsidRPr="007067B4">
        <w:t>Annex</w:t>
      </w:r>
    </w:p>
    <w:p w14:paraId="1A7FA9F6" w14:textId="77777777" w:rsidR="00C4262B" w:rsidRDefault="00C4262B" w:rsidP="00C4262B">
      <w:pPr>
        <w:rPr>
          <w:b/>
          <w:bCs/>
        </w:rPr>
      </w:pPr>
      <w:r>
        <w:rPr>
          <w:b/>
          <w:bCs/>
        </w:rPr>
        <w:t>List of criteria and description for each criteria</w:t>
      </w:r>
    </w:p>
    <w:tbl>
      <w:tblPr>
        <w:tblStyle w:val="TableGridLight"/>
        <w:tblW w:w="10601" w:type="dxa"/>
        <w:tblLook w:val="04A0" w:firstRow="1" w:lastRow="0" w:firstColumn="1" w:lastColumn="0" w:noHBand="0" w:noVBand="1"/>
      </w:tblPr>
      <w:tblGrid>
        <w:gridCol w:w="1261"/>
        <w:gridCol w:w="1208"/>
        <w:gridCol w:w="2048"/>
        <w:gridCol w:w="801"/>
        <w:gridCol w:w="5343"/>
      </w:tblGrid>
      <w:tr w:rsidR="00C4262B" w14:paraId="6BBD24E8" w14:textId="77777777" w:rsidTr="00BA4746">
        <w:trPr>
          <w:trHeight w:val="288"/>
          <w:tblHeader/>
        </w:trPr>
        <w:tc>
          <w:tcPr>
            <w:tcW w:w="1238" w:type="dxa"/>
            <w:noWrap/>
            <w:hideMark/>
          </w:tcPr>
          <w:p w14:paraId="2EA80FB2" w14:textId="77777777" w:rsidR="00C4262B" w:rsidRPr="006B3D76" w:rsidRDefault="00C4262B" w:rsidP="00BA4746">
            <w:pPr>
              <w:jc w:val="left"/>
              <w:rPr>
                <w:rFonts w:asciiTheme="minorHAnsi" w:eastAsia="Times New Roman" w:hAnsiTheme="minorHAnsi" w:cstheme="minorHAnsi"/>
                <w:b/>
                <w:bCs/>
                <w:color w:val="000000"/>
                <w:sz w:val="16"/>
                <w:szCs w:val="16"/>
              </w:rPr>
            </w:pPr>
            <w:r w:rsidRPr="006B3D76">
              <w:rPr>
                <w:rFonts w:asciiTheme="minorHAnsi" w:eastAsia="Times New Roman" w:hAnsiTheme="minorHAnsi" w:cstheme="minorHAnsi"/>
                <w:b/>
                <w:bCs/>
                <w:color w:val="000000"/>
                <w:sz w:val="16"/>
                <w:szCs w:val="16"/>
              </w:rPr>
              <w:t>Principle Number</w:t>
            </w:r>
          </w:p>
        </w:tc>
        <w:tc>
          <w:tcPr>
            <w:tcW w:w="1186" w:type="dxa"/>
            <w:noWrap/>
            <w:hideMark/>
          </w:tcPr>
          <w:p w14:paraId="006EE487" w14:textId="77777777" w:rsidR="00C4262B" w:rsidRPr="006B3D76" w:rsidRDefault="00C4262B" w:rsidP="00BA4746">
            <w:pPr>
              <w:jc w:val="left"/>
              <w:rPr>
                <w:rFonts w:asciiTheme="minorHAnsi" w:eastAsia="Times New Roman" w:hAnsiTheme="minorHAnsi" w:cstheme="minorHAnsi"/>
                <w:b/>
                <w:bCs/>
                <w:color w:val="000000"/>
                <w:sz w:val="16"/>
                <w:szCs w:val="16"/>
              </w:rPr>
            </w:pPr>
            <w:r w:rsidRPr="006B3D76">
              <w:rPr>
                <w:rFonts w:asciiTheme="minorHAnsi" w:eastAsia="Times New Roman" w:hAnsiTheme="minorHAnsi" w:cstheme="minorHAnsi"/>
                <w:b/>
                <w:bCs/>
                <w:color w:val="000000"/>
                <w:sz w:val="16"/>
                <w:szCs w:val="16"/>
              </w:rPr>
              <w:t>Guideline Number</w:t>
            </w:r>
          </w:p>
        </w:tc>
        <w:tc>
          <w:tcPr>
            <w:tcW w:w="2048" w:type="dxa"/>
            <w:noWrap/>
            <w:hideMark/>
          </w:tcPr>
          <w:p w14:paraId="3941BFBF" w14:textId="77777777" w:rsidR="00C4262B" w:rsidRPr="006B3D76" w:rsidRDefault="00C4262B" w:rsidP="00BA4746">
            <w:pPr>
              <w:jc w:val="left"/>
              <w:rPr>
                <w:rFonts w:asciiTheme="minorHAnsi" w:eastAsia="Times New Roman" w:hAnsiTheme="minorHAnsi" w:cstheme="minorHAnsi"/>
                <w:b/>
                <w:bCs/>
                <w:color w:val="000000"/>
                <w:sz w:val="16"/>
                <w:szCs w:val="16"/>
              </w:rPr>
            </w:pPr>
            <w:r w:rsidRPr="006B3D76">
              <w:rPr>
                <w:rFonts w:asciiTheme="minorHAnsi" w:eastAsia="Times New Roman" w:hAnsiTheme="minorHAnsi" w:cstheme="minorHAnsi"/>
                <w:b/>
                <w:bCs/>
                <w:color w:val="000000"/>
                <w:sz w:val="16"/>
                <w:szCs w:val="16"/>
              </w:rPr>
              <w:t>Criterion Name</w:t>
            </w:r>
          </w:p>
        </w:tc>
        <w:tc>
          <w:tcPr>
            <w:tcW w:w="786" w:type="dxa"/>
            <w:noWrap/>
            <w:hideMark/>
          </w:tcPr>
          <w:p w14:paraId="2A65DEC7" w14:textId="77777777" w:rsidR="00C4262B" w:rsidRPr="006B3D76" w:rsidRDefault="00C4262B" w:rsidP="00BA4746">
            <w:pPr>
              <w:jc w:val="left"/>
              <w:rPr>
                <w:rFonts w:asciiTheme="minorHAnsi" w:eastAsia="Times New Roman" w:hAnsiTheme="minorHAnsi" w:cstheme="minorHAnsi"/>
                <w:b/>
                <w:bCs/>
                <w:color w:val="000000"/>
                <w:sz w:val="16"/>
                <w:szCs w:val="16"/>
              </w:rPr>
            </w:pPr>
            <w:r w:rsidRPr="006B3D76">
              <w:rPr>
                <w:rFonts w:asciiTheme="minorHAnsi" w:eastAsia="Times New Roman" w:hAnsiTheme="minorHAnsi" w:cstheme="minorHAnsi"/>
                <w:b/>
                <w:bCs/>
                <w:color w:val="000000"/>
                <w:sz w:val="16"/>
                <w:szCs w:val="16"/>
              </w:rPr>
              <w:t>Criterion Number</w:t>
            </w:r>
          </w:p>
        </w:tc>
        <w:tc>
          <w:tcPr>
            <w:tcW w:w="5343" w:type="dxa"/>
            <w:noWrap/>
            <w:hideMark/>
          </w:tcPr>
          <w:p w14:paraId="212035D0" w14:textId="77777777" w:rsidR="00C4262B" w:rsidRPr="006B3D76" w:rsidRDefault="00C4262B" w:rsidP="00BA4746">
            <w:pPr>
              <w:jc w:val="left"/>
              <w:rPr>
                <w:rFonts w:asciiTheme="minorHAnsi" w:eastAsia="Times New Roman" w:hAnsiTheme="minorHAnsi" w:cstheme="minorHAnsi"/>
                <w:b/>
                <w:bCs/>
                <w:color w:val="000000"/>
                <w:sz w:val="16"/>
                <w:szCs w:val="16"/>
              </w:rPr>
            </w:pPr>
            <w:r w:rsidRPr="006B3D76">
              <w:rPr>
                <w:rFonts w:asciiTheme="minorHAnsi" w:eastAsia="Times New Roman" w:hAnsiTheme="minorHAnsi" w:cstheme="minorHAnsi"/>
                <w:b/>
                <w:bCs/>
                <w:color w:val="000000"/>
                <w:sz w:val="16"/>
                <w:szCs w:val="16"/>
              </w:rPr>
              <w:t>Description</w:t>
            </w:r>
          </w:p>
        </w:tc>
      </w:tr>
      <w:tr w:rsidR="00C4262B" w14:paraId="3F6AEAA2" w14:textId="77777777" w:rsidTr="00BA4746">
        <w:trPr>
          <w:trHeight w:val="288"/>
        </w:trPr>
        <w:tc>
          <w:tcPr>
            <w:tcW w:w="1238" w:type="dxa"/>
            <w:noWrap/>
            <w:hideMark/>
          </w:tcPr>
          <w:p w14:paraId="523DC8E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2750F9B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1.1 – Text Alternatives</w:t>
            </w:r>
          </w:p>
        </w:tc>
        <w:tc>
          <w:tcPr>
            <w:tcW w:w="2048" w:type="dxa"/>
            <w:noWrap/>
            <w:hideMark/>
          </w:tcPr>
          <w:p w14:paraId="6887E8D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Calibri" w:eastAsia="Times New Roman" w:hAnsi="Calibri" w:cs="Calibri"/>
                <w:color w:val="000000"/>
                <w:sz w:val="16"/>
                <w:szCs w:val="16"/>
              </w:rPr>
              <w:t>Nontext</w:t>
            </w:r>
            <w:r w:rsidRPr="006B3D76">
              <w:rPr>
                <w:rFonts w:asciiTheme="minorHAnsi" w:eastAsia="Times New Roman" w:hAnsiTheme="minorHAnsi" w:cstheme="minorHAnsi"/>
                <w:color w:val="000000"/>
                <w:sz w:val="16"/>
                <w:szCs w:val="16"/>
              </w:rPr>
              <w:t xml:space="preserve"> Content</w:t>
            </w:r>
          </w:p>
        </w:tc>
        <w:tc>
          <w:tcPr>
            <w:tcW w:w="786" w:type="dxa"/>
            <w:noWrap/>
            <w:hideMark/>
          </w:tcPr>
          <w:p w14:paraId="40FC95B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1.1.1.</w:t>
            </w:r>
          </w:p>
        </w:tc>
        <w:tc>
          <w:tcPr>
            <w:tcW w:w="5343" w:type="dxa"/>
            <w:noWrap/>
            <w:hideMark/>
          </w:tcPr>
          <w:p w14:paraId="35094363" w14:textId="77777777" w:rsidR="00C4262B" w:rsidRPr="006B3D76" w:rsidRDefault="00C4262B" w:rsidP="00BA4746">
            <w:pPr>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 xml:space="preserve">All </w:t>
            </w:r>
            <w:r>
              <w:rPr>
                <w:rFonts w:ascii="Calibri" w:eastAsia="Times New Roman" w:hAnsi="Calibri" w:cs="Calibri"/>
                <w:color w:val="000000"/>
                <w:sz w:val="16"/>
                <w:szCs w:val="16"/>
              </w:rPr>
              <w:t>nontext</w:t>
            </w:r>
            <w:r>
              <w:rPr>
                <w:rFonts w:asciiTheme="minorHAnsi" w:eastAsia="Times New Roman" w:hAnsiTheme="minorHAnsi" w:cstheme="minorHAnsi"/>
                <w:color w:val="000000"/>
                <w:sz w:val="16"/>
                <w:szCs w:val="16"/>
              </w:rPr>
              <w:t xml:space="preserve"> content that is presented to the user has a text alternative that serves the equivalent purpose, except for specific situations.</w:t>
            </w:r>
          </w:p>
        </w:tc>
      </w:tr>
      <w:tr w:rsidR="00C4262B" w14:paraId="3D59D84A" w14:textId="77777777" w:rsidTr="00BA4746">
        <w:trPr>
          <w:trHeight w:val="288"/>
        </w:trPr>
        <w:tc>
          <w:tcPr>
            <w:tcW w:w="1238" w:type="dxa"/>
            <w:noWrap/>
            <w:hideMark/>
          </w:tcPr>
          <w:p w14:paraId="03B80F2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472973B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1.2 – Time-based Media</w:t>
            </w:r>
          </w:p>
        </w:tc>
        <w:tc>
          <w:tcPr>
            <w:tcW w:w="2048" w:type="dxa"/>
            <w:noWrap/>
            <w:hideMark/>
          </w:tcPr>
          <w:p w14:paraId="1C49816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Audio-only and Video-only (Prerecorded)</w:t>
            </w:r>
          </w:p>
        </w:tc>
        <w:tc>
          <w:tcPr>
            <w:tcW w:w="786" w:type="dxa"/>
            <w:noWrap/>
            <w:hideMark/>
          </w:tcPr>
          <w:p w14:paraId="4AF56C2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1.2.1</w:t>
            </w:r>
          </w:p>
        </w:tc>
        <w:tc>
          <w:tcPr>
            <w:tcW w:w="5343" w:type="dxa"/>
            <w:noWrap/>
            <w:hideMark/>
          </w:tcPr>
          <w:p w14:paraId="444244E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For prerecorded audio-only and prerecorded video-only media, the following are true, except when the audio or video is a media alternative for text and is clearly labeled as such</w:t>
            </w:r>
          </w:p>
        </w:tc>
      </w:tr>
      <w:tr w:rsidR="00C4262B" w14:paraId="28ACC221" w14:textId="77777777" w:rsidTr="00BA4746">
        <w:trPr>
          <w:trHeight w:val="288"/>
        </w:trPr>
        <w:tc>
          <w:tcPr>
            <w:tcW w:w="1238" w:type="dxa"/>
            <w:noWrap/>
            <w:hideMark/>
          </w:tcPr>
          <w:p w14:paraId="3ACB533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254457F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1.2 – Time-based Media</w:t>
            </w:r>
          </w:p>
        </w:tc>
        <w:tc>
          <w:tcPr>
            <w:tcW w:w="2048" w:type="dxa"/>
            <w:noWrap/>
            <w:hideMark/>
          </w:tcPr>
          <w:p w14:paraId="49F0A48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Captions (Prerecorded)</w:t>
            </w:r>
          </w:p>
        </w:tc>
        <w:tc>
          <w:tcPr>
            <w:tcW w:w="786" w:type="dxa"/>
            <w:noWrap/>
            <w:hideMark/>
          </w:tcPr>
          <w:p w14:paraId="2FE3E50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1.2.2</w:t>
            </w:r>
          </w:p>
        </w:tc>
        <w:tc>
          <w:tcPr>
            <w:tcW w:w="5343" w:type="dxa"/>
            <w:noWrap/>
            <w:hideMark/>
          </w:tcPr>
          <w:p w14:paraId="54D5C9D5" w14:textId="77777777" w:rsidR="00C4262B" w:rsidRPr="006B3D76" w:rsidRDefault="00C4262B" w:rsidP="00BA4746">
            <w:pPr>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Captions are provided for all prerecorded audio content in synchronized media, except when the media is a media alternative for text and is clearly labeled as such.</w:t>
            </w:r>
          </w:p>
        </w:tc>
      </w:tr>
      <w:tr w:rsidR="00C4262B" w14:paraId="4B573708" w14:textId="77777777" w:rsidTr="00BA4746">
        <w:trPr>
          <w:trHeight w:val="288"/>
        </w:trPr>
        <w:tc>
          <w:tcPr>
            <w:tcW w:w="1238" w:type="dxa"/>
            <w:noWrap/>
            <w:hideMark/>
          </w:tcPr>
          <w:p w14:paraId="06A025F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48DDFEA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1.2 – Time-based Media</w:t>
            </w:r>
          </w:p>
        </w:tc>
        <w:tc>
          <w:tcPr>
            <w:tcW w:w="2048" w:type="dxa"/>
            <w:noWrap/>
            <w:hideMark/>
          </w:tcPr>
          <w:p w14:paraId="077F18C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Audio Description or Media Alternative (Prerecorded)</w:t>
            </w:r>
          </w:p>
        </w:tc>
        <w:tc>
          <w:tcPr>
            <w:tcW w:w="786" w:type="dxa"/>
            <w:noWrap/>
            <w:hideMark/>
          </w:tcPr>
          <w:p w14:paraId="31E7129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1.2.3</w:t>
            </w:r>
          </w:p>
        </w:tc>
        <w:tc>
          <w:tcPr>
            <w:tcW w:w="5343" w:type="dxa"/>
            <w:noWrap/>
            <w:hideMark/>
          </w:tcPr>
          <w:p w14:paraId="08C010F5" w14:textId="77777777" w:rsidR="00C4262B" w:rsidRPr="006B3D76" w:rsidRDefault="00C4262B" w:rsidP="00BA4746">
            <w:pPr>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An alternative for time-based media or audio description of the prerecorded video content is provided for synchronized media, except when the media is a media alternative for text and is clearly labeled as such.</w:t>
            </w:r>
          </w:p>
        </w:tc>
      </w:tr>
      <w:tr w:rsidR="00C4262B" w14:paraId="3254775B" w14:textId="77777777" w:rsidTr="00BA4746">
        <w:trPr>
          <w:trHeight w:val="288"/>
        </w:trPr>
        <w:tc>
          <w:tcPr>
            <w:tcW w:w="1238" w:type="dxa"/>
            <w:noWrap/>
            <w:hideMark/>
          </w:tcPr>
          <w:p w14:paraId="6BE7184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1B9C3F7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1.3 – Adaptable</w:t>
            </w:r>
          </w:p>
        </w:tc>
        <w:tc>
          <w:tcPr>
            <w:tcW w:w="2048" w:type="dxa"/>
            <w:noWrap/>
            <w:hideMark/>
          </w:tcPr>
          <w:p w14:paraId="543C0EC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Info and Relationships</w:t>
            </w:r>
          </w:p>
        </w:tc>
        <w:tc>
          <w:tcPr>
            <w:tcW w:w="786" w:type="dxa"/>
            <w:noWrap/>
            <w:hideMark/>
          </w:tcPr>
          <w:p w14:paraId="1F0EB70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1.3.1</w:t>
            </w:r>
          </w:p>
        </w:tc>
        <w:tc>
          <w:tcPr>
            <w:tcW w:w="5343" w:type="dxa"/>
            <w:noWrap/>
            <w:hideMark/>
          </w:tcPr>
          <w:p w14:paraId="128FD113" w14:textId="77777777" w:rsidR="00C4262B" w:rsidRPr="006B3D76" w:rsidRDefault="00C4262B" w:rsidP="00BA4746">
            <w:pPr>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Information, structure, and relationships conveyed through presentation can be programmatically determined or are available in text.</w:t>
            </w:r>
          </w:p>
        </w:tc>
      </w:tr>
      <w:tr w:rsidR="00C4262B" w14:paraId="1F7F0F08" w14:textId="77777777" w:rsidTr="00BA4746">
        <w:trPr>
          <w:trHeight w:val="288"/>
        </w:trPr>
        <w:tc>
          <w:tcPr>
            <w:tcW w:w="1238" w:type="dxa"/>
            <w:noWrap/>
            <w:hideMark/>
          </w:tcPr>
          <w:p w14:paraId="6D73B36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0AB64BF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1.3 – Adaptable</w:t>
            </w:r>
          </w:p>
        </w:tc>
        <w:tc>
          <w:tcPr>
            <w:tcW w:w="2048" w:type="dxa"/>
            <w:noWrap/>
            <w:hideMark/>
          </w:tcPr>
          <w:p w14:paraId="0E8DED2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Meaningful Sequence</w:t>
            </w:r>
          </w:p>
        </w:tc>
        <w:tc>
          <w:tcPr>
            <w:tcW w:w="786" w:type="dxa"/>
            <w:noWrap/>
            <w:hideMark/>
          </w:tcPr>
          <w:p w14:paraId="75D076A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1.3.2</w:t>
            </w:r>
          </w:p>
        </w:tc>
        <w:tc>
          <w:tcPr>
            <w:tcW w:w="5343" w:type="dxa"/>
            <w:noWrap/>
            <w:hideMark/>
          </w:tcPr>
          <w:p w14:paraId="5965551D" w14:textId="77777777" w:rsidR="00C4262B" w:rsidRPr="006B3D76" w:rsidRDefault="00C4262B" w:rsidP="00BA4746">
            <w:pPr>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When the sequence in which content is presented affects its meaning, a correct reading sequence can be programmatically determined.</w:t>
            </w:r>
          </w:p>
        </w:tc>
      </w:tr>
      <w:tr w:rsidR="00C4262B" w14:paraId="2D294389" w14:textId="77777777" w:rsidTr="00BA4746">
        <w:trPr>
          <w:trHeight w:val="288"/>
        </w:trPr>
        <w:tc>
          <w:tcPr>
            <w:tcW w:w="1238" w:type="dxa"/>
            <w:noWrap/>
            <w:hideMark/>
          </w:tcPr>
          <w:p w14:paraId="6870630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3A94A59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1.3 – Adaptable</w:t>
            </w:r>
          </w:p>
        </w:tc>
        <w:tc>
          <w:tcPr>
            <w:tcW w:w="2048" w:type="dxa"/>
            <w:noWrap/>
            <w:hideMark/>
          </w:tcPr>
          <w:p w14:paraId="73A170B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Sensory Characteristics</w:t>
            </w:r>
          </w:p>
        </w:tc>
        <w:tc>
          <w:tcPr>
            <w:tcW w:w="786" w:type="dxa"/>
            <w:noWrap/>
            <w:hideMark/>
          </w:tcPr>
          <w:p w14:paraId="136DF4A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1.3.3</w:t>
            </w:r>
          </w:p>
        </w:tc>
        <w:tc>
          <w:tcPr>
            <w:tcW w:w="5343" w:type="dxa"/>
            <w:noWrap/>
            <w:hideMark/>
          </w:tcPr>
          <w:p w14:paraId="7C503C6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Instructions provided for understanding and operating content do not rely solely on sensory characteristics of components such as shape, color, size, visual location, orientation, or sound.</w:t>
            </w:r>
          </w:p>
        </w:tc>
      </w:tr>
      <w:tr w:rsidR="00C4262B" w14:paraId="319DCB71" w14:textId="77777777" w:rsidTr="00BA4746">
        <w:trPr>
          <w:trHeight w:val="288"/>
        </w:trPr>
        <w:tc>
          <w:tcPr>
            <w:tcW w:w="1238" w:type="dxa"/>
            <w:noWrap/>
            <w:hideMark/>
          </w:tcPr>
          <w:p w14:paraId="2310A0A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4FEF33B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26A04E5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Use of Color</w:t>
            </w:r>
          </w:p>
        </w:tc>
        <w:tc>
          <w:tcPr>
            <w:tcW w:w="786" w:type="dxa"/>
            <w:noWrap/>
            <w:hideMark/>
          </w:tcPr>
          <w:p w14:paraId="6EEA75C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1.4.1</w:t>
            </w:r>
          </w:p>
        </w:tc>
        <w:tc>
          <w:tcPr>
            <w:tcW w:w="5343" w:type="dxa"/>
            <w:noWrap/>
            <w:hideMark/>
          </w:tcPr>
          <w:p w14:paraId="33B493F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Color is not used as the only visual means of conveying information, indicating an action, prompting a response, or distinguishing a visual element.</w:t>
            </w:r>
          </w:p>
        </w:tc>
      </w:tr>
      <w:tr w:rsidR="00C4262B" w14:paraId="2DA67087" w14:textId="77777777" w:rsidTr="00BA4746">
        <w:trPr>
          <w:trHeight w:val="288"/>
        </w:trPr>
        <w:tc>
          <w:tcPr>
            <w:tcW w:w="1238" w:type="dxa"/>
            <w:noWrap/>
            <w:hideMark/>
          </w:tcPr>
          <w:p w14:paraId="0D927DE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47F5B8B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38BB8F6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Audio Control</w:t>
            </w:r>
          </w:p>
        </w:tc>
        <w:tc>
          <w:tcPr>
            <w:tcW w:w="786" w:type="dxa"/>
            <w:noWrap/>
            <w:hideMark/>
          </w:tcPr>
          <w:p w14:paraId="0E7A581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1.4.2</w:t>
            </w:r>
          </w:p>
        </w:tc>
        <w:tc>
          <w:tcPr>
            <w:tcW w:w="5343" w:type="dxa"/>
            <w:noWrap/>
            <w:hideMark/>
          </w:tcPr>
          <w:p w14:paraId="069217C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If any audio on a Web page plays automatically for more than 3 seconds, either a mechanism is available to pause or stop the audio, or a mechanism is available to control audio volume independently from the overall system volume level.</w:t>
            </w:r>
          </w:p>
        </w:tc>
      </w:tr>
      <w:tr w:rsidR="00C4262B" w14:paraId="42ABA41B" w14:textId="77777777" w:rsidTr="00BA4746">
        <w:trPr>
          <w:trHeight w:val="288"/>
        </w:trPr>
        <w:tc>
          <w:tcPr>
            <w:tcW w:w="1238" w:type="dxa"/>
            <w:noWrap/>
            <w:hideMark/>
          </w:tcPr>
          <w:p w14:paraId="6537B8F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25BFD85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4BDB37B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Contrast (Minimum)</w:t>
            </w:r>
          </w:p>
        </w:tc>
        <w:tc>
          <w:tcPr>
            <w:tcW w:w="786" w:type="dxa"/>
            <w:noWrap/>
            <w:hideMark/>
          </w:tcPr>
          <w:p w14:paraId="33F4D3C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1.4.3</w:t>
            </w:r>
          </w:p>
        </w:tc>
        <w:tc>
          <w:tcPr>
            <w:tcW w:w="5343" w:type="dxa"/>
            <w:noWrap/>
            <w:hideMark/>
          </w:tcPr>
          <w:p w14:paraId="526D3589" w14:textId="77777777" w:rsidR="00C4262B" w:rsidRPr="006B3D76" w:rsidRDefault="00C4262B" w:rsidP="00BA4746">
            <w:pPr>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The visual presentation of text and images of text has a contrast ratio of at least 4.5:1, except for specific situations.</w:t>
            </w:r>
          </w:p>
        </w:tc>
      </w:tr>
      <w:tr w:rsidR="00C4262B" w14:paraId="0B5FAC93" w14:textId="77777777" w:rsidTr="00BA4746">
        <w:trPr>
          <w:trHeight w:val="288"/>
        </w:trPr>
        <w:tc>
          <w:tcPr>
            <w:tcW w:w="1238" w:type="dxa"/>
            <w:noWrap/>
            <w:hideMark/>
          </w:tcPr>
          <w:p w14:paraId="4DC389C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6188AB2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531B8CB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Reversed </w:t>
            </w:r>
            <w:r w:rsidRPr="006B3D76">
              <w:rPr>
                <w:rFonts w:ascii="Calibri" w:eastAsia="Times New Roman" w:hAnsi="Calibri" w:cs="Calibri"/>
                <w:color w:val="000000"/>
                <w:sz w:val="16"/>
                <w:szCs w:val="16"/>
              </w:rPr>
              <w:t>colors</w:t>
            </w:r>
          </w:p>
        </w:tc>
        <w:tc>
          <w:tcPr>
            <w:tcW w:w="786" w:type="dxa"/>
            <w:noWrap/>
            <w:hideMark/>
          </w:tcPr>
          <w:p w14:paraId="62F1A76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1.4.3</w:t>
            </w:r>
          </w:p>
        </w:tc>
        <w:tc>
          <w:tcPr>
            <w:tcW w:w="5343" w:type="dxa"/>
            <w:noWrap/>
            <w:hideMark/>
          </w:tcPr>
          <w:p w14:paraId="6BB1498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Reversed </w:t>
            </w:r>
            <w:r w:rsidRPr="006B3D76">
              <w:rPr>
                <w:rFonts w:ascii="Calibri" w:eastAsia="Times New Roman" w:hAnsi="Calibri" w:cs="Calibri"/>
                <w:color w:val="000000"/>
                <w:sz w:val="16"/>
                <w:szCs w:val="16"/>
              </w:rPr>
              <w:t>colors</w:t>
            </w:r>
            <w:r w:rsidRPr="006B3D76">
              <w:rPr>
                <w:rFonts w:asciiTheme="minorHAnsi" w:eastAsia="Times New Roman" w:hAnsiTheme="minorHAnsi" w:cstheme="minorHAnsi"/>
                <w:color w:val="000000"/>
                <w:sz w:val="16"/>
                <w:szCs w:val="16"/>
              </w:rPr>
              <w:t xml:space="preserve"> option available</w:t>
            </w:r>
          </w:p>
        </w:tc>
      </w:tr>
      <w:tr w:rsidR="00C4262B" w14:paraId="08C8E4A7" w14:textId="77777777" w:rsidTr="00BA4746">
        <w:trPr>
          <w:trHeight w:val="288"/>
        </w:trPr>
        <w:tc>
          <w:tcPr>
            <w:tcW w:w="1238" w:type="dxa"/>
            <w:noWrap/>
            <w:hideMark/>
          </w:tcPr>
          <w:p w14:paraId="706C2AB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00B07C5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0D9FBE4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Contrasting </w:t>
            </w:r>
            <w:r w:rsidRPr="006B3D76">
              <w:rPr>
                <w:rFonts w:ascii="Calibri" w:eastAsia="Times New Roman" w:hAnsi="Calibri" w:cs="Calibri"/>
                <w:color w:val="000000"/>
                <w:sz w:val="16"/>
                <w:szCs w:val="16"/>
              </w:rPr>
              <w:t>colors</w:t>
            </w:r>
          </w:p>
        </w:tc>
        <w:tc>
          <w:tcPr>
            <w:tcW w:w="786" w:type="dxa"/>
            <w:noWrap/>
            <w:hideMark/>
          </w:tcPr>
          <w:p w14:paraId="4452552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1.4.3</w:t>
            </w:r>
          </w:p>
        </w:tc>
        <w:tc>
          <w:tcPr>
            <w:tcW w:w="5343" w:type="dxa"/>
            <w:noWrap/>
            <w:hideMark/>
          </w:tcPr>
          <w:p w14:paraId="2599651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Contrasting </w:t>
            </w:r>
            <w:r w:rsidRPr="006B3D76">
              <w:rPr>
                <w:rFonts w:ascii="Calibri" w:eastAsia="Times New Roman" w:hAnsi="Calibri" w:cs="Calibri"/>
                <w:color w:val="000000"/>
                <w:sz w:val="16"/>
                <w:szCs w:val="16"/>
              </w:rPr>
              <w:t>color</w:t>
            </w:r>
            <w:r w:rsidRPr="006B3D76">
              <w:rPr>
                <w:rFonts w:asciiTheme="minorHAnsi" w:eastAsia="Times New Roman" w:hAnsiTheme="minorHAnsi" w:cstheme="minorHAnsi"/>
                <w:color w:val="000000"/>
                <w:sz w:val="16"/>
                <w:szCs w:val="16"/>
              </w:rPr>
              <w:t xml:space="preserve"> option available</w:t>
            </w:r>
          </w:p>
        </w:tc>
      </w:tr>
      <w:tr w:rsidR="00C4262B" w14:paraId="0D6FFF40" w14:textId="77777777" w:rsidTr="00BA4746">
        <w:trPr>
          <w:trHeight w:val="288"/>
        </w:trPr>
        <w:tc>
          <w:tcPr>
            <w:tcW w:w="1238" w:type="dxa"/>
            <w:noWrap/>
            <w:hideMark/>
          </w:tcPr>
          <w:p w14:paraId="1DF8895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62B9FB6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13EDFFE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Bright background</w:t>
            </w:r>
          </w:p>
        </w:tc>
        <w:tc>
          <w:tcPr>
            <w:tcW w:w="786" w:type="dxa"/>
            <w:noWrap/>
            <w:hideMark/>
          </w:tcPr>
          <w:p w14:paraId="2C7FDD5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1.4.3</w:t>
            </w:r>
          </w:p>
        </w:tc>
        <w:tc>
          <w:tcPr>
            <w:tcW w:w="5343" w:type="dxa"/>
            <w:noWrap/>
            <w:hideMark/>
          </w:tcPr>
          <w:p w14:paraId="405B664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Bright background option available</w:t>
            </w:r>
          </w:p>
        </w:tc>
      </w:tr>
      <w:tr w:rsidR="00C4262B" w14:paraId="1A677965" w14:textId="77777777" w:rsidTr="00BA4746">
        <w:trPr>
          <w:trHeight w:val="288"/>
        </w:trPr>
        <w:tc>
          <w:tcPr>
            <w:tcW w:w="1238" w:type="dxa"/>
            <w:noWrap/>
            <w:hideMark/>
          </w:tcPr>
          <w:p w14:paraId="1C9FEFF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3EC6065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4DEEEEA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Resize </w:t>
            </w:r>
            <w:r w:rsidRPr="006B3D76">
              <w:rPr>
                <w:rFonts w:ascii="Calibri" w:eastAsia="Times New Roman" w:hAnsi="Calibri" w:cs="Calibri"/>
                <w:color w:val="000000"/>
                <w:sz w:val="16"/>
                <w:szCs w:val="16"/>
              </w:rPr>
              <w:t>text/Increased</w:t>
            </w:r>
            <w:r w:rsidRPr="006B3D76">
              <w:rPr>
                <w:rFonts w:asciiTheme="minorHAnsi" w:eastAsia="Times New Roman" w:hAnsiTheme="minorHAnsi" w:cstheme="minorHAnsi"/>
                <w:color w:val="000000"/>
                <w:sz w:val="16"/>
                <w:szCs w:val="16"/>
              </w:rPr>
              <w:t xml:space="preserve"> font</w:t>
            </w:r>
          </w:p>
        </w:tc>
        <w:tc>
          <w:tcPr>
            <w:tcW w:w="786" w:type="dxa"/>
            <w:noWrap/>
            <w:hideMark/>
          </w:tcPr>
          <w:p w14:paraId="6245965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1.4.4</w:t>
            </w:r>
          </w:p>
        </w:tc>
        <w:tc>
          <w:tcPr>
            <w:tcW w:w="5343" w:type="dxa"/>
            <w:noWrap/>
            <w:hideMark/>
          </w:tcPr>
          <w:p w14:paraId="22A4769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Except for captions and images of text, text can be resized without assistive technology up to 200 percent without loss of content or </w:t>
            </w:r>
            <w:r w:rsidRPr="006B3D76">
              <w:rPr>
                <w:rFonts w:ascii="Calibri" w:eastAsia="Times New Roman" w:hAnsi="Calibri" w:cs="Calibri"/>
                <w:color w:val="000000"/>
                <w:sz w:val="16"/>
                <w:szCs w:val="16"/>
              </w:rPr>
              <w:t>functionality/Increased</w:t>
            </w:r>
            <w:r w:rsidRPr="006B3D76">
              <w:rPr>
                <w:rFonts w:asciiTheme="minorHAnsi" w:eastAsia="Times New Roman" w:hAnsiTheme="minorHAnsi" w:cstheme="minorHAnsi"/>
                <w:color w:val="000000"/>
                <w:sz w:val="16"/>
                <w:szCs w:val="16"/>
              </w:rPr>
              <w:t xml:space="preserve"> font option available</w:t>
            </w:r>
          </w:p>
        </w:tc>
      </w:tr>
      <w:tr w:rsidR="00C4262B" w14:paraId="4DD44BEC" w14:textId="77777777" w:rsidTr="00BA4746">
        <w:trPr>
          <w:trHeight w:val="288"/>
        </w:trPr>
        <w:tc>
          <w:tcPr>
            <w:tcW w:w="1238" w:type="dxa"/>
            <w:noWrap/>
            <w:hideMark/>
          </w:tcPr>
          <w:p w14:paraId="0EA8E40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0041575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65C1245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Resize </w:t>
            </w:r>
            <w:r w:rsidRPr="006B3D76">
              <w:rPr>
                <w:rFonts w:ascii="Calibri" w:eastAsia="Times New Roman" w:hAnsi="Calibri" w:cs="Calibri"/>
                <w:color w:val="000000"/>
                <w:sz w:val="16"/>
                <w:szCs w:val="16"/>
              </w:rPr>
              <w:t>text/Decreased</w:t>
            </w:r>
            <w:r w:rsidRPr="006B3D76">
              <w:rPr>
                <w:rFonts w:asciiTheme="minorHAnsi" w:eastAsia="Times New Roman" w:hAnsiTheme="minorHAnsi" w:cstheme="minorHAnsi"/>
                <w:color w:val="000000"/>
                <w:sz w:val="16"/>
                <w:szCs w:val="16"/>
              </w:rPr>
              <w:t xml:space="preserve"> font</w:t>
            </w:r>
          </w:p>
        </w:tc>
        <w:tc>
          <w:tcPr>
            <w:tcW w:w="786" w:type="dxa"/>
            <w:noWrap/>
            <w:hideMark/>
          </w:tcPr>
          <w:p w14:paraId="3D9BCEC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1.4.4</w:t>
            </w:r>
          </w:p>
        </w:tc>
        <w:tc>
          <w:tcPr>
            <w:tcW w:w="5343" w:type="dxa"/>
            <w:noWrap/>
            <w:hideMark/>
          </w:tcPr>
          <w:p w14:paraId="1D57D6B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Except for captions and images of text, text can be resized without assistive technology up to 200 percent without loss of content or </w:t>
            </w:r>
            <w:r w:rsidRPr="006B3D76">
              <w:rPr>
                <w:rFonts w:ascii="Calibri" w:eastAsia="Times New Roman" w:hAnsi="Calibri" w:cs="Calibri"/>
                <w:color w:val="000000"/>
                <w:sz w:val="16"/>
                <w:szCs w:val="16"/>
              </w:rPr>
              <w:t>functionality/Decreased</w:t>
            </w:r>
            <w:r w:rsidRPr="006B3D76">
              <w:rPr>
                <w:rFonts w:asciiTheme="minorHAnsi" w:eastAsia="Times New Roman" w:hAnsiTheme="minorHAnsi" w:cstheme="minorHAnsi"/>
                <w:color w:val="000000"/>
                <w:sz w:val="16"/>
                <w:szCs w:val="16"/>
              </w:rPr>
              <w:t xml:space="preserve"> font option available</w:t>
            </w:r>
          </w:p>
        </w:tc>
      </w:tr>
      <w:tr w:rsidR="00C4262B" w14:paraId="278B21E6" w14:textId="77777777" w:rsidTr="00BA4746">
        <w:trPr>
          <w:trHeight w:val="288"/>
        </w:trPr>
        <w:tc>
          <w:tcPr>
            <w:tcW w:w="1238" w:type="dxa"/>
            <w:noWrap/>
            <w:hideMark/>
          </w:tcPr>
          <w:p w14:paraId="64716DB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6E8B865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79AD5E3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Dyslexia friendly</w:t>
            </w:r>
          </w:p>
        </w:tc>
        <w:tc>
          <w:tcPr>
            <w:tcW w:w="786" w:type="dxa"/>
            <w:noWrap/>
            <w:hideMark/>
          </w:tcPr>
          <w:p w14:paraId="0B036CA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1.4.4</w:t>
            </w:r>
          </w:p>
        </w:tc>
        <w:tc>
          <w:tcPr>
            <w:tcW w:w="5343" w:type="dxa"/>
            <w:noWrap/>
            <w:hideMark/>
          </w:tcPr>
          <w:p w14:paraId="1D6ADC1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Dyslexia friendly option</w:t>
            </w:r>
          </w:p>
        </w:tc>
      </w:tr>
      <w:tr w:rsidR="00C4262B" w14:paraId="71CC069E" w14:textId="77777777" w:rsidTr="00BA4746">
        <w:trPr>
          <w:trHeight w:val="288"/>
        </w:trPr>
        <w:tc>
          <w:tcPr>
            <w:tcW w:w="1238" w:type="dxa"/>
            <w:noWrap/>
            <w:hideMark/>
          </w:tcPr>
          <w:p w14:paraId="1FA0347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6009B71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6FC28D0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Text Spacing</w:t>
            </w:r>
          </w:p>
        </w:tc>
        <w:tc>
          <w:tcPr>
            <w:tcW w:w="786" w:type="dxa"/>
            <w:noWrap/>
            <w:hideMark/>
          </w:tcPr>
          <w:p w14:paraId="15A8456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1.4.12</w:t>
            </w:r>
          </w:p>
        </w:tc>
        <w:tc>
          <w:tcPr>
            <w:tcW w:w="5343" w:type="dxa"/>
            <w:noWrap/>
            <w:hideMark/>
          </w:tcPr>
          <w:p w14:paraId="737BDCA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In content implemented using markup languages that support the following text style properties, no loss of content or functionality occurs by setting all of the following and by changing no other style property</w:t>
            </w:r>
          </w:p>
        </w:tc>
      </w:tr>
      <w:tr w:rsidR="00C4262B" w14:paraId="5CE1A633" w14:textId="77777777" w:rsidTr="00BA4746">
        <w:trPr>
          <w:trHeight w:val="288"/>
        </w:trPr>
        <w:tc>
          <w:tcPr>
            <w:tcW w:w="1238" w:type="dxa"/>
            <w:noWrap/>
            <w:hideMark/>
          </w:tcPr>
          <w:p w14:paraId="3B26DE9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5D366F8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0C61164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Tool tips</w:t>
            </w:r>
          </w:p>
        </w:tc>
        <w:tc>
          <w:tcPr>
            <w:tcW w:w="786" w:type="dxa"/>
            <w:noWrap/>
            <w:hideMark/>
          </w:tcPr>
          <w:p w14:paraId="03A0C79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1.4.12</w:t>
            </w:r>
          </w:p>
        </w:tc>
        <w:tc>
          <w:tcPr>
            <w:tcW w:w="5343" w:type="dxa"/>
            <w:noWrap/>
            <w:hideMark/>
          </w:tcPr>
          <w:p w14:paraId="4A16846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Tool tips option available</w:t>
            </w:r>
          </w:p>
        </w:tc>
      </w:tr>
      <w:tr w:rsidR="00C4262B" w14:paraId="3791834F" w14:textId="77777777" w:rsidTr="00BA4746">
        <w:trPr>
          <w:trHeight w:val="288"/>
        </w:trPr>
        <w:tc>
          <w:tcPr>
            <w:tcW w:w="1238" w:type="dxa"/>
            <w:noWrap/>
            <w:hideMark/>
          </w:tcPr>
          <w:p w14:paraId="57B1E35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5E6C7C1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02E2651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Line Height</w:t>
            </w:r>
          </w:p>
        </w:tc>
        <w:tc>
          <w:tcPr>
            <w:tcW w:w="786" w:type="dxa"/>
            <w:noWrap/>
            <w:hideMark/>
          </w:tcPr>
          <w:p w14:paraId="424DD7B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1.4.12</w:t>
            </w:r>
          </w:p>
        </w:tc>
        <w:tc>
          <w:tcPr>
            <w:tcW w:w="5343" w:type="dxa"/>
            <w:noWrap/>
            <w:hideMark/>
          </w:tcPr>
          <w:p w14:paraId="3F583FB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Line height option available</w:t>
            </w:r>
          </w:p>
        </w:tc>
      </w:tr>
      <w:tr w:rsidR="00C4262B" w14:paraId="46862AC2" w14:textId="77777777" w:rsidTr="00BA4746">
        <w:trPr>
          <w:trHeight w:val="288"/>
        </w:trPr>
        <w:tc>
          <w:tcPr>
            <w:tcW w:w="1238" w:type="dxa"/>
            <w:noWrap/>
            <w:hideMark/>
          </w:tcPr>
          <w:p w14:paraId="6467452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1 – Perceivable</w:t>
            </w:r>
          </w:p>
        </w:tc>
        <w:tc>
          <w:tcPr>
            <w:tcW w:w="1186" w:type="dxa"/>
            <w:noWrap/>
            <w:hideMark/>
          </w:tcPr>
          <w:p w14:paraId="68D44EF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1.4 – Distinguishable</w:t>
            </w:r>
          </w:p>
        </w:tc>
        <w:tc>
          <w:tcPr>
            <w:tcW w:w="2048" w:type="dxa"/>
            <w:noWrap/>
            <w:hideMark/>
          </w:tcPr>
          <w:p w14:paraId="33E55DB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Text align</w:t>
            </w:r>
          </w:p>
        </w:tc>
        <w:tc>
          <w:tcPr>
            <w:tcW w:w="786" w:type="dxa"/>
            <w:noWrap/>
            <w:hideMark/>
          </w:tcPr>
          <w:p w14:paraId="01496AD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1.4.12</w:t>
            </w:r>
          </w:p>
        </w:tc>
        <w:tc>
          <w:tcPr>
            <w:tcW w:w="5343" w:type="dxa"/>
            <w:noWrap/>
            <w:hideMark/>
          </w:tcPr>
          <w:p w14:paraId="7893508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Text align option available</w:t>
            </w:r>
          </w:p>
        </w:tc>
      </w:tr>
      <w:tr w:rsidR="00C4262B" w14:paraId="524B47A0" w14:textId="77777777" w:rsidTr="00BA4746">
        <w:trPr>
          <w:trHeight w:val="288"/>
        </w:trPr>
        <w:tc>
          <w:tcPr>
            <w:tcW w:w="1238" w:type="dxa"/>
            <w:noWrap/>
            <w:hideMark/>
          </w:tcPr>
          <w:p w14:paraId="24232B5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7441B04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2.1 – Keyboard Accessible</w:t>
            </w:r>
          </w:p>
        </w:tc>
        <w:tc>
          <w:tcPr>
            <w:tcW w:w="2048" w:type="dxa"/>
            <w:noWrap/>
            <w:hideMark/>
          </w:tcPr>
          <w:p w14:paraId="17142BD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Keyboard</w:t>
            </w:r>
          </w:p>
        </w:tc>
        <w:tc>
          <w:tcPr>
            <w:tcW w:w="786" w:type="dxa"/>
            <w:noWrap/>
            <w:hideMark/>
          </w:tcPr>
          <w:p w14:paraId="7BE2E32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2.1.1</w:t>
            </w:r>
          </w:p>
        </w:tc>
        <w:tc>
          <w:tcPr>
            <w:tcW w:w="5343" w:type="dxa"/>
            <w:noWrap/>
            <w:hideMark/>
          </w:tcPr>
          <w:p w14:paraId="4A30EEF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All functionality of the content is operable through a keyboard interface without requiring specific timings for individual keystrokes, except where the underlying function requires input that depends on the path of the user's movement and not just the endpoints.</w:t>
            </w:r>
          </w:p>
        </w:tc>
      </w:tr>
      <w:tr w:rsidR="00C4262B" w14:paraId="322BA92A" w14:textId="77777777" w:rsidTr="00BA4746">
        <w:trPr>
          <w:trHeight w:val="288"/>
        </w:trPr>
        <w:tc>
          <w:tcPr>
            <w:tcW w:w="1238" w:type="dxa"/>
            <w:noWrap/>
            <w:hideMark/>
          </w:tcPr>
          <w:p w14:paraId="2D07A82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19CBCB7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2.1 – Keyboard Accessible</w:t>
            </w:r>
          </w:p>
        </w:tc>
        <w:tc>
          <w:tcPr>
            <w:tcW w:w="2048" w:type="dxa"/>
            <w:noWrap/>
            <w:hideMark/>
          </w:tcPr>
          <w:p w14:paraId="3A4A985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No Keyboard Trap</w:t>
            </w:r>
          </w:p>
        </w:tc>
        <w:tc>
          <w:tcPr>
            <w:tcW w:w="786" w:type="dxa"/>
            <w:noWrap/>
            <w:hideMark/>
          </w:tcPr>
          <w:p w14:paraId="5AC3D75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2.1.2</w:t>
            </w:r>
          </w:p>
        </w:tc>
        <w:tc>
          <w:tcPr>
            <w:tcW w:w="5343" w:type="dxa"/>
            <w:noWrap/>
            <w:hideMark/>
          </w:tcPr>
          <w:p w14:paraId="2629F1B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If keyboard focus can be moved to a component of the page using a keyboard interface, then focus can be moved away from that component using only a keyboard interface, and, if it requires more than unmodified arrow or tab keys </w:t>
            </w:r>
            <w:r w:rsidRPr="006B3D76">
              <w:rPr>
                <w:rFonts w:asciiTheme="minorHAnsi" w:eastAsia="Times New Roman" w:hAnsiTheme="minorHAnsi" w:cstheme="minorHAnsi"/>
                <w:color w:val="000000"/>
                <w:sz w:val="16"/>
                <w:szCs w:val="16"/>
              </w:rPr>
              <w:lastRenderedPageBreak/>
              <w:t>or other standard exit methods, the user is advised of the method for moving focus away.</w:t>
            </w:r>
          </w:p>
        </w:tc>
      </w:tr>
      <w:tr w:rsidR="00C4262B" w14:paraId="2A5DC043" w14:textId="77777777" w:rsidTr="00BA4746">
        <w:trPr>
          <w:trHeight w:val="288"/>
        </w:trPr>
        <w:tc>
          <w:tcPr>
            <w:tcW w:w="1238" w:type="dxa"/>
            <w:noWrap/>
            <w:hideMark/>
          </w:tcPr>
          <w:p w14:paraId="5005915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lastRenderedPageBreak/>
              <w:t>Principle 2 – Operable</w:t>
            </w:r>
          </w:p>
        </w:tc>
        <w:tc>
          <w:tcPr>
            <w:tcW w:w="1186" w:type="dxa"/>
            <w:noWrap/>
            <w:hideMark/>
          </w:tcPr>
          <w:p w14:paraId="00A6863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2.1 – Keyboard Accessible</w:t>
            </w:r>
          </w:p>
        </w:tc>
        <w:tc>
          <w:tcPr>
            <w:tcW w:w="2048" w:type="dxa"/>
            <w:noWrap/>
            <w:hideMark/>
          </w:tcPr>
          <w:p w14:paraId="0F778EE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Character Key Shortcuts</w:t>
            </w:r>
          </w:p>
        </w:tc>
        <w:tc>
          <w:tcPr>
            <w:tcW w:w="786" w:type="dxa"/>
            <w:noWrap/>
            <w:hideMark/>
          </w:tcPr>
          <w:p w14:paraId="78B1D9C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2.1.4</w:t>
            </w:r>
          </w:p>
        </w:tc>
        <w:tc>
          <w:tcPr>
            <w:tcW w:w="5343" w:type="dxa"/>
            <w:noWrap/>
            <w:hideMark/>
          </w:tcPr>
          <w:p w14:paraId="59FBC26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If a keyboard shortcut is implemented in content using only letter (including upper- and lower-case letters), punctuation, number, or symbol characters, then at least one of the following is true: turn off, remap, active only on focus.</w:t>
            </w:r>
          </w:p>
        </w:tc>
      </w:tr>
      <w:tr w:rsidR="00C4262B" w14:paraId="4BAF9362" w14:textId="77777777" w:rsidTr="00BA4746">
        <w:trPr>
          <w:trHeight w:val="288"/>
        </w:trPr>
        <w:tc>
          <w:tcPr>
            <w:tcW w:w="1238" w:type="dxa"/>
            <w:noWrap/>
            <w:hideMark/>
          </w:tcPr>
          <w:p w14:paraId="69A591D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0FD80A1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2.2 – Enough Time</w:t>
            </w:r>
          </w:p>
        </w:tc>
        <w:tc>
          <w:tcPr>
            <w:tcW w:w="2048" w:type="dxa"/>
            <w:noWrap/>
            <w:hideMark/>
          </w:tcPr>
          <w:p w14:paraId="6E0713C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Timing Adjustable</w:t>
            </w:r>
          </w:p>
        </w:tc>
        <w:tc>
          <w:tcPr>
            <w:tcW w:w="786" w:type="dxa"/>
            <w:noWrap/>
            <w:hideMark/>
          </w:tcPr>
          <w:p w14:paraId="208E9ED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2.2.1</w:t>
            </w:r>
          </w:p>
        </w:tc>
        <w:tc>
          <w:tcPr>
            <w:tcW w:w="5343" w:type="dxa"/>
            <w:noWrap/>
            <w:hideMark/>
          </w:tcPr>
          <w:p w14:paraId="1A6FBCE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For each time limit that is set by the content, at least one of the following is true: turn off, adjust, extend, real-time exception, essential exception, 20 Hour Exception</w:t>
            </w:r>
          </w:p>
        </w:tc>
      </w:tr>
      <w:tr w:rsidR="00C4262B" w14:paraId="1C5D71F0" w14:textId="77777777" w:rsidTr="00BA4746">
        <w:trPr>
          <w:trHeight w:val="288"/>
        </w:trPr>
        <w:tc>
          <w:tcPr>
            <w:tcW w:w="1238" w:type="dxa"/>
            <w:noWrap/>
            <w:hideMark/>
          </w:tcPr>
          <w:p w14:paraId="29B5F4C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447CA93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2.2 – Enough Time</w:t>
            </w:r>
          </w:p>
        </w:tc>
        <w:tc>
          <w:tcPr>
            <w:tcW w:w="2048" w:type="dxa"/>
            <w:noWrap/>
            <w:hideMark/>
          </w:tcPr>
          <w:p w14:paraId="7D74C04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Pause, Stop, Hide</w:t>
            </w:r>
          </w:p>
        </w:tc>
        <w:tc>
          <w:tcPr>
            <w:tcW w:w="786" w:type="dxa"/>
            <w:noWrap/>
            <w:hideMark/>
          </w:tcPr>
          <w:p w14:paraId="0300619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2.2.2</w:t>
            </w:r>
          </w:p>
        </w:tc>
        <w:tc>
          <w:tcPr>
            <w:tcW w:w="5343" w:type="dxa"/>
            <w:noWrap/>
            <w:hideMark/>
          </w:tcPr>
          <w:p w14:paraId="40ABDD8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For moving, blinking, scrolling, or </w:t>
            </w:r>
            <w:r w:rsidRPr="006B3D76">
              <w:rPr>
                <w:rFonts w:ascii="Calibri" w:eastAsia="Times New Roman" w:hAnsi="Calibri" w:cs="Calibri"/>
                <w:color w:val="000000"/>
                <w:sz w:val="16"/>
                <w:szCs w:val="16"/>
              </w:rPr>
              <w:t>autoupdating</w:t>
            </w:r>
            <w:r w:rsidRPr="006B3D76">
              <w:rPr>
                <w:rFonts w:asciiTheme="minorHAnsi" w:eastAsia="Times New Roman" w:hAnsiTheme="minorHAnsi" w:cstheme="minorHAnsi"/>
                <w:color w:val="000000"/>
                <w:sz w:val="16"/>
                <w:szCs w:val="16"/>
              </w:rPr>
              <w:t xml:space="preserve"> information, all of the following are true: Moving, blinking, scrolling, </w:t>
            </w:r>
            <w:r w:rsidRPr="006B3D76">
              <w:rPr>
                <w:rFonts w:ascii="Calibri" w:eastAsia="Times New Roman" w:hAnsi="Calibri" w:cs="Calibri"/>
                <w:color w:val="000000"/>
                <w:sz w:val="16"/>
                <w:szCs w:val="16"/>
              </w:rPr>
              <w:t>Autoupdating</w:t>
            </w:r>
          </w:p>
        </w:tc>
      </w:tr>
      <w:tr w:rsidR="00C4262B" w14:paraId="501E6935" w14:textId="77777777" w:rsidTr="00BA4746">
        <w:trPr>
          <w:trHeight w:val="288"/>
        </w:trPr>
        <w:tc>
          <w:tcPr>
            <w:tcW w:w="1238" w:type="dxa"/>
            <w:noWrap/>
            <w:hideMark/>
          </w:tcPr>
          <w:p w14:paraId="47E8C70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48280BE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2.3 – Seizures and Physical Reactions</w:t>
            </w:r>
          </w:p>
        </w:tc>
        <w:tc>
          <w:tcPr>
            <w:tcW w:w="2048" w:type="dxa"/>
            <w:noWrap/>
            <w:hideMark/>
          </w:tcPr>
          <w:p w14:paraId="435E0EF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Three Flashes or Below </w:t>
            </w:r>
            <w:r w:rsidRPr="006B3D76">
              <w:rPr>
                <w:rFonts w:ascii="Calibri" w:eastAsia="Times New Roman" w:hAnsi="Calibri" w:cs="Calibri"/>
                <w:color w:val="000000"/>
                <w:sz w:val="16"/>
                <w:szCs w:val="16"/>
              </w:rPr>
              <w:t>Threshold/Stop</w:t>
            </w:r>
            <w:r w:rsidRPr="006B3D76">
              <w:rPr>
                <w:rFonts w:asciiTheme="minorHAnsi" w:eastAsia="Times New Roman" w:hAnsiTheme="minorHAnsi" w:cstheme="minorHAnsi"/>
                <w:color w:val="000000"/>
                <w:sz w:val="16"/>
                <w:szCs w:val="16"/>
              </w:rPr>
              <w:t xml:space="preserve"> the flashes</w:t>
            </w:r>
          </w:p>
        </w:tc>
        <w:tc>
          <w:tcPr>
            <w:tcW w:w="786" w:type="dxa"/>
            <w:noWrap/>
            <w:hideMark/>
          </w:tcPr>
          <w:p w14:paraId="0A6FDB7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2.3.1</w:t>
            </w:r>
          </w:p>
        </w:tc>
        <w:tc>
          <w:tcPr>
            <w:tcW w:w="5343" w:type="dxa"/>
            <w:noWrap/>
            <w:hideMark/>
          </w:tcPr>
          <w:p w14:paraId="00441D2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Web pages do not contain anything that flashes more than three times in any one second period, or the flash is below the general flash and red flash thresholds.</w:t>
            </w:r>
          </w:p>
        </w:tc>
      </w:tr>
      <w:tr w:rsidR="00C4262B" w14:paraId="648A21AD" w14:textId="77777777" w:rsidTr="00BA4746">
        <w:trPr>
          <w:trHeight w:val="288"/>
        </w:trPr>
        <w:tc>
          <w:tcPr>
            <w:tcW w:w="1238" w:type="dxa"/>
            <w:noWrap/>
            <w:hideMark/>
          </w:tcPr>
          <w:p w14:paraId="39B6F78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3B423BF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2.3 – Seizures and Physical Reactions</w:t>
            </w:r>
          </w:p>
        </w:tc>
        <w:tc>
          <w:tcPr>
            <w:tcW w:w="2048" w:type="dxa"/>
            <w:noWrap/>
            <w:hideMark/>
          </w:tcPr>
          <w:p w14:paraId="7703A20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 xml:space="preserve">Three Flashes or Below </w:t>
            </w:r>
            <w:r w:rsidRPr="006B3D76">
              <w:rPr>
                <w:rFonts w:ascii="Calibri" w:eastAsia="Times New Roman" w:hAnsi="Calibri" w:cs="Calibri"/>
                <w:color w:val="000000"/>
                <w:sz w:val="16"/>
                <w:szCs w:val="16"/>
              </w:rPr>
              <w:t>Threshold/Whether</w:t>
            </w:r>
            <w:r w:rsidRPr="006B3D76">
              <w:rPr>
                <w:rFonts w:asciiTheme="minorHAnsi" w:eastAsia="Times New Roman" w:hAnsiTheme="minorHAnsi" w:cstheme="minorHAnsi"/>
                <w:color w:val="000000"/>
                <w:sz w:val="16"/>
                <w:szCs w:val="16"/>
              </w:rPr>
              <w:t xml:space="preserve"> it has flashes or not</w:t>
            </w:r>
          </w:p>
        </w:tc>
        <w:tc>
          <w:tcPr>
            <w:tcW w:w="786" w:type="dxa"/>
            <w:noWrap/>
            <w:hideMark/>
          </w:tcPr>
          <w:p w14:paraId="616D1B2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2.3.1</w:t>
            </w:r>
          </w:p>
        </w:tc>
        <w:tc>
          <w:tcPr>
            <w:tcW w:w="5343" w:type="dxa"/>
            <w:noWrap/>
            <w:hideMark/>
          </w:tcPr>
          <w:p w14:paraId="31B76AD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Whether there are or not flashes</w:t>
            </w:r>
          </w:p>
        </w:tc>
      </w:tr>
      <w:tr w:rsidR="00C4262B" w14:paraId="17AD6F56" w14:textId="77777777" w:rsidTr="00BA4746">
        <w:trPr>
          <w:trHeight w:val="288"/>
        </w:trPr>
        <w:tc>
          <w:tcPr>
            <w:tcW w:w="1238" w:type="dxa"/>
            <w:noWrap/>
            <w:hideMark/>
          </w:tcPr>
          <w:p w14:paraId="223AE1C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47F5949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2.4 – Navigable</w:t>
            </w:r>
          </w:p>
        </w:tc>
        <w:tc>
          <w:tcPr>
            <w:tcW w:w="2048" w:type="dxa"/>
            <w:noWrap/>
            <w:hideMark/>
          </w:tcPr>
          <w:p w14:paraId="33536A1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Bypass Blocks</w:t>
            </w:r>
          </w:p>
        </w:tc>
        <w:tc>
          <w:tcPr>
            <w:tcW w:w="786" w:type="dxa"/>
            <w:noWrap/>
            <w:hideMark/>
          </w:tcPr>
          <w:p w14:paraId="221A7F8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2.4.1</w:t>
            </w:r>
          </w:p>
        </w:tc>
        <w:tc>
          <w:tcPr>
            <w:tcW w:w="5343" w:type="dxa"/>
            <w:noWrap/>
            <w:hideMark/>
          </w:tcPr>
          <w:p w14:paraId="6D9C13B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A mechanism is available to bypass blocks of content that are repeated on multiple Web pages.</w:t>
            </w:r>
          </w:p>
        </w:tc>
      </w:tr>
      <w:tr w:rsidR="00C4262B" w14:paraId="2D2AFDD0" w14:textId="77777777" w:rsidTr="00BA4746">
        <w:trPr>
          <w:trHeight w:val="288"/>
        </w:trPr>
        <w:tc>
          <w:tcPr>
            <w:tcW w:w="1238" w:type="dxa"/>
            <w:noWrap/>
            <w:hideMark/>
          </w:tcPr>
          <w:p w14:paraId="7394E28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31C315E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2.4 – Navigable</w:t>
            </w:r>
          </w:p>
        </w:tc>
        <w:tc>
          <w:tcPr>
            <w:tcW w:w="2048" w:type="dxa"/>
            <w:noWrap/>
            <w:hideMark/>
          </w:tcPr>
          <w:p w14:paraId="242D30F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Page Titled</w:t>
            </w:r>
          </w:p>
        </w:tc>
        <w:tc>
          <w:tcPr>
            <w:tcW w:w="786" w:type="dxa"/>
            <w:noWrap/>
            <w:hideMark/>
          </w:tcPr>
          <w:p w14:paraId="74BD387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2.4.2</w:t>
            </w:r>
          </w:p>
        </w:tc>
        <w:tc>
          <w:tcPr>
            <w:tcW w:w="5343" w:type="dxa"/>
            <w:noWrap/>
            <w:hideMark/>
          </w:tcPr>
          <w:p w14:paraId="1A2C364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Web pages have titles that describe topic or purpose.</w:t>
            </w:r>
          </w:p>
        </w:tc>
      </w:tr>
      <w:tr w:rsidR="00C4262B" w14:paraId="10F07187" w14:textId="77777777" w:rsidTr="00BA4746">
        <w:trPr>
          <w:trHeight w:val="288"/>
        </w:trPr>
        <w:tc>
          <w:tcPr>
            <w:tcW w:w="1238" w:type="dxa"/>
            <w:noWrap/>
            <w:hideMark/>
          </w:tcPr>
          <w:p w14:paraId="6557DAF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7679389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2.4 – Navigable</w:t>
            </w:r>
          </w:p>
        </w:tc>
        <w:tc>
          <w:tcPr>
            <w:tcW w:w="2048" w:type="dxa"/>
            <w:noWrap/>
            <w:hideMark/>
          </w:tcPr>
          <w:p w14:paraId="237CA51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Focus Order</w:t>
            </w:r>
          </w:p>
        </w:tc>
        <w:tc>
          <w:tcPr>
            <w:tcW w:w="786" w:type="dxa"/>
            <w:noWrap/>
            <w:hideMark/>
          </w:tcPr>
          <w:p w14:paraId="7FD5373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2.4.3</w:t>
            </w:r>
          </w:p>
        </w:tc>
        <w:tc>
          <w:tcPr>
            <w:tcW w:w="5343" w:type="dxa"/>
            <w:noWrap/>
            <w:hideMark/>
          </w:tcPr>
          <w:p w14:paraId="31B53CF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If a Web page can be navigated sequentially and the navigation sequences affect meaning or operation, focusable components receive focus in an order that preserves meaning and operability.</w:t>
            </w:r>
          </w:p>
        </w:tc>
      </w:tr>
      <w:tr w:rsidR="00C4262B" w14:paraId="1EE57E11" w14:textId="77777777" w:rsidTr="00BA4746">
        <w:trPr>
          <w:trHeight w:val="288"/>
        </w:trPr>
        <w:tc>
          <w:tcPr>
            <w:tcW w:w="1238" w:type="dxa"/>
            <w:noWrap/>
            <w:hideMark/>
          </w:tcPr>
          <w:p w14:paraId="733FF87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782B144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2.4 – Navigable</w:t>
            </w:r>
          </w:p>
        </w:tc>
        <w:tc>
          <w:tcPr>
            <w:tcW w:w="2048" w:type="dxa"/>
            <w:noWrap/>
            <w:hideMark/>
          </w:tcPr>
          <w:p w14:paraId="27B643D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Link Purpose (In Context)</w:t>
            </w:r>
          </w:p>
        </w:tc>
        <w:tc>
          <w:tcPr>
            <w:tcW w:w="786" w:type="dxa"/>
            <w:noWrap/>
            <w:hideMark/>
          </w:tcPr>
          <w:p w14:paraId="165614D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2.4.4</w:t>
            </w:r>
          </w:p>
        </w:tc>
        <w:tc>
          <w:tcPr>
            <w:tcW w:w="5343" w:type="dxa"/>
            <w:noWrap/>
            <w:hideMark/>
          </w:tcPr>
          <w:p w14:paraId="7F69F4E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The purpose of each link can be determined from the link text alone or from the link text together with its programmatically determined link context, except where the purpose of the link would be ambiguous to users in general.</w:t>
            </w:r>
          </w:p>
        </w:tc>
      </w:tr>
      <w:tr w:rsidR="00C4262B" w14:paraId="6D496BBE" w14:textId="77777777" w:rsidTr="00BA4746">
        <w:trPr>
          <w:trHeight w:val="288"/>
        </w:trPr>
        <w:tc>
          <w:tcPr>
            <w:tcW w:w="1238" w:type="dxa"/>
            <w:noWrap/>
            <w:hideMark/>
          </w:tcPr>
          <w:p w14:paraId="6522098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65D5229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2.5 – Input Modalities</w:t>
            </w:r>
          </w:p>
        </w:tc>
        <w:tc>
          <w:tcPr>
            <w:tcW w:w="2048" w:type="dxa"/>
            <w:noWrap/>
            <w:hideMark/>
          </w:tcPr>
          <w:p w14:paraId="3C9DCA4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Pointer Gestures</w:t>
            </w:r>
          </w:p>
        </w:tc>
        <w:tc>
          <w:tcPr>
            <w:tcW w:w="786" w:type="dxa"/>
            <w:noWrap/>
            <w:hideMark/>
          </w:tcPr>
          <w:p w14:paraId="0C671A6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2.5.1</w:t>
            </w:r>
          </w:p>
        </w:tc>
        <w:tc>
          <w:tcPr>
            <w:tcW w:w="5343" w:type="dxa"/>
            <w:noWrap/>
            <w:hideMark/>
          </w:tcPr>
          <w:p w14:paraId="6A6CDC3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All functionality that uses multipoint or path-based gestures for operation can be operated with a single pointer without a path-based gesture, unless a multipoint or path-based gesture is essential.</w:t>
            </w:r>
          </w:p>
        </w:tc>
      </w:tr>
      <w:tr w:rsidR="00C4262B" w14:paraId="5F36F55A" w14:textId="77777777" w:rsidTr="00BA4746">
        <w:trPr>
          <w:trHeight w:val="288"/>
        </w:trPr>
        <w:tc>
          <w:tcPr>
            <w:tcW w:w="1238" w:type="dxa"/>
            <w:noWrap/>
            <w:hideMark/>
          </w:tcPr>
          <w:p w14:paraId="34B74D9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77284D2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2.5 – Input Modalities</w:t>
            </w:r>
          </w:p>
        </w:tc>
        <w:tc>
          <w:tcPr>
            <w:tcW w:w="2048" w:type="dxa"/>
            <w:noWrap/>
            <w:hideMark/>
          </w:tcPr>
          <w:p w14:paraId="6025C7C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Pointer Cancellation</w:t>
            </w:r>
          </w:p>
        </w:tc>
        <w:tc>
          <w:tcPr>
            <w:tcW w:w="786" w:type="dxa"/>
            <w:noWrap/>
            <w:hideMark/>
          </w:tcPr>
          <w:p w14:paraId="246F31D5"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2.5.2</w:t>
            </w:r>
          </w:p>
        </w:tc>
        <w:tc>
          <w:tcPr>
            <w:tcW w:w="5343" w:type="dxa"/>
            <w:noWrap/>
            <w:hideMark/>
          </w:tcPr>
          <w:p w14:paraId="58D785D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For functionality that can be operated using a single pointer, at least one of the following is true: No Down-Event, Abort or Undo, Up Reversal, Essential</w:t>
            </w:r>
          </w:p>
        </w:tc>
      </w:tr>
      <w:tr w:rsidR="00C4262B" w14:paraId="5E5BCBE6" w14:textId="77777777" w:rsidTr="00BA4746">
        <w:trPr>
          <w:trHeight w:val="288"/>
        </w:trPr>
        <w:tc>
          <w:tcPr>
            <w:tcW w:w="1238" w:type="dxa"/>
            <w:noWrap/>
            <w:hideMark/>
          </w:tcPr>
          <w:p w14:paraId="5A6F72E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0097253E"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2.5 – Input Modalities</w:t>
            </w:r>
          </w:p>
        </w:tc>
        <w:tc>
          <w:tcPr>
            <w:tcW w:w="2048" w:type="dxa"/>
            <w:noWrap/>
            <w:hideMark/>
          </w:tcPr>
          <w:p w14:paraId="417C668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Label in Name</w:t>
            </w:r>
          </w:p>
        </w:tc>
        <w:tc>
          <w:tcPr>
            <w:tcW w:w="786" w:type="dxa"/>
            <w:noWrap/>
            <w:hideMark/>
          </w:tcPr>
          <w:p w14:paraId="5C76534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2.5.3</w:t>
            </w:r>
          </w:p>
        </w:tc>
        <w:tc>
          <w:tcPr>
            <w:tcW w:w="5343" w:type="dxa"/>
            <w:noWrap/>
            <w:hideMark/>
          </w:tcPr>
          <w:p w14:paraId="426601B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For user interface components with labels that include text or images of text, the name contains the text that is presented visually.</w:t>
            </w:r>
          </w:p>
        </w:tc>
      </w:tr>
      <w:tr w:rsidR="00C4262B" w14:paraId="55957B7E" w14:textId="77777777" w:rsidTr="00BA4746">
        <w:trPr>
          <w:trHeight w:val="288"/>
        </w:trPr>
        <w:tc>
          <w:tcPr>
            <w:tcW w:w="1238" w:type="dxa"/>
            <w:noWrap/>
            <w:hideMark/>
          </w:tcPr>
          <w:p w14:paraId="02AA264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2 – Operable</w:t>
            </w:r>
          </w:p>
        </w:tc>
        <w:tc>
          <w:tcPr>
            <w:tcW w:w="1186" w:type="dxa"/>
            <w:noWrap/>
            <w:hideMark/>
          </w:tcPr>
          <w:p w14:paraId="548B1E9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2.5 – Input Modalities</w:t>
            </w:r>
          </w:p>
        </w:tc>
        <w:tc>
          <w:tcPr>
            <w:tcW w:w="2048" w:type="dxa"/>
            <w:noWrap/>
            <w:hideMark/>
          </w:tcPr>
          <w:p w14:paraId="7821C53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Motion Actuation</w:t>
            </w:r>
          </w:p>
        </w:tc>
        <w:tc>
          <w:tcPr>
            <w:tcW w:w="786" w:type="dxa"/>
            <w:noWrap/>
            <w:hideMark/>
          </w:tcPr>
          <w:p w14:paraId="429907C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2.5.4</w:t>
            </w:r>
          </w:p>
        </w:tc>
        <w:tc>
          <w:tcPr>
            <w:tcW w:w="5343" w:type="dxa"/>
            <w:noWrap/>
            <w:hideMark/>
          </w:tcPr>
          <w:p w14:paraId="03CC744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Functionality that can be operated by device motion or user motion can also be operated by user interface components and responding to the motion can be disabled to prevent accidental actuation, except when: supported interface, essential</w:t>
            </w:r>
          </w:p>
        </w:tc>
      </w:tr>
      <w:tr w:rsidR="00C4262B" w14:paraId="75649EA1" w14:textId="77777777" w:rsidTr="00BA4746">
        <w:trPr>
          <w:trHeight w:val="288"/>
        </w:trPr>
        <w:tc>
          <w:tcPr>
            <w:tcW w:w="1238" w:type="dxa"/>
            <w:noWrap/>
            <w:hideMark/>
          </w:tcPr>
          <w:p w14:paraId="62AF775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3 – Understandable</w:t>
            </w:r>
          </w:p>
        </w:tc>
        <w:tc>
          <w:tcPr>
            <w:tcW w:w="1186" w:type="dxa"/>
            <w:noWrap/>
            <w:hideMark/>
          </w:tcPr>
          <w:p w14:paraId="008284BA"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3.1 – Readable</w:t>
            </w:r>
          </w:p>
        </w:tc>
        <w:tc>
          <w:tcPr>
            <w:tcW w:w="2048" w:type="dxa"/>
            <w:noWrap/>
            <w:hideMark/>
          </w:tcPr>
          <w:p w14:paraId="2A2A7C8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Language of Page</w:t>
            </w:r>
          </w:p>
        </w:tc>
        <w:tc>
          <w:tcPr>
            <w:tcW w:w="786" w:type="dxa"/>
            <w:noWrap/>
            <w:hideMark/>
          </w:tcPr>
          <w:p w14:paraId="3AF93B2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3.1.1</w:t>
            </w:r>
          </w:p>
        </w:tc>
        <w:tc>
          <w:tcPr>
            <w:tcW w:w="5343" w:type="dxa"/>
            <w:noWrap/>
            <w:hideMark/>
          </w:tcPr>
          <w:p w14:paraId="065E941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The default human language of each Web page can be programmatically determined.</w:t>
            </w:r>
          </w:p>
        </w:tc>
      </w:tr>
      <w:tr w:rsidR="00C4262B" w14:paraId="3175D9FE" w14:textId="77777777" w:rsidTr="00BA4746">
        <w:trPr>
          <w:trHeight w:val="288"/>
        </w:trPr>
        <w:tc>
          <w:tcPr>
            <w:tcW w:w="1238" w:type="dxa"/>
            <w:noWrap/>
            <w:hideMark/>
          </w:tcPr>
          <w:p w14:paraId="302689F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3 – Understandable</w:t>
            </w:r>
          </w:p>
        </w:tc>
        <w:tc>
          <w:tcPr>
            <w:tcW w:w="1186" w:type="dxa"/>
            <w:noWrap/>
            <w:hideMark/>
          </w:tcPr>
          <w:p w14:paraId="5188805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3.2 – Predictable</w:t>
            </w:r>
          </w:p>
        </w:tc>
        <w:tc>
          <w:tcPr>
            <w:tcW w:w="2048" w:type="dxa"/>
            <w:noWrap/>
            <w:hideMark/>
          </w:tcPr>
          <w:p w14:paraId="7CB10DE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On Focus</w:t>
            </w:r>
          </w:p>
        </w:tc>
        <w:tc>
          <w:tcPr>
            <w:tcW w:w="786" w:type="dxa"/>
            <w:noWrap/>
            <w:hideMark/>
          </w:tcPr>
          <w:p w14:paraId="2F6F57DF"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3.2.1</w:t>
            </w:r>
          </w:p>
        </w:tc>
        <w:tc>
          <w:tcPr>
            <w:tcW w:w="5343" w:type="dxa"/>
            <w:noWrap/>
            <w:hideMark/>
          </w:tcPr>
          <w:p w14:paraId="5D8AD0B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When any user interface component receives focus, it does not initiate a change of context.</w:t>
            </w:r>
          </w:p>
        </w:tc>
      </w:tr>
      <w:tr w:rsidR="00C4262B" w14:paraId="7E0A5DD1" w14:textId="77777777" w:rsidTr="00BA4746">
        <w:trPr>
          <w:trHeight w:val="288"/>
        </w:trPr>
        <w:tc>
          <w:tcPr>
            <w:tcW w:w="1238" w:type="dxa"/>
            <w:noWrap/>
            <w:hideMark/>
          </w:tcPr>
          <w:p w14:paraId="1138B321"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3 – Understandable</w:t>
            </w:r>
          </w:p>
        </w:tc>
        <w:tc>
          <w:tcPr>
            <w:tcW w:w="1186" w:type="dxa"/>
            <w:noWrap/>
            <w:hideMark/>
          </w:tcPr>
          <w:p w14:paraId="473CA1E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3.2 – Predictable</w:t>
            </w:r>
          </w:p>
        </w:tc>
        <w:tc>
          <w:tcPr>
            <w:tcW w:w="2048" w:type="dxa"/>
            <w:noWrap/>
            <w:hideMark/>
          </w:tcPr>
          <w:p w14:paraId="7C1BD52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On Input</w:t>
            </w:r>
          </w:p>
        </w:tc>
        <w:tc>
          <w:tcPr>
            <w:tcW w:w="786" w:type="dxa"/>
            <w:noWrap/>
            <w:hideMark/>
          </w:tcPr>
          <w:p w14:paraId="52CC7EB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3.2.2</w:t>
            </w:r>
          </w:p>
        </w:tc>
        <w:tc>
          <w:tcPr>
            <w:tcW w:w="5343" w:type="dxa"/>
            <w:noWrap/>
            <w:hideMark/>
          </w:tcPr>
          <w:p w14:paraId="0A26655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Changing the setting of any user interface component does not automatically cause a change of context unless the user has been advised of the behavior before using the component.</w:t>
            </w:r>
          </w:p>
        </w:tc>
      </w:tr>
      <w:tr w:rsidR="00C4262B" w14:paraId="16881E5B" w14:textId="77777777" w:rsidTr="00BA4746">
        <w:trPr>
          <w:trHeight w:val="288"/>
        </w:trPr>
        <w:tc>
          <w:tcPr>
            <w:tcW w:w="1238" w:type="dxa"/>
            <w:noWrap/>
            <w:hideMark/>
          </w:tcPr>
          <w:p w14:paraId="6EBE295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3 – Understandable</w:t>
            </w:r>
          </w:p>
        </w:tc>
        <w:tc>
          <w:tcPr>
            <w:tcW w:w="1186" w:type="dxa"/>
            <w:noWrap/>
            <w:hideMark/>
          </w:tcPr>
          <w:p w14:paraId="1045BA2B"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3.3 – Input Assistance</w:t>
            </w:r>
          </w:p>
        </w:tc>
        <w:tc>
          <w:tcPr>
            <w:tcW w:w="2048" w:type="dxa"/>
            <w:noWrap/>
            <w:hideMark/>
          </w:tcPr>
          <w:p w14:paraId="5E03ADF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Error Identification</w:t>
            </w:r>
          </w:p>
        </w:tc>
        <w:tc>
          <w:tcPr>
            <w:tcW w:w="786" w:type="dxa"/>
            <w:noWrap/>
            <w:hideMark/>
          </w:tcPr>
          <w:p w14:paraId="4E355B8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3.3.1</w:t>
            </w:r>
          </w:p>
        </w:tc>
        <w:tc>
          <w:tcPr>
            <w:tcW w:w="5343" w:type="dxa"/>
            <w:noWrap/>
            <w:hideMark/>
          </w:tcPr>
          <w:p w14:paraId="70054DD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If an input error is automatically detected, the item that is in error is identified and the error is described to the user in text.</w:t>
            </w:r>
          </w:p>
        </w:tc>
      </w:tr>
      <w:tr w:rsidR="00C4262B" w14:paraId="7B64B1FD" w14:textId="77777777" w:rsidTr="00BA4746">
        <w:trPr>
          <w:trHeight w:val="288"/>
        </w:trPr>
        <w:tc>
          <w:tcPr>
            <w:tcW w:w="1238" w:type="dxa"/>
            <w:noWrap/>
            <w:hideMark/>
          </w:tcPr>
          <w:p w14:paraId="7F01363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3 – Understandable</w:t>
            </w:r>
          </w:p>
        </w:tc>
        <w:tc>
          <w:tcPr>
            <w:tcW w:w="1186" w:type="dxa"/>
            <w:noWrap/>
            <w:hideMark/>
          </w:tcPr>
          <w:p w14:paraId="6C8AB04D"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3.3 – Input Assistance</w:t>
            </w:r>
          </w:p>
        </w:tc>
        <w:tc>
          <w:tcPr>
            <w:tcW w:w="2048" w:type="dxa"/>
            <w:noWrap/>
            <w:hideMark/>
          </w:tcPr>
          <w:p w14:paraId="1F9A7AC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Labels or Instructions</w:t>
            </w:r>
          </w:p>
        </w:tc>
        <w:tc>
          <w:tcPr>
            <w:tcW w:w="786" w:type="dxa"/>
            <w:noWrap/>
            <w:hideMark/>
          </w:tcPr>
          <w:p w14:paraId="0464E110"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3.3.2</w:t>
            </w:r>
          </w:p>
        </w:tc>
        <w:tc>
          <w:tcPr>
            <w:tcW w:w="5343" w:type="dxa"/>
            <w:noWrap/>
            <w:hideMark/>
          </w:tcPr>
          <w:p w14:paraId="2D1AE234"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Labels or instructions are provided when content requires user input.</w:t>
            </w:r>
          </w:p>
        </w:tc>
      </w:tr>
      <w:tr w:rsidR="00C4262B" w14:paraId="7300FE3F" w14:textId="77777777" w:rsidTr="00BA4746">
        <w:trPr>
          <w:trHeight w:val="288"/>
        </w:trPr>
        <w:tc>
          <w:tcPr>
            <w:tcW w:w="1238" w:type="dxa"/>
            <w:noWrap/>
            <w:hideMark/>
          </w:tcPr>
          <w:p w14:paraId="610D3397"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4 – Robust</w:t>
            </w:r>
          </w:p>
        </w:tc>
        <w:tc>
          <w:tcPr>
            <w:tcW w:w="1186" w:type="dxa"/>
            <w:noWrap/>
            <w:hideMark/>
          </w:tcPr>
          <w:p w14:paraId="52810B49"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4.1 – Compatible</w:t>
            </w:r>
          </w:p>
        </w:tc>
        <w:tc>
          <w:tcPr>
            <w:tcW w:w="2048" w:type="dxa"/>
            <w:noWrap/>
            <w:hideMark/>
          </w:tcPr>
          <w:p w14:paraId="3B9ACAC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Parsing</w:t>
            </w:r>
          </w:p>
        </w:tc>
        <w:tc>
          <w:tcPr>
            <w:tcW w:w="786" w:type="dxa"/>
            <w:noWrap/>
            <w:hideMark/>
          </w:tcPr>
          <w:p w14:paraId="3C623DA3"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4.1.1</w:t>
            </w:r>
          </w:p>
        </w:tc>
        <w:tc>
          <w:tcPr>
            <w:tcW w:w="5343" w:type="dxa"/>
            <w:noWrap/>
            <w:hideMark/>
          </w:tcPr>
          <w:p w14:paraId="1FE36E0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In content implemented using markup languages, elements have complete start and end tags, elements are nested according to their specifications, elements do not contain duplicate attributes, and any IDs are unique, except where the specifications allow these features.</w:t>
            </w:r>
          </w:p>
        </w:tc>
      </w:tr>
      <w:tr w:rsidR="00C4262B" w14:paraId="0EC7225F" w14:textId="77777777" w:rsidTr="00BA4746">
        <w:trPr>
          <w:trHeight w:val="288"/>
        </w:trPr>
        <w:tc>
          <w:tcPr>
            <w:tcW w:w="1238" w:type="dxa"/>
            <w:noWrap/>
            <w:hideMark/>
          </w:tcPr>
          <w:p w14:paraId="0826B2D2"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Principle 4 – Robust</w:t>
            </w:r>
          </w:p>
        </w:tc>
        <w:tc>
          <w:tcPr>
            <w:tcW w:w="1186" w:type="dxa"/>
            <w:noWrap/>
            <w:hideMark/>
          </w:tcPr>
          <w:p w14:paraId="4FA6E68C"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Guideline 4.1 – Compatible</w:t>
            </w:r>
          </w:p>
        </w:tc>
        <w:tc>
          <w:tcPr>
            <w:tcW w:w="2048" w:type="dxa"/>
            <w:noWrap/>
            <w:hideMark/>
          </w:tcPr>
          <w:p w14:paraId="50E774E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Name, Role, Value</w:t>
            </w:r>
          </w:p>
        </w:tc>
        <w:tc>
          <w:tcPr>
            <w:tcW w:w="786" w:type="dxa"/>
            <w:noWrap/>
            <w:hideMark/>
          </w:tcPr>
          <w:p w14:paraId="5A7CBF46"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4.1.2</w:t>
            </w:r>
          </w:p>
        </w:tc>
        <w:tc>
          <w:tcPr>
            <w:tcW w:w="5343" w:type="dxa"/>
            <w:noWrap/>
            <w:hideMark/>
          </w:tcPr>
          <w:p w14:paraId="7EC2B5D8" w14:textId="77777777" w:rsidR="00C4262B" w:rsidRPr="006B3D76" w:rsidRDefault="00C4262B" w:rsidP="00BA4746">
            <w:pPr>
              <w:jc w:val="left"/>
              <w:rPr>
                <w:rFonts w:asciiTheme="minorHAnsi" w:eastAsia="Times New Roman" w:hAnsiTheme="minorHAnsi" w:cstheme="minorHAnsi"/>
                <w:color w:val="000000"/>
                <w:sz w:val="16"/>
                <w:szCs w:val="16"/>
              </w:rPr>
            </w:pPr>
            <w:r w:rsidRPr="006B3D76">
              <w:rPr>
                <w:rFonts w:asciiTheme="minorHAnsi" w:eastAsia="Times New Roman" w:hAnsiTheme="minorHAnsi" w:cstheme="minorHAnsi"/>
                <w:color w:val="000000"/>
                <w:sz w:val="16"/>
                <w:szCs w:val="16"/>
              </w:rPr>
              <w:t>For all user interface components (including but not limited to: form elements, links and components generated by scripts), the name and role can be programmatically determined; states, properties, and values that can be set by the user can be programmatically set; and notification of changes to these items is available to user agents, including assistive technologies.</w:t>
            </w:r>
          </w:p>
        </w:tc>
      </w:tr>
    </w:tbl>
    <w:p w14:paraId="6AF88312" w14:textId="77777777" w:rsidR="000C3128" w:rsidRDefault="000C3128"/>
    <w:sectPr w:rsidR="000C3128">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6175847"/>
      <w:docPartObj>
        <w:docPartGallery w:val="Page Numbers (Bottom of Page)"/>
        <w:docPartUnique/>
      </w:docPartObj>
    </w:sdtPr>
    <w:sdtEndPr>
      <w:rPr>
        <w:noProof/>
      </w:rPr>
    </w:sdtEndPr>
    <w:sdtContent>
      <w:p w14:paraId="71CC2ADA" w14:textId="77777777" w:rsidR="00F33920" w:rsidRDefault="00C426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4EB26" w14:textId="77777777" w:rsidR="00F33920" w:rsidRDefault="00C4262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2B"/>
    <w:rsid w:val="000C3128"/>
    <w:rsid w:val="00C426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6B0E"/>
  <w15:chartTrackingRefBased/>
  <w15:docId w15:val="{ECA22AAA-2022-4F73-B10E-21C9FE77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62B"/>
    <w:pPr>
      <w:jc w:val="both"/>
    </w:pPr>
    <w:rPr>
      <w:rFonts w:ascii="Times New Roman" w:hAnsi="Times New Roman"/>
      <w:sz w:val="24"/>
      <w:lang w:val="en-US"/>
    </w:rPr>
  </w:style>
  <w:style w:type="paragraph" w:styleId="Heading2">
    <w:name w:val="heading 2"/>
    <w:basedOn w:val="Normal"/>
    <w:link w:val="Heading2Char"/>
    <w:uiPriority w:val="9"/>
    <w:qFormat/>
    <w:rsid w:val="00C4262B"/>
    <w:pPr>
      <w:spacing w:before="100" w:beforeAutospacing="1" w:after="100" w:afterAutospacing="1" w:line="240" w:lineRule="auto"/>
      <w:jc w:val="left"/>
      <w:outlineLvl w:val="1"/>
    </w:pPr>
    <w:rPr>
      <w:rFonts w:eastAsia="Times New Roman" w:cs="Times New Roman"/>
      <w:b/>
      <w:bCs/>
      <w:color w:val="1F3864" w:themeColor="accent1" w:themeShade="80"/>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62B"/>
    <w:rPr>
      <w:rFonts w:ascii="Times New Roman" w:eastAsia="Times New Roman" w:hAnsi="Times New Roman" w:cs="Times New Roman"/>
      <w:b/>
      <w:bCs/>
      <w:color w:val="1F3864" w:themeColor="accent1" w:themeShade="80"/>
      <w:sz w:val="32"/>
      <w:szCs w:val="36"/>
      <w:lang w:val="en-US"/>
    </w:rPr>
  </w:style>
  <w:style w:type="table" w:styleId="TableGridLight">
    <w:name w:val="Grid Table Light"/>
    <w:basedOn w:val="TableNormal"/>
    <w:uiPriority w:val="40"/>
    <w:rsid w:val="00C4262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C4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62B"/>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1479</Words>
  <Characters>8434</Characters>
  <Application>Microsoft Office Word</Application>
  <DocSecurity>0</DocSecurity>
  <Lines>70</Lines>
  <Paragraphs>19</Paragraphs>
  <ScaleCrop>false</ScaleCrop>
  <Company>Springer Nature</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2023-03-08T13:48:00Z</dcterms:created>
  <dcterms:modified xsi:type="dcterms:W3CDTF">2023-03-08T13:49:00Z</dcterms:modified>
</cp:coreProperties>
</file>