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vertAlign w:val="baseline"/>
          <w:lang w:val="en-US" w:eastAsia="zh-CN"/>
        </w:rPr>
        <w:t>Supplementary material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lang w:bidi="ar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>High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 xml:space="preserve"> levels of h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>igh-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>d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 xml:space="preserve">ensity 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>l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 xml:space="preserve">ipoprotein 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>c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 xml:space="preserve">holesterol 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>i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 xml:space="preserve">ncrease 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>all-cause and c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 xml:space="preserve">ardiovascular 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>mortality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 xml:space="preserve"> in </w:t>
      </w:r>
      <w:r>
        <w:rPr>
          <w:rFonts w:hint="default" w:ascii="Times New Roman" w:hAnsi="Times New Roman" w:eastAsia="微软雅黑" w:cs="Times New Roman"/>
          <w:b/>
          <w:bCs/>
          <w:sz w:val="24"/>
          <w:lang w:val="en-US" w:bidi="ar"/>
        </w:rPr>
        <w:t>critically ill</w:t>
      </w:r>
      <w:r>
        <w:rPr>
          <w:rFonts w:hint="default" w:ascii="Times New Roman" w:hAnsi="Times New Roman" w:eastAsia="微软雅黑" w:cs="Times New Roman"/>
          <w:b/>
          <w:bCs/>
          <w:sz w:val="24"/>
          <w:lang w:bidi="ar"/>
        </w:rPr>
        <w:t xml:space="preserve"> patients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 w:bidi="ar"/>
        </w:rPr>
        <w:t xml:space="preserve">: a 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cohort study on the eICU database</w:t>
      </w:r>
    </w:p>
    <w:p>
      <w:pPr>
        <w:widowControl/>
        <w:spacing w:line="360" w:lineRule="auto"/>
        <w:jc w:val="left"/>
        <w:rPr>
          <w:rFonts w:hint="default" w:ascii="Times New Roman" w:hAnsi="Times New Roman" w:eastAsia="微软雅黑" w:cs="Times New Roman"/>
          <w:b/>
          <w:bCs/>
          <w:sz w:val="24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</w:rPr>
      </w:pPr>
      <w:r>
        <w:rPr>
          <w:rFonts w:hint="default" w:ascii="Times New Roman" w:hAnsi="Times New Roman" w:eastAsia="微软雅黑" w:cs="Times New Roman"/>
          <w:lang w:bidi="ar"/>
        </w:rPr>
        <w:t>Shan Li, MD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微软雅黑" w:cs="Times New Roman"/>
          <w:lang w:val="en-US" w:eastAsia="zh-CN" w:bidi="ar"/>
        </w:rPr>
        <w:t>;</w:t>
      </w:r>
      <w:r>
        <w:rPr>
          <w:rFonts w:hint="default" w:ascii="Times New Roman" w:hAnsi="Times New Roman" w:eastAsia="微软雅黑" w:cs="Times New Roman"/>
          <w:lang w:bidi="ar"/>
        </w:rPr>
        <w:t xml:space="preserve"> Wei Zhang</w:t>
      </w:r>
      <w:r>
        <w:rPr>
          <w:rFonts w:hint="default" w:ascii="Times New Roman" w:hAnsi="Times New Roman" w:eastAsia="微软雅黑" w:cs="Times New Roman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lang w:bidi="ar"/>
        </w:rPr>
        <w:t xml:space="preserve"> MD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微软雅黑" w:cs="Times New Roman"/>
          <w:lang w:bidi="ar"/>
        </w:rPr>
        <w:t>, Hongbin Liu*, MD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微软雅黑" w:cs="Times New Roman"/>
          <w:lang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</w:rPr>
      </w:pPr>
      <w:r>
        <w:rPr>
          <w:rFonts w:hint="default" w:ascii="Times New Roman" w:hAnsi="Times New Roman" w:eastAsia="微软雅黑" w:cs="Times New Roman"/>
          <w:vertAlign w:val="superscript"/>
          <w:lang w:bidi="ar"/>
        </w:rPr>
        <w:t>1</w:t>
      </w:r>
      <w:r>
        <w:rPr>
          <w:rFonts w:hint="default" w:ascii="Times New Roman" w:hAnsi="Times New Roman" w:eastAsia="微软雅黑" w:cs="Times New Roman"/>
          <w:lang w:bidi="ar"/>
        </w:rPr>
        <w:t xml:space="preserve">Department of Cardiology, The Second Medical Center, Chinese People Liberation Army General Hospital, Beijing, China, </w:t>
      </w:r>
      <w:r>
        <w:rPr>
          <w:rFonts w:hint="default" w:ascii="Times New Roman" w:hAnsi="Times New Roman" w:eastAsia="微软雅黑" w:cs="Times New Roman"/>
          <w:vertAlign w:val="superscript"/>
          <w:lang w:bidi="ar"/>
        </w:rPr>
        <w:t>2</w:t>
      </w:r>
      <w:r>
        <w:rPr>
          <w:rFonts w:hint="default" w:ascii="Times New Roman" w:hAnsi="Times New Roman" w:eastAsia="微软雅黑" w:cs="Times New Roman"/>
          <w:lang w:bidi="ar"/>
        </w:rPr>
        <w:t xml:space="preserve">National Clinical Research Center for Geriatric Disease, Beijing, China.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bidi="ar"/>
        </w:rPr>
        <w:t>*</w:t>
      </w:r>
      <w:r>
        <w:rPr>
          <w:rFonts w:hint="default" w:ascii="Times New Roman" w:hAnsi="Times New Roman" w:eastAsia="微软雅黑" w:cs="Times New Roman"/>
          <w:lang w:val="en-US" w:eastAsia="zh-CN" w:bidi="ar"/>
        </w:rPr>
        <w:t>Corresponding author. Email: liuhbinpla@163.com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vertAlign w:val="baseline"/>
          <w:lang w:val="en-US" w:eastAsia="zh-CN"/>
        </w:rPr>
        <w:t>Legends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Figure 1. Multivariable adjusted odds ratios for all-cause and cause-specific mortality according to HDL-C levels on a continuous scale by excluding death within the first 24 hours of ICU admission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Figure 2.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Multivariable adjusted odds ratios for all-cause and cause-specific mortality according to HDL-C levels on a continuous scale with </w:t>
      </w:r>
      <w:r>
        <w:rPr>
          <w:rFonts w:hint="default" w:ascii="Times New Roman" w:hAnsi="Times New Roman" w:eastAsia="微软雅黑" w:cs="Times New Roman"/>
          <w:b/>
          <w:bCs/>
          <w:lang w:val="en-US" w:eastAsia="zh-CN"/>
        </w:rPr>
        <w:t>complete-case analyse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Figure 3. Multivariable adjusted odds ratios for 90-day mortality according to HDL-C levels on a continuous scale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Figure 4. Kaplan‒Meier curve for cumulative incidence with all-cause 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and cause-specific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mortality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Figure 1. Multivariable adjusted odds ratios for all-cause and cause-specific mortality according to HDL-C levels on a continuous scale by excluding death within the first 24 hours of ICU admission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(n=27503)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lang w:val="en-US" w:eastAsia="zh-CN"/>
        </w:rPr>
        <w:drawing>
          <wp:inline distT="0" distB="0" distL="114300" distR="114300">
            <wp:extent cx="5476240" cy="1447165"/>
            <wp:effectExtent l="0" t="0" r="10160" b="635"/>
            <wp:docPr id="1" name="图片 1" descr="delete 24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lete 24h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 xml:space="preserve">Sensitivity analysis by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vertAlign w:val="baseline"/>
          <w:lang w:val="en-US" w:eastAsia="zh-CN"/>
        </w:rPr>
        <w:t xml:space="preserve">excluding death within the first 24 hours of ICU entry.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>All-cause mortality (A), cardiovascular mortality (B) and noncardiovascular mortality (C) adju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vertAlign w:val="baseline"/>
          <w:lang w:val="en-US" w:eastAsia="zh-CN"/>
        </w:rPr>
        <w:t xml:space="preserve">sted </w:t>
      </w:r>
      <w:r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>f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>or age, sex, ethnicity, body mass index, APACHE score, total cholesterol level, LDL-C level, triglyceride level, primary admission disease (cardiovascular disease, respiratory disease, digestive disease, neurological disease, genitourinary disease, trauma, and other diseases), pre-hospital comorbidities (coronary artery disease, diabetes, hypertension, congestive heart failure, stroke or transient ischemic attacks, chronic obstructive pulmonary disease, renal failure, and peripheral artery disease), lipid-lowering therapy, mechanical ventilation, and vasoactive drugs. HDL-C, high-density lipoprotein cholesterol. LDL-C, low-density lipoprotein cholesterol. APACHE score, acute physiology and chronic health evaluation score. The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vertAlign w:val="baseline"/>
          <w:lang w:val="en-US" w:eastAsia="zh-CN"/>
        </w:rPr>
        <w:t xml:space="preserve"> solid lines sho</w:t>
      </w:r>
      <w:r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>w the mean prediction and the dashed lines show the 95% confidence interval.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Figure 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. Multivariable adjusted odds ratios for all-cause and cause-specific mortality according to HDL-C levels on a continuous scale with </w:t>
      </w:r>
      <w:r>
        <w:rPr>
          <w:rFonts w:hint="default" w:ascii="Times New Roman" w:hAnsi="Times New Roman" w:eastAsia="微软雅黑" w:cs="Times New Roman"/>
          <w:b/>
          <w:bCs/>
          <w:lang w:val="en-US" w:eastAsia="zh-CN"/>
        </w:rPr>
        <w:t>complete-case analyse</w:t>
      </w:r>
      <w:r>
        <w:rPr>
          <w:rFonts w:hint="eastAsia" w:ascii="Times New Roman" w:hAnsi="Times New Roman" w:eastAsia="微软雅黑" w:cs="Times New Roman"/>
          <w:b/>
          <w:bCs/>
          <w:lang w:val="en-US" w:eastAsia="zh-CN"/>
        </w:rPr>
        <w:t xml:space="preserve"> (n=20450)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lang w:val="en-US" w:eastAsia="zh-CN"/>
        </w:rPr>
        <w:drawing>
          <wp:inline distT="0" distB="0" distL="114300" distR="114300">
            <wp:extent cx="5481955" cy="1459230"/>
            <wp:effectExtent l="0" t="0" r="4445" b="1270"/>
            <wp:docPr id="2" name="图片 2" descr="完整数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完整数据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 xml:space="preserve">Sensitivity analysis by </w:t>
      </w:r>
      <w:r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>excluding cases with missing data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vertAlign w:val="baseline"/>
          <w:lang w:val="en-US" w:eastAsia="zh-CN"/>
        </w:rPr>
        <w:t xml:space="preserve">.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>All-cause mortality (A), cardiovascular mortality (B) and noncardiovascular mortality (C) adju</w:t>
      </w:r>
      <w:r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 xml:space="preserve">sted for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>age, sex, ethnicity, body mass index, APACHE score, total cholesterol level, LDL-C level, triglyceride level, primary admission disease (cardiovascular disease, respiratory disease, digestive disease, neurological disease, genitourinary disease, trauma, and other diseases), pre-hospital comorbidities (coronary artery disease, diabetes, hypertension, congestive heart failure, stroke or transient ischemic attacks, chronic obstructive pulmonary disease, renal failure, and peripheral artery disease), lipid-lowering therapy, mechanical ventilation, and vasoactive drugs. HDL-C, high-density lipoprotein cholesterol. LDL-C, low-density lipoprotein cholesterol. APACHE score, acute physiology and chronic health evaluation score. The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vertAlign w:val="baseline"/>
          <w:lang w:val="en-US" w:eastAsia="zh-CN"/>
        </w:rPr>
        <w:t xml:space="preserve"> solid lines sho</w:t>
      </w:r>
      <w:r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>w the mean prediction and the dashed lines show the 95% confidence interval.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Figure 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3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. Multivariable adjusted odds ratios for 90-day mortality according to HDL-C levels on a continuous scale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(n=27719)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5481955" cy="1451610"/>
            <wp:effectExtent l="0" t="0" r="4445" b="8890"/>
            <wp:docPr id="3" name="图片 3" descr="90天死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0天死亡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>Sensitivity analysis with 90-day mortality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vertAlign w:val="baseline"/>
          <w:lang w:val="en-US" w:eastAsia="zh-CN"/>
        </w:rPr>
        <w:t xml:space="preserve">.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 xml:space="preserve">All-cause mortality (A), cardiovascular mortality (B) and noncardiovascular mortality (C) adjusted </w:t>
      </w:r>
      <w:r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>for</w:t>
      </w:r>
      <w:r>
        <w:rPr>
          <w:rFonts w:hint="eastAsia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lang w:val="en-US" w:eastAsia="zh-CN"/>
        </w:rPr>
        <w:t>age, sex, ethnicity, body mass index, APACHE score, total cholesterol level, LDL-C level, triglyceride level, primary admission disease (cardiovascular disease, respiratory disease, digestive disease, neurological disease, genitourinary disease, trauma, and other diseases), pre-hospital comorbidities (coronary artery disease, diabetes, hypertension, congestive heart failure, stroke or transient ischemic attacks, chronic obstructive pulmonary disease, renal failure, and peripheral artery disease), lipid-lowering therapy, mechanical ventilation, and vasoactive drugs. HDL-C, high-density lipoprotein cholesterol. LDL-C, low-density lipoprotein cholesterol. APACHE score, acute physiology and chronic health evaluation score. The</w:t>
      </w:r>
      <w:r>
        <w:rPr>
          <w:rFonts w:hint="default" w:ascii="Times New Roman" w:hAnsi="Times New Roman" w:eastAsia="微软雅黑" w:cs="Times New Roman"/>
          <w:b w:val="0"/>
          <w:bCs w:val="0"/>
          <w:sz w:val="18"/>
          <w:szCs w:val="18"/>
          <w:vertAlign w:val="baseline"/>
          <w:lang w:val="en-US" w:eastAsia="zh-CN"/>
        </w:rPr>
        <w:t xml:space="preserve"> solid lines sho</w:t>
      </w:r>
      <w:r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  <w:t>w the mean prediction and the dashed lines show the 95% confidence interval.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sz w:val="18"/>
          <w:szCs w:val="1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Supplementary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Figure 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. Kaplan-Meier curve for cumulative incidence with all-cause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 xml:space="preserve"> and cause-specific 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vertAlign w:val="baseline"/>
          <w:lang w:val="en-US" w:eastAsia="zh-CN"/>
        </w:rPr>
        <w:t>mortality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微软雅黑" w:cs="Times New Roman"/>
          <w:lang w:eastAsia="zh-CN"/>
        </w:rPr>
      </w:pPr>
      <w:r>
        <w:rPr>
          <w:rFonts w:hint="default" w:ascii="Times New Roman" w:hAnsi="Times New Roman" w:eastAsia="微软雅黑" w:cs="Times New Roman"/>
          <w:lang w:eastAsia="zh-CN"/>
        </w:rPr>
        <w:drawing>
          <wp:inline distT="0" distB="0" distL="114300" distR="114300">
            <wp:extent cx="1811655" cy="1811655"/>
            <wp:effectExtent l="0" t="0" r="4445" b="4445"/>
            <wp:docPr id="5" name="图片 5" descr="workdata_1_tbl_seg1_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orkdata_1_tbl_seg1_2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lang w:eastAsia="zh-CN"/>
        </w:rPr>
        <w:drawing>
          <wp:inline distT="0" distB="0" distL="114300" distR="114300">
            <wp:extent cx="1811655" cy="1811655"/>
            <wp:effectExtent l="0" t="0" r="4445" b="4445"/>
            <wp:docPr id="6" name="图片 6" descr="workdata_2_tbl_seg1_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orkdata_2_tbl_seg1_2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lang w:eastAsia="zh-CN"/>
        </w:rPr>
        <w:drawing>
          <wp:inline distT="0" distB="0" distL="114300" distR="114300">
            <wp:extent cx="1810385" cy="1810385"/>
            <wp:effectExtent l="0" t="0" r="5715" b="5715"/>
            <wp:docPr id="7" name="图片 7" descr="workdata_3_tbl_seg1_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orkdata_3_tbl_seg1_2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mRmODJkMDE2ZDFjYWVlMTViZWZlNzc1MmI1ZWMifQ=="/>
    <w:docVar w:name="KSO_WPS_MARK_KEY" w:val="a2b1f6c4-573e-447e-8ace-f2973fa694e5"/>
  </w:docVars>
  <w:rsids>
    <w:rsidRoot w:val="00F645B5"/>
    <w:rsid w:val="00F645B5"/>
    <w:rsid w:val="03F174D4"/>
    <w:rsid w:val="07261BF2"/>
    <w:rsid w:val="094B1549"/>
    <w:rsid w:val="0B0937DC"/>
    <w:rsid w:val="13F873E8"/>
    <w:rsid w:val="14121161"/>
    <w:rsid w:val="18FA3FFC"/>
    <w:rsid w:val="1B602DE3"/>
    <w:rsid w:val="1C502723"/>
    <w:rsid w:val="1D286135"/>
    <w:rsid w:val="21B77BBF"/>
    <w:rsid w:val="22591777"/>
    <w:rsid w:val="23576B78"/>
    <w:rsid w:val="2443710C"/>
    <w:rsid w:val="29EC6DE3"/>
    <w:rsid w:val="2AD47D57"/>
    <w:rsid w:val="2F5B5A7F"/>
    <w:rsid w:val="338904EC"/>
    <w:rsid w:val="36D573D7"/>
    <w:rsid w:val="40BB4A6F"/>
    <w:rsid w:val="43B94602"/>
    <w:rsid w:val="48DE65EB"/>
    <w:rsid w:val="4ACD02C5"/>
    <w:rsid w:val="4BB70C0B"/>
    <w:rsid w:val="4CD77155"/>
    <w:rsid w:val="4F1D7FB6"/>
    <w:rsid w:val="4F5E0FD1"/>
    <w:rsid w:val="4FED3C90"/>
    <w:rsid w:val="52647F9A"/>
    <w:rsid w:val="558A1889"/>
    <w:rsid w:val="60477A3E"/>
    <w:rsid w:val="63BA5D30"/>
    <w:rsid w:val="652D12A4"/>
    <w:rsid w:val="67665B45"/>
    <w:rsid w:val="69F148BD"/>
    <w:rsid w:val="6A5D1C55"/>
    <w:rsid w:val="6D7046ED"/>
    <w:rsid w:val="74F36A43"/>
    <w:rsid w:val="77EA299E"/>
    <w:rsid w:val="79687D7D"/>
    <w:rsid w:val="7ACE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581</Words>
  <Characters>4128</Characters>
  <Lines>0</Lines>
  <Paragraphs>0</Paragraphs>
  <TotalTime>0</TotalTime>
  <ScaleCrop>false</ScaleCrop>
  <LinksUpToDate>false</LinksUpToDate>
  <CharactersWithSpaces>4694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2022-08-28T06:19:00Z</dcterms:created>
  <dc:creator>李珊</dc:creator>
  <cp:lastModifiedBy>李珊</cp:lastModifiedBy>
  <dcterms:modified xsi:type="dcterms:W3CDTF">2023-03-01T00:09:05Z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D6EB935F3F394F049BB8161ABB73718F</vt:lpwstr>
  </property>
</Properties>
</file>