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A58477" w14:textId="1E932A3B" w:rsidR="00A645EE" w:rsidRDefault="00A645EE" w:rsidP="00A645EE">
      <w:pPr>
        <w:pStyle w:val="MDPI22heading2"/>
        <w:spacing w:line="480" w:lineRule="auto"/>
        <w:rPr>
          <w:rFonts w:ascii="Times New Roman" w:hAnsi="Times New Roman"/>
          <w:b/>
          <w:i w:val="0"/>
          <w:noProof w:val="0"/>
          <w:sz w:val="28"/>
        </w:rPr>
      </w:pPr>
      <w:r w:rsidRPr="000E5AFA">
        <w:rPr>
          <w:rFonts w:ascii="Times New Roman" w:hAnsi="Times New Roman"/>
          <w:b/>
          <w:i w:val="0"/>
          <w:noProof w:val="0"/>
          <w:sz w:val="28"/>
        </w:rPr>
        <w:t>Supplementary Information</w:t>
      </w:r>
    </w:p>
    <w:p w14:paraId="511DB17F" w14:textId="1AC99365" w:rsidR="00070F09" w:rsidRPr="00070F09" w:rsidRDefault="00070F09" w:rsidP="00A645EE">
      <w:pPr>
        <w:pStyle w:val="MDPI22heading2"/>
        <w:spacing w:line="480" w:lineRule="auto"/>
        <w:rPr>
          <w:rFonts w:ascii="Times New Roman" w:hAnsi="Times New Roman"/>
          <w:b/>
          <w:noProof w:val="0"/>
          <w:color w:val="auto"/>
          <w:sz w:val="24"/>
        </w:rPr>
      </w:pPr>
      <w:r w:rsidRPr="00070F09">
        <w:rPr>
          <w:rFonts w:ascii="Times New Roman" w:hAnsi="Times New Roman"/>
          <w:b/>
          <w:noProof w:val="0"/>
          <w:color w:val="auto"/>
          <w:sz w:val="24"/>
        </w:rPr>
        <w:t>Manuscript title: A Practical Approach to Assess the Wildfire Ignition and Spreading Capacities of Vegetated Surfaces in Romania</w:t>
      </w:r>
    </w:p>
    <w:p w14:paraId="0803B319" w14:textId="0847EA97" w:rsidR="0014127B" w:rsidRPr="00042A0C" w:rsidRDefault="00070F09" w:rsidP="00A645EE">
      <w:pPr>
        <w:pStyle w:val="MDPI22heading2"/>
        <w:spacing w:line="480" w:lineRule="auto"/>
        <w:rPr>
          <w:rFonts w:ascii="Times New Roman" w:hAnsi="Times New Roman"/>
          <w:b/>
          <w:noProof w:val="0"/>
          <w:sz w:val="22"/>
        </w:rPr>
      </w:pPr>
      <w:r>
        <w:rPr>
          <w:rFonts w:ascii="Times New Roman" w:hAnsi="Times New Roman"/>
          <w:b/>
          <w:noProof w:val="0"/>
          <w:color w:val="auto"/>
          <w:sz w:val="22"/>
        </w:rPr>
        <w:t xml:space="preserve">S1. </w:t>
      </w:r>
      <w:r w:rsidR="0014127B" w:rsidRPr="00042A0C">
        <w:rPr>
          <w:rFonts w:ascii="Times New Roman" w:hAnsi="Times New Roman"/>
          <w:b/>
          <w:noProof w:val="0"/>
          <w:color w:val="auto"/>
          <w:sz w:val="22"/>
        </w:rPr>
        <w:t>Vegetation Structure of Romania and Wildfire Regimes</w:t>
      </w:r>
    </w:p>
    <w:p w14:paraId="0197229E" w14:textId="6E80916C" w:rsidR="00EB0DD3" w:rsidRDefault="00EB0DD3" w:rsidP="00EB0DD3">
      <w:pPr>
        <w:pStyle w:val="MDPI31text"/>
        <w:spacing w:before="240" w:after="240" w:line="480" w:lineRule="auto"/>
        <w:rPr>
          <w:rFonts w:ascii="Times New Roman" w:hAnsi="Times New Roman"/>
          <w:sz w:val="22"/>
        </w:rPr>
      </w:pPr>
      <w:r w:rsidRPr="001201EC">
        <w:rPr>
          <w:rFonts w:ascii="Times New Roman" w:hAnsi="Times New Roman"/>
          <w:sz w:val="22"/>
        </w:rPr>
        <w:t xml:space="preserve">The </w:t>
      </w:r>
      <w:r>
        <w:rPr>
          <w:rFonts w:ascii="Times New Roman" w:hAnsi="Times New Roman"/>
          <w:sz w:val="22"/>
        </w:rPr>
        <w:t xml:space="preserve">forests on </w:t>
      </w:r>
      <w:r w:rsidR="00B95FB2">
        <w:rPr>
          <w:rFonts w:ascii="Times New Roman" w:hAnsi="Times New Roman"/>
          <w:sz w:val="22"/>
        </w:rPr>
        <w:t xml:space="preserve">the </w:t>
      </w:r>
      <w:r w:rsidRPr="001201EC">
        <w:rPr>
          <w:rFonts w:ascii="Times New Roman" w:hAnsi="Times New Roman"/>
          <w:sz w:val="22"/>
        </w:rPr>
        <w:t>Romanian</w:t>
      </w:r>
      <w:r>
        <w:rPr>
          <w:rFonts w:ascii="Times New Roman" w:hAnsi="Times New Roman"/>
          <w:sz w:val="22"/>
        </w:rPr>
        <w:t xml:space="preserve"> Carpathian Mountains consist of </w:t>
      </w:r>
      <w:r w:rsidRPr="001201EC">
        <w:rPr>
          <w:rFonts w:ascii="Times New Roman" w:hAnsi="Times New Roman"/>
          <w:sz w:val="22"/>
        </w:rPr>
        <w:t>2.13 million hectares of Pannonian mixed deciduous and coniferous forests, 0.87 million hectares of central European mixed forest, 0.53 million hectares of Balkan mixed forest coniferous forests</w:t>
      </w:r>
      <w:r w:rsidR="00B95FB2">
        <w:rPr>
          <w:rFonts w:ascii="Times New Roman" w:hAnsi="Times New Roman"/>
          <w:sz w:val="22"/>
        </w:rPr>
        <w:t>,</w:t>
      </w:r>
      <w:r w:rsidRPr="001201EC">
        <w:rPr>
          <w:rFonts w:ascii="Times New Roman" w:hAnsi="Times New Roman"/>
          <w:sz w:val="22"/>
        </w:rPr>
        <w:t xml:space="preserve"> 3,31 million hectares with species such as </w:t>
      </w:r>
      <w:proofErr w:type="spellStart"/>
      <w:r w:rsidRPr="001201EC">
        <w:rPr>
          <w:rFonts w:ascii="Times New Roman" w:hAnsi="Times New Roman"/>
          <w:i/>
          <w:iCs/>
          <w:sz w:val="22"/>
        </w:rPr>
        <w:t>Abies</w:t>
      </w:r>
      <w:proofErr w:type="spellEnd"/>
      <w:r w:rsidRPr="001201EC">
        <w:rPr>
          <w:rFonts w:ascii="Times New Roman" w:hAnsi="Times New Roman"/>
          <w:i/>
          <w:iCs/>
          <w:sz w:val="22"/>
        </w:rPr>
        <w:t xml:space="preserve"> alba, </w:t>
      </w:r>
      <w:proofErr w:type="spellStart"/>
      <w:r w:rsidRPr="001201EC">
        <w:rPr>
          <w:rFonts w:ascii="Times New Roman" w:hAnsi="Times New Roman"/>
          <w:i/>
          <w:iCs/>
          <w:sz w:val="22"/>
        </w:rPr>
        <w:t>Picea</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abies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Pinus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sylvestris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Pinus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nigra</w:t>
      </w:r>
      <w:proofErr w:type="spellEnd"/>
      <w:r w:rsidRPr="001201EC">
        <w:rPr>
          <w:rFonts w:ascii="Times New Roman" w:hAnsi="Times New Roman"/>
          <w:sz w:val="22"/>
        </w:rPr>
        <w:t>); the plains area represents the forest-steppe floor in which predo</w:t>
      </w:r>
      <w:bookmarkStart w:id="0" w:name="_GoBack"/>
      <w:bookmarkEnd w:id="0"/>
      <w:r w:rsidRPr="001201EC">
        <w:rPr>
          <w:rFonts w:ascii="Times New Roman" w:hAnsi="Times New Roman"/>
          <w:sz w:val="22"/>
        </w:rPr>
        <w:t xml:space="preserve">minates </w:t>
      </w:r>
      <w:proofErr w:type="spellStart"/>
      <w:r w:rsidRPr="001201EC">
        <w:rPr>
          <w:rFonts w:ascii="Times New Roman" w:hAnsi="Times New Roman"/>
          <w:i/>
          <w:iCs/>
          <w:sz w:val="22"/>
        </w:rPr>
        <w:t>Quercus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petraea</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Quercus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cerris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Quercus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frainetto</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Quercus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pedunculiferra</w:t>
      </w:r>
      <w:proofErr w:type="spellEnd"/>
      <w:r w:rsidRPr="001201EC">
        <w:rPr>
          <w:rFonts w:ascii="Times New Roman" w:hAnsi="Times New Roman"/>
          <w:sz w:val="22"/>
        </w:rPr>
        <w:t xml:space="preserve">; along the large watercourses (i.e., such as </w:t>
      </w:r>
      <w:proofErr w:type="spellStart"/>
      <w:r w:rsidRPr="001201EC">
        <w:rPr>
          <w:rFonts w:ascii="Times New Roman" w:hAnsi="Times New Roman"/>
          <w:sz w:val="22"/>
        </w:rPr>
        <w:t>Crisuri</w:t>
      </w:r>
      <w:proofErr w:type="spellEnd"/>
      <w:r w:rsidRPr="001201EC">
        <w:rPr>
          <w:rFonts w:ascii="Times New Roman" w:hAnsi="Times New Roman"/>
          <w:sz w:val="22"/>
        </w:rPr>
        <w:t xml:space="preserve"> and </w:t>
      </w:r>
      <w:proofErr w:type="spellStart"/>
      <w:r w:rsidRPr="001201EC">
        <w:rPr>
          <w:rFonts w:ascii="Times New Roman" w:hAnsi="Times New Roman"/>
          <w:sz w:val="22"/>
        </w:rPr>
        <w:t>Mureș</w:t>
      </w:r>
      <w:proofErr w:type="spellEnd"/>
      <w:r w:rsidRPr="001201EC">
        <w:rPr>
          <w:rFonts w:ascii="Times New Roman" w:hAnsi="Times New Roman"/>
          <w:sz w:val="22"/>
        </w:rPr>
        <w:t xml:space="preserve"> Rivers in western Romania, </w:t>
      </w:r>
      <w:proofErr w:type="spellStart"/>
      <w:r w:rsidRPr="001201EC">
        <w:rPr>
          <w:rFonts w:ascii="Times New Roman" w:hAnsi="Times New Roman"/>
          <w:sz w:val="22"/>
        </w:rPr>
        <w:t>Olt</w:t>
      </w:r>
      <w:proofErr w:type="spellEnd"/>
      <w:r w:rsidRPr="001201EC">
        <w:rPr>
          <w:rFonts w:ascii="Times New Roman" w:hAnsi="Times New Roman"/>
          <w:sz w:val="22"/>
        </w:rPr>
        <w:t xml:space="preserve">, </w:t>
      </w:r>
      <w:proofErr w:type="spellStart"/>
      <w:r w:rsidRPr="001201EC">
        <w:rPr>
          <w:rFonts w:ascii="Times New Roman" w:hAnsi="Times New Roman"/>
          <w:sz w:val="22"/>
        </w:rPr>
        <w:t>Jiu</w:t>
      </w:r>
      <w:proofErr w:type="spellEnd"/>
      <w:r w:rsidRPr="001201EC">
        <w:rPr>
          <w:rFonts w:ascii="Times New Roman" w:hAnsi="Times New Roman"/>
          <w:sz w:val="22"/>
        </w:rPr>
        <w:t xml:space="preserve">, </w:t>
      </w:r>
      <w:proofErr w:type="spellStart"/>
      <w:r w:rsidRPr="001201EC">
        <w:rPr>
          <w:rFonts w:ascii="Times New Roman" w:hAnsi="Times New Roman"/>
          <w:sz w:val="22"/>
        </w:rPr>
        <w:t>Buzău</w:t>
      </w:r>
      <w:proofErr w:type="spellEnd"/>
      <w:r w:rsidRPr="001201EC">
        <w:rPr>
          <w:rFonts w:ascii="Times New Roman" w:hAnsi="Times New Roman"/>
          <w:sz w:val="22"/>
        </w:rPr>
        <w:t xml:space="preserve"> Rivers in the south and Siret, Prut Rivers in the east of the country) hydrophytic vegetation develops, as well as mixed riparian forests (</w:t>
      </w:r>
      <w:proofErr w:type="spellStart"/>
      <w:r w:rsidRPr="001201EC">
        <w:rPr>
          <w:rFonts w:ascii="Times New Roman" w:hAnsi="Times New Roman"/>
          <w:i/>
          <w:iCs/>
          <w:sz w:val="22"/>
        </w:rPr>
        <w:t>Quercus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robur</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Ulmus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laevis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Fraxinus</w:t>
      </w:r>
      <w:proofErr w:type="spellEnd"/>
      <w:r w:rsidRPr="001201EC">
        <w:rPr>
          <w:rFonts w:ascii="Times New Roman" w:hAnsi="Times New Roman"/>
          <w:i/>
          <w:iCs/>
          <w:sz w:val="22"/>
        </w:rPr>
        <w:t xml:space="preserve">  excelsior,  </w:t>
      </w:r>
      <w:proofErr w:type="spellStart"/>
      <w:r w:rsidRPr="001201EC">
        <w:rPr>
          <w:rFonts w:ascii="Times New Roman" w:hAnsi="Times New Roman"/>
          <w:i/>
          <w:iCs/>
          <w:sz w:val="22"/>
        </w:rPr>
        <w:t>Fraxinus</w:t>
      </w:r>
      <w:proofErr w:type="spellEnd"/>
      <w:r w:rsidRPr="001201EC">
        <w:rPr>
          <w:rFonts w:ascii="Times New Roman" w:hAnsi="Times New Roman"/>
          <w:i/>
          <w:iCs/>
          <w:sz w:val="22"/>
        </w:rPr>
        <w:t xml:space="preserve">  </w:t>
      </w:r>
      <w:proofErr w:type="spellStart"/>
      <w:r w:rsidRPr="001201EC">
        <w:rPr>
          <w:rFonts w:ascii="Times New Roman" w:hAnsi="Times New Roman"/>
          <w:i/>
          <w:iCs/>
          <w:sz w:val="22"/>
        </w:rPr>
        <w:t>angustifolia</w:t>
      </w:r>
      <w:proofErr w:type="spellEnd"/>
      <w:r w:rsidRPr="001201EC">
        <w:rPr>
          <w:rFonts w:ascii="Times New Roman" w:hAnsi="Times New Roman"/>
          <w:i/>
          <w:iCs/>
          <w:sz w:val="22"/>
        </w:rPr>
        <w:t>, Salix alba, Populus alba</w:t>
      </w:r>
      <w:r w:rsidRPr="001201EC">
        <w:rPr>
          <w:rFonts w:ascii="Times New Roman" w:hAnsi="Times New Roman"/>
          <w:sz w:val="22"/>
        </w:rPr>
        <w:t>).</w:t>
      </w:r>
    </w:p>
    <w:p w14:paraId="03F9F55B" w14:textId="042D145D" w:rsidR="00EB0DD3" w:rsidRPr="00EA1B24" w:rsidRDefault="00EB0DD3" w:rsidP="00EB0DD3">
      <w:pPr>
        <w:pStyle w:val="MDPI31text"/>
        <w:spacing w:before="240" w:after="240" w:line="480" w:lineRule="auto"/>
        <w:rPr>
          <w:rFonts w:ascii="Times New Roman" w:hAnsi="Times New Roman"/>
          <w:sz w:val="22"/>
        </w:rPr>
      </w:pPr>
      <w:r w:rsidRPr="00EA1B24">
        <w:rPr>
          <w:rFonts w:ascii="Times New Roman" w:hAnsi="Times New Roman"/>
          <w:sz w:val="22"/>
        </w:rPr>
        <w:t>Analyzing Romania's central relief units, the distribution of forested areas by categories of consistency highlights the Eastern Carpathians region, which covers an area of 4128 km</w:t>
      </w:r>
      <w:r w:rsidRPr="00EA1B24">
        <w:rPr>
          <w:rFonts w:ascii="Times New Roman" w:hAnsi="Times New Roman"/>
          <w:sz w:val="22"/>
          <w:vertAlign w:val="superscript"/>
        </w:rPr>
        <w:t>2</w:t>
      </w:r>
      <w:r w:rsidRPr="00EA1B24">
        <w:rPr>
          <w:rFonts w:ascii="Times New Roman" w:hAnsi="Times New Roman"/>
          <w:sz w:val="22"/>
        </w:rPr>
        <w:t xml:space="preserve"> (representing 14.6% of their territory). It has a full consistency of forests and extended areas of 12664 km</w:t>
      </w:r>
      <w:r w:rsidRPr="00EA1B24">
        <w:rPr>
          <w:rFonts w:ascii="Times New Roman" w:hAnsi="Times New Roman"/>
          <w:sz w:val="22"/>
          <w:vertAlign w:val="superscript"/>
        </w:rPr>
        <w:t>2</w:t>
      </w:r>
      <w:r w:rsidRPr="00EA1B24">
        <w:rPr>
          <w:rFonts w:ascii="Times New Roman" w:hAnsi="Times New Roman"/>
          <w:sz w:val="22"/>
        </w:rPr>
        <w:t xml:space="preserve"> (44.8% of the surface) with almost full consistency (Table </w:t>
      </w:r>
      <w:r>
        <w:rPr>
          <w:rFonts w:ascii="Times New Roman" w:hAnsi="Times New Roman"/>
          <w:sz w:val="22"/>
        </w:rPr>
        <w:t>S</w:t>
      </w:r>
      <w:r w:rsidRPr="00EA1B24">
        <w:rPr>
          <w:rFonts w:ascii="Times New Roman" w:hAnsi="Times New Roman"/>
          <w:sz w:val="22"/>
        </w:rPr>
        <w:t>1).</w:t>
      </w:r>
    </w:p>
    <w:p w14:paraId="721C4B61" w14:textId="7245A357" w:rsidR="0014127B" w:rsidRDefault="0014127B" w:rsidP="007F2CAC">
      <w:pPr>
        <w:pStyle w:val="MDPI31text"/>
        <w:spacing w:after="120" w:line="480" w:lineRule="auto"/>
        <w:ind w:firstLine="432"/>
        <w:rPr>
          <w:rFonts w:ascii="Times New Roman" w:hAnsi="Times New Roman"/>
          <w:sz w:val="22"/>
        </w:rPr>
      </w:pPr>
      <w:r w:rsidRPr="00EA1B24">
        <w:rPr>
          <w:rFonts w:ascii="Times New Roman" w:hAnsi="Times New Roman"/>
          <w:sz w:val="22"/>
        </w:rPr>
        <w:t xml:space="preserve">Large areas of the arboretum with full consistency are also present in the </w:t>
      </w:r>
      <w:r w:rsidR="007A2880">
        <w:rPr>
          <w:rFonts w:ascii="Times New Roman" w:hAnsi="Times New Roman"/>
          <w:sz w:val="22"/>
        </w:rPr>
        <w:t>significant</w:t>
      </w:r>
      <w:r w:rsidR="007A2880" w:rsidRPr="00EA1B24">
        <w:rPr>
          <w:rFonts w:ascii="Times New Roman" w:hAnsi="Times New Roman"/>
          <w:sz w:val="22"/>
        </w:rPr>
        <w:t xml:space="preserve"> </w:t>
      </w:r>
      <w:r w:rsidRPr="00EA1B24">
        <w:rPr>
          <w:rFonts w:ascii="Times New Roman" w:hAnsi="Times New Roman"/>
          <w:sz w:val="22"/>
        </w:rPr>
        <w:t xml:space="preserve">relief units such as the Curvature Carpathians, the </w:t>
      </w:r>
      <w:proofErr w:type="spellStart"/>
      <w:r w:rsidRPr="00EA1B24">
        <w:rPr>
          <w:rFonts w:ascii="Times New Roman" w:hAnsi="Times New Roman"/>
          <w:sz w:val="22"/>
        </w:rPr>
        <w:t>Apuseni</w:t>
      </w:r>
      <w:proofErr w:type="spellEnd"/>
      <w:r w:rsidRPr="00EA1B24">
        <w:rPr>
          <w:rFonts w:ascii="Times New Roman" w:hAnsi="Times New Roman"/>
          <w:sz w:val="22"/>
        </w:rPr>
        <w:t xml:space="preserve"> Mountains, followed by the Southern Carpathians, were due to higher altitudes and their massiveness, arboretum develops on larger areas compared to the rest of the relief units with alpine vegetation area. At the opposite pole, there are relief units such as the Danube Delta, the Western Plain, the Romanian Plain, which have 90% of the area occupied by forest vegetation included in trees with degraded consistency. These are most often part of the category of forest vegetation outside the national forest fund, consisting of alignments of trees located along the transport and communication routes, along watercourses, forest vegetation developed on pastures with small consistency, forest plateaus, and trees located within the areas of protection of </w:t>
      </w:r>
      <w:r w:rsidR="007A2880" w:rsidRPr="00EA1B24">
        <w:rPr>
          <w:rFonts w:ascii="Times New Roman" w:hAnsi="Times New Roman"/>
          <w:sz w:val="22"/>
        </w:rPr>
        <w:t>hydr</w:t>
      </w:r>
      <w:r w:rsidR="007A2880">
        <w:rPr>
          <w:rFonts w:ascii="Times New Roman" w:hAnsi="Times New Roman"/>
          <w:sz w:val="22"/>
        </w:rPr>
        <w:t>aulic</w:t>
      </w:r>
      <w:r w:rsidR="007A2880" w:rsidRPr="00EA1B24">
        <w:rPr>
          <w:rFonts w:ascii="Times New Roman" w:hAnsi="Times New Roman"/>
          <w:sz w:val="22"/>
        </w:rPr>
        <w:t xml:space="preserve"> </w:t>
      </w:r>
      <w:r w:rsidRPr="00EA1B24">
        <w:rPr>
          <w:rFonts w:ascii="Times New Roman" w:hAnsi="Times New Roman"/>
          <w:sz w:val="22"/>
        </w:rPr>
        <w:t xml:space="preserve">works and land improvements. </w:t>
      </w:r>
    </w:p>
    <w:p w14:paraId="1688E460" w14:textId="3C3B6776" w:rsidR="0014127B" w:rsidRPr="005C0463" w:rsidRDefault="0014127B" w:rsidP="005C0463">
      <w:pPr>
        <w:pStyle w:val="MDPI33textspaceafter"/>
        <w:ind w:firstLine="0"/>
        <w:rPr>
          <w:rFonts w:ascii="Times New Roman" w:hAnsi="Times New Roman"/>
        </w:rPr>
      </w:pPr>
      <w:r w:rsidRPr="005C0463">
        <w:rPr>
          <w:rFonts w:ascii="Times New Roman" w:hAnsi="Times New Roman"/>
          <w:b/>
        </w:rPr>
        <w:lastRenderedPageBreak/>
        <w:t xml:space="preserve">Table </w:t>
      </w:r>
      <w:r w:rsidR="00A26CD4">
        <w:rPr>
          <w:rFonts w:ascii="Times New Roman" w:hAnsi="Times New Roman"/>
          <w:b/>
        </w:rPr>
        <w:t>S</w:t>
      </w:r>
      <w:r w:rsidRPr="005C0463">
        <w:rPr>
          <w:rFonts w:ascii="Times New Roman" w:hAnsi="Times New Roman"/>
          <w:b/>
        </w:rPr>
        <w:t>1.</w:t>
      </w:r>
      <w:r w:rsidRPr="005C0463">
        <w:rPr>
          <w:rFonts w:ascii="Times New Roman" w:hAnsi="Times New Roman"/>
        </w:rPr>
        <w:t xml:space="preserve"> Distribution of forests in Romania by consistency categories at the level of </w:t>
      </w:r>
      <w:r w:rsidR="007A2880">
        <w:rPr>
          <w:rFonts w:ascii="Times New Roman" w:hAnsi="Times New Roman"/>
        </w:rPr>
        <w:t>significant</w:t>
      </w:r>
      <w:r w:rsidR="007A2880" w:rsidRPr="005C0463">
        <w:rPr>
          <w:rFonts w:ascii="Times New Roman" w:hAnsi="Times New Roman"/>
        </w:rPr>
        <w:t xml:space="preserve"> </w:t>
      </w:r>
      <w:r w:rsidRPr="005C0463">
        <w:rPr>
          <w:rFonts w:ascii="Times New Roman" w:hAnsi="Times New Roman"/>
        </w:rPr>
        <w:t>relief units.</w:t>
      </w:r>
    </w:p>
    <w:tbl>
      <w:tblPr>
        <w:tblStyle w:val="PlainTable2"/>
        <w:tblW w:w="10065" w:type="dxa"/>
        <w:jc w:val="center"/>
        <w:tblBorders>
          <w:top w:val="none" w:sz="0" w:space="0" w:color="auto"/>
          <w:bottom w:val="none" w:sz="0" w:space="0" w:color="auto"/>
        </w:tblBorders>
        <w:tblLayout w:type="fixed"/>
        <w:tblLook w:val="04A0" w:firstRow="1" w:lastRow="0" w:firstColumn="1" w:lastColumn="0" w:noHBand="0" w:noVBand="1"/>
      </w:tblPr>
      <w:tblGrid>
        <w:gridCol w:w="2835"/>
        <w:gridCol w:w="1134"/>
        <w:gridCol w:w="567"/>
        <w:gridCol w:w="993"/>
        <w:gridCol w:w="567"/>
        <w:gridCol w:w="992"/>
        <w:gridCol w:w="567"/>
        <w:gridCol w:w="992"/>
        <w:gridCol w:w="1418"/>
      </w:tblGrid>
      <w:tr w:rsidR="00BE25F6" w:rsidRPr="00E64D9D" w14:paraId="24593C0B" w14:textId="77777777" w:rsidTr="007F2CAC">
        <w:trPr>
          <w:cnfStyle w:val="100000000000" w:firstRow="1" w:lastRow="0" w:firstColumn="0" w:lastColumn="0" w:oddVBand="0" w:evenVBand="0" w:oddHBand="0" w:evenHBand="0" w:firstRowFirstColumn="0" w:firstRowLastColumn="0" w:lastRowFirstColumn="0" w:lastRowLastColumn="0"/>
          <w:trHeight w:hRule="exact" w:val="254"/>
          <w:jc w:val="center"/>
        </w:trPr>
        <w:tc>
          <w:tcPr>
            <w:cnfStyle w:val="001000000000" w:firstRow="0" w:lastRow="0" w:firstColumn="1" w:lastColumn="0" w:oddVBand="0" w:evenVBand="0" w:oddHBand="0" w:evenHBand="0" w:firstRowFirstColumn="0" w:firstRowLastColumn="0" w:lastRowFirstColumn="0" w:lastRowLastColumn="0"/>
            <w:tcW w:w="2835" w:type="dxa"/>
            <w:vMerge w:val="restart"/>
            <w:tcBorders>
              <w:top w:val="single" w:sz="8" w:space="0" w:color="auto"/>
            </w:tcBorders>
            <w:shd w:val="clear" w:color="auto" w:fill="F2F2F2" w:themeFill="background1" w:themeFillShade="F2"/>
            <w:vAlign w:val="center"/>
          </w:tcPr>
          <w:p w14:paraId="1CADECC0" w14:textId="77777777" w:rsidR="0014127B" w:rsidRPr="00E64D9D" w:rsidRDefault="0014127B" w:rsidP="005C0463">
            <w:pPr>
              <w:pStyle w:val="MDPI43tablefooter"/>
              <w:spacing w:before="20" w:after="20" w:line="240" w:lineRule="auto"/>
              <w:jc w:val="center"/>
              <w:rPr>
                <w:rFonts w:ascii="Times New Roman" w:hAnsi="Times New Roman"/>
                <w:color w:val="auto"/>
                <w:sz w:val="20"/>
                <w:szCs w:val="20"/>
              </w:rPr>
            </w:pPr>
            <w:r w:rsidRPr="00E64D9D">
              <w:rPr>
                <w:rFonts w:ascii="Times New Roman" w:hAnsi="Times New Roman"/>
                <w:color w:val="auto"/>
                <w:sz w:val="20"/>
                <w:szCs w:val="20"/>
              </w:rPr>
              <w:t>Major Relief Unit</w:t>
            </w:r>
          </w:p>
        </w:tc>
        <w:tc>
          <w:tcPr>
            <w:tcW w:w="7230" w:type="dxa"/>
            <w:gridSpan w:val="8"/>
            <w:tcBorders>
              <w:top w:val="single" w:sz="8" w:space="0" w:color="auto"/>
              <w:bottom w:val="single" w:sz="2" w:space="0" w:color="auto"/>
            </w:tcBorders>
            <w:shd w:val="clear" w:color="auto" w:fill="F2F2F2" w:themeFill="background1" w:themeFillShade="F2"/>
            <w:vAlign w:val="center"/>
          </w:tcPr>
          <w:p w14:paraId="57604C3A" w14:textId="77777777" w:rsidR="0014127B" w:rsidRPr="00E64D9D" w:rsidRDefault="0014127B" w:rsidP="005C0463">
            <w:pPr>
              <w:pStyle w:val="MDPI43tablefooter"/>
              <w:spacing w:before="20" w:after="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iCs/>
                <w:color w:val="auto"/>
                <w:sz w:val="20"/>
                <w:szCs w:val="20"/>
              </w:rPr>
              <w:t>Consistency categories</w:t>
            </w:r>
          </w:p>
        </w:tc>
      </w:tr>
      <w:tr w:rsidR="00B552DD" w:rsidRPr="00E64D9D" w14:paraId="4D06C1D5" w14:textId="77777777" w:rsidTr="000318D4">
        <w:trPr>
          <w:cnfStyle w:val="000000100000" w:firstRow="0" w:lastRow="0" w:firstColumn="0" w:lastColumn="0" w:oddVBand="0" w:evenVBand="0" w:oddHBand="1" w:evenHBand="0" w:firstRowFirstColumn="0" w:firstRowLastColumn="0" w:lastRowFirstColumn="0" w:lastRowLastColumn="0"/>
          <w:trHeight w:hRule="exact" w:val="1009"/>
          <w:jc w:val="center"/>
        </w:trPr>
        <w:tc>
          <w:tcPr>
            <w:cnfStyle w:val="001000000000" w:firstRow="0" w:lastRow="0" w:firstColumn="1" w:lastColumn="0" w:oddVBand="0" w:evenVBand="0" w:oddHBand="0" w:evenHBand="0" w:firstRowFirstColumn="0" w:firstRowLastColumn="0" w:lastRowFirstColumn="0" w:lastRowLastColumn="0"/>
            <w:tcW w:w="2835" w:type="dxa"/>
            <w:vMerge/>
            <w:tcBorders>
              <w:bottom w:val="single" w:sz="4" w:space="0" w:color="auto"/>
            </w:tcBorders>
            <w:shd w:val="clear" w:color="auto" w:fill="F2F2F2" w:themeFill="background1" w:themeFillShade="F2"/>
            <w:vAlign w:val="center"/>
          </w:tcPr>
          <w:p w14:paraId="0E6125DA" w14:textId="77777777" w:rsidR="0014127B" w:rsidRPr="00E64D9D" w:rsidRDefault="0014127B" w:rsidP="005C0463">
            <w:pPr>
              <w:pStyle w:val="MDPI43tablefooter"/>
              <w:spacing w:before="20" w:after="20" w:line="240" w:lineRule="auto"/>
              <w:jc w:val="center"/>
              <w:rPr>
                <w:rFonts w:ascii="Times New Roman" w:hAnsi="Times New Roman"/>
                <w:color w:val="auto"/>
                <w:sz w:val="20"/>
                <w:szCs w:val="20"/>
              </w:rPr>
            </w:pPr>
          </w:p>
        </w:tc>
        <w:tc>
          <w:tcPr>
            <w:tcW w:w="1701" w:type="dxa"/>
            <w:gridSpan w:val="2"/>
            <w:tcBorders>
              <w:top w:val="single" w:sz="2" w:space="0" w:color="auto"/>
              <w:bottom w:val="single" w:sz="4" w:space="0" w:color="auto"/>
            </w:tcBorders>
            <w:shd w:val="clear" w:color="auto" w:fill="F2F2F2" w:themeFill="background1" w:themeFillShade="F2"/>
            <w:vAlign w:val="center"/>
          </w:tcPr>
          <w:p w14:paraId="3FF5C3F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Arboretum with full consistency (C=100)</w:t>
            </w:r>
          </w:p>
        </w:tc>
        <w:tc>
          <w:tcPr>
            <w:tcW w:w="1560" w:type="dxa"/>
            <w:gridSpan w:val="2"/>
            <w:tcBorders>
              <w:top w:val="single" w:sz="2" w:space="0" w:color="auto"/>
              <w:bottom w:val="single" w:sz="4" w:space="0" w:color="auto"/>
            </w:tcBorders>
            <w:shd w:val="clear" w:color="auto" w:fill="F2F2F2" w:themeFill="background1" w:themeFillShade="F2"/>
            <w:vAlign w:val="center"/>
          </w:tcPr>
          <w:p w14:paraId="526C5F55"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Arboretum with almost full consistency (C = 70-90)</w:t>
            </w:r>
          </w:p>
        </w:tc>
        <w:tc>
          <w:tcPr>
            <w:tcW w:w="2551" w:type="dxa"/>
            <w:gridSpan w:val="3"/>
            <w:tcBorders>
              <w:top w:val="single" w:sz="2" w:space="0" w:color="auto"/>
              <w:bottom w:val="single" w:sz="4" w:space="0" w:color="auto"/>
            </w:tcBorders>
            <w:shd w:val="clear" w:color="auto" w:fill="F2F2F2" w:themeFill="background1" w:themeFillShade="F2"/>
            <w:vAlign w:val="center"/>
          </w:tcPr>
          <w:p w14:paraId="22920FFB"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Arboretum with sparse, lighted, or braced consistency (C = 40-60)</w:t>
            </w:r>
          </w:p>
        </w:tc>
        <w:tc>
          <w:tcPr>
            <w:tcW w:w="1418" w:type="dxa"/>
            <w:tcBorders>
              <w:top w:val="single" w:sz="2" w:space="0" w:color="auto"/>
              <w:bottom w:val="single" w:sz="4" w:space="0" w:color="auto"/>
            </w:tcBorders>
            <w:shd w:val="clear" w:color="auto" w:fill="F2F2F2" w:themeFill="background1" w:themeFillShade="F2"/>
            <w:vAlign w:val="center"/>
          </w:tcPr>
          <w:p w14:paraId="587BCA54"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iCs/>
                <w:color w:val="auto"/>
                <w:sz w:val="20"/>
                <w:szCs w:val="20"/>
              </w:rPr>
              <w:t>Arboretum with degraded consistency</w:t>
            </w:r>
          </w:p>
          <w:p w14:paraId="200DD08F"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iCs/>
                <w:color w:val="auto"/>
                <w:sz w:val="20"/>
                <w:szCs w:val="20"/>
              </w:rPr>
              <w:t>(C = 10-30)</w:t>
            </w:r>
          </w:p>
        </w:tc>
      </w:tr>
      <w:tr w:rsidR="00B552DD" w:rsidRPr="00E64D9D" w14:paraId="22128342" w14:textId="77777777" w:rsidTr="00E64D9D">
        <w:trPr>
          <w:trHeight w:hRule="exact" w:val="360"/>
          <w:jc w:val="center"/>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auto"/>
            </w:tcBorders>
            <w:vAlign w:val="center"/>
          </w:tcPr>
          <w:p w14:paraId="1746F7F3" w14:textId="77777777" w:rsidR="0014127B" w:rsidRPr="00E64D9D" w:rsidRDefault="0014127B" w:rsidP="005C0463">
            <w:pPr>
              <w:pStyle w:val="MDPI43tablefooter"/>
              <w:spacing w:before="20" w:after="20" w:line="240" w:lineRule="auto"/>
              <w:jc w:val="center"/>
              <w:rPr>
                <w:rFonts w:ascii="Times New Roman" w:hAnsi="Times New Roman"/>
                <w:color w:val="auto"/>
                <w:sz w:val="20"/>
                <w:szCs w:val="20"/>
              </w:rPr>
            </w:pPr>
          </w:p>
        </w:tc>
        <w:tc>
          <w:tcPr>
            <w:tcW w:w="1134" w:type="dxa"/>
            <w:tcBorders>
              <w:top w:val="single" w:sz="4" w:space="0" w:color="auto"/>
            </w:tcBorders>
            <w:vAlign w:val="center"/>
          </w:tcPr>
          <w:p w14:paraId="18A2EA84"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Km</w:t>
            </w:r>
            <w:r w:rsidRPr="00E64D9D">
              <w:rPr>
                <w:rFonts w:ascii="Times New Roman" w:hAnsi="Times New Roman"/>
                <w:b/>
                <w:bCs/>
                <w:color w:val="auto"/>
                <w:sz w:val="20"/>
                <w:szCs w:val="20"/>
                <w:vertAlign w:val="superscript"/>
              </w:rPr>
              <w:t>2</w:t>
            </w:r>
          </w:p>
        </w:tc>
        <w:tc>
          <w:tcPr>
            <w:tcW w:w="567" w:type="dxa"/>
            <w:tcBorders>
              <w:top w:val="single" w:sz="4" w:space="0" w:color="auto"/>
            </w:tcBorders>
            <w:vAlign w:val="center"/>
          </w:tcPr>
          <w:p w14:paraId="3D0B7723"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w:t>
            </w:r>
          </w:p>
        </w:tc>
        <w:tc>
          <w:tcPr>
            <w:tcW w:w="993" w:type="dxa"/>
            <w:tcBorders>
              <w:top w:val="single" w:sz="4" w:space="0" w:color="auto"/>
            </w:tcBorders>
            <w:vAlign w:val="center"/>
          </w:tcPr>
          <w:p w14:paraId="7BE6417E"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Km</w:t>
            </w:r>
            <w:r w:rsidRPr="00E64D9D">
              <w:rPr>
                <w:rFonts w:ascii="Times New Roman" w:hAnsi="Times New Roman"/>
                <w:b/>
                <w:bCs/>
                <w:color w:val="auto"/>
                <w:sz w:val="20"/>
                <w:szCs w:val="20"/>
                <w:vertAlign w:val="superscript"/>
              </w:rPr>
              <w:t>2</w:t>
            </w:r>
          </w:p>
        </w:tc>
        <w:tc>
          <w:tcPr>
            <w:tcW w:w="567" w:type="dxa"/>
            <w:tcBorders>
              <w:top w:val="single" w:sz="4" w:space="0" w:color="auto"/>
            </w:tcBorders>
            <w:vAlign w:val="center"/>
          </w:tcPr>
          <w:p w14:paraId="4B6B7F6D"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w:t>
            </w:r>
          </w:p>
        </w:tc>
        <w:tc>
          <w:tcPr>
            <w:tcW w:w="992" w:type="dxa"/>
            <w:tcBorders>
              <w:top w:val="single" w:sz="4" w:space="0" w:color="auto"/>
            </w:tcBorders>
            <w:vAlign w:val="center"/>
          </w:tcPr>
          <w:p w14:paraId="76044DC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Km</w:t>
            </w:r>
            <w:r w:rsidRPr="00E64D9D">
              <w:rPr>
                <w:rFonts w:ascii="Times New Roman" w:hAnsi="Times New Roman"/>
                <w:b/>
                <w:bCs/>
                <w:color w:val="auto"/>
                <w:sz w:val="20"/>
                <w:szCs w:val="20"/>
                <w:vertAlign w:val="superscript"/>
              </w:rPr>
              <w:t>2</w:t>
            </w:r>
          </w:p>
        </w:tc>
        <w:tc>
          <w:tcPr>
            <w:tcW w:w="567" w:type="dxa"/>
            <w:tcBorders>
              <w:top w:val="single" w:sz="4" w:space="0" w:color="auto"/>
            </w:tcBorders>
            <w:vAlign w:val="center"/>
          </w:tcPr>
          <w:p w14:paraId="1E292C61"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w:t>
            </w:r>
          </w:p>
        </w:tc>
        <w:tc>
          <w:tcPr>
            <w:tcW w:w="992" w:type="dxa"/>
            <w:tcBorders>
              <w:top w:val="single" w:sz="4" w:space="0" w:color="auto"/>
            </w:tcBorders>
            <w:vAlign w:val="center"/>
          </w:tcPr>
          <w:p w14:paraId="2C98519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Km</w:t>
            </w:r>
            <w:r w:rsidRPr="00E64D9D">
              <w:rPr>
                <w:rFonts w:ascii="Times New Roman" w:hAnsi="Times New Roman"/>
                <w:b/>
                <w:bCs/>
                <w:color w:val="auto"/>
                <w:sz w:val="20"/>
                <w:szCs w:val="20"/>
                <w:vertAlign w:val="superscript"/>
              </w:rPr>
              <w:t>2</w:t>
            </w:r>
          </w:p>
        </w:tc>
        <w:tc>
          <w:tcPr>
            <w:tcW w:w="1418" w:type="dxa"/>
            <w:tcBorders>
              <w:top w:val="single" w:sz="4" w:space="0" w:color="auto"/>
            </w:tcBorders>
            <w:vAlign w:val="center"/>
          </w:tcPr>
          <w:p w14:paraId="6A7EEB3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color w:val="auto"/>
                <w:sz w:val="20"/>
                <w:szCs w:val="20"/>
              </w:rPr>
            </w:pPr>
            <w:r w:rsidRPr="00E64D9D">
              <w:rPr>
                <w:rFonts w:ascii="Times New Roman" w:hAnsi="Times New Roman"/>
                <w:b/>
                <w:bCs/>
                <w:color w:val="auto"/>
                <w:sz w:val="20"/>
                <w:szCs w:val="20"/>
              </w:rPr>
              <w:t>%</w:t>
            </w:r>
          </w:p>
        </w:tc>
      </w:tr>
      <w:tr w:rsidR="00B552DD" w:rsidRPr="00E64D9D" w14:paraId="6C70E480"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3B42527E"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Romanian Plain</w:t>
            </w:r>
          </w:p>
        </w:tc>
        <w:tc>
          <w:tcPr>
            <w:tcW w:w="1134" w:type="dxa"/>
            <w:vAlign w:val="center"/>
          </w:tcPr>
          <w:p w14:paraId="7A638B9A"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45459.89</w:t>
            </w:r>
          </w:p>
        </w:tc>
        <w:tc>
          <w:tcPr>
            <w:tcW w:w="567" w:type="dxa"/>
            <w:vAlign w:val="center"/>
          </w:tcPr>
          <w:p w14:paraId="57EF9F5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92.9</w:t>
            </w:r>
          </w:p>
        </w:tc>
        <w:tc>
          <w:tcPr>
            <w:tcW w:w="993" w:type="dxa"/>
            <w:vAlign w:val="center"/>
          </w:tcPr>
          <w:p w14:paraId="1EC1758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881.28</w:t>
            </w:r>
          </w:p>
        </w:tc>
        <w:tc>
          <w:tcPr>
            <w:tcW w:w="567" w:type="dxa"/>
            <w:vAlign w:val="center"/>
          </w:tcPr>
          <w:p w14:paraId="7EC74FA0"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1.8</w:t>
            </w:r>
          </w:p>
        </w:tc>
        <w:tc>
          <w:tcPr>
            <w:tcW w:w="992" w:type="dxa"/>
            <w:vAlign w:val="center"/>
          </w:tcPr>
          <w:p w14:paraId="3F46B02D"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1874.65</w:t>
            </w:r>
          </w:p>
        </w:tc>
        <w:tc>
          <w:tcPr>
            <w:tcW w:w="567" w:type="dxa"/>
            <w:vAlign w:val="center"/>
          </w:tcPr>
          <w:p w14:paraId="15E17C5A"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3.8</w:t>
            </w:r>
          </w:p>
        </w:tc>
        <w:tc>
          <w:tcPr>
            <w:tcW w:w="992" w:type="dxa"/>
            <w:vAlign w:val="center"/>
          </w:tcPr>
          <w:p w14:paraId="066C3F8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703.66</w:t>
            </w:r>
          </w:p>
        </w:tc>
        <w:tc>
          <w:tcPr>
            <w:tcW w:w="1418" w:type="dxa"/>
            <w:vAlign w:val="center"/>
          </w:tcPr>
          <w:p w14:paraId="01CE8FD7"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1.4</w:t>
            </w:r>
          </w:p>
        </w:tc>
      </w:tr>
      <w:tr w:rsidR="00B552DD" w:rsidRPr="00E64D9D" w14:paraId="75EE105E"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41FAE196"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Getic Plateau</w:t>
            </w:r>
          </w:p>
        </w:tc>
        <w:tc>
          <w:tcPr>
            <w:tcW w:w="1134" w:type="dxa"/>
            <w:vAlign w:val="center"/>
          </w:tcPr>
          <w:p w14:paraId="50AD153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8358.95</w:t>
            </w:r>
          </w:p>
        </w:tc>
        <w:tc>
          <w:tcPr>
            <w:tcW w:w="567" w:type="dxa"/>
            <w:vAlign w:val="center"/>
          </w:tcPr>
          <w:p w14:paraId="1B1434D4"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60.5</w:t>
            </w:r>
          </w:p>
        </w:tc>
        <w:tc>
          <w:tcPr>
            <w:tcW w:w="993" w:type="dxa"/>
            <w:vAlign w:val="center"/>
          </w:tcPr>
          <w:p w14:paraId="713B6BED"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1647.01</w:t>
            </w:r>
          </w:p>
        </w:tc>
        <w:tc>
          <w:tcPr>
            <w:tcW w:w="567" w:type="dxa"/>
            <w:vAlign w:val="center"/>
          </w:tcPr>
          <w:p w14:paraId="0FA844CF"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11.9</w:t>
            </w:r>
          </w:p>
        </w:tc>
        <w:tc>
          <w:tcPr>
            <w:tcW w:w="992" w:type="dxa"/>
            <w:vAlign w:val="center"/>
          </w:tcPr>
          <w:p w14:paraId="45646748"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3580.86</w:t>
            </w:r>
          </w:p>
        </w:tc>
        <w:tc>
          <w:tcPr>
            <w:tcW w:w="567" w:type="dxa"/>
            <w:vAlign w:val="center"/>
          </w:tcPr>
          <w:p w14:paraId="37DB03D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25.9</w:t>
            </w:r>
          </w:p>
        </w:tc>
        <w:tc>
          <w:tcPr>
            <w:tcW w:w="992" w:type="dxa"/>
            <w:vAlign w:val="center"/>
          </w:tcPr>
          <w:p w14:paraId="682ED193"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234.7</w:t>
            </w:r>
          </w:p>
        </w:tc>
        <w:tc>
          <w:tcPr>
            <w:tcW w:w="1418" w:type="dxa"/>
            <w:vAlign w:val="center"/>
          </w:tcPr>
          <w:p w14:paraId="672AF461"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1.7</w:t>
            </w:r>
          </w:p>
        </w:tc>
      </w:tr>
      <w:tr w:rsidR="00B552DD" w:rsidRPr="00E64D9D" w14:paraId="21DB594E"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48F6CBE7"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 xml:space="preserve">Western Hills south of </w:t>
            </w:r>
            <w:proofErr w:type="spellStart"/>
            <w:r w:rsidRPr="00E64D9D">
              <w:rPr>
                <w:rFonts w:ascii="Times New Roman" w:hAnsi="Times New Roman"/>
                <w:color w:val="auto"/>
                <w:sz w:val="20"/>
                <w:szCs w:val="20"/>
              </w:rPr>
              <w:t>Mures</w:t>
            </w:r>
            <w:proofErr w:type="spellEnd"/>
          </w:p>
        </w:tc>
        <w:tc>
          <w:tcPr>
            <w:tcW w:w="1134" w:type="dxa"/>
            <w:vAlign w:val="center"/>
          </w:tcPr>
          <w:p w14:paraId="3EF92A2B"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2458.28</w:t>
            </w:r>
          </w:p>
        </w:tc>
        <w:tc>
          <w:tcPr>
            <w:tcW w:w="567" w:type="dxa"/>
            <w:vAlign w:val="center"/>
          </w:tcPr>
          <w:p w14:paraId="77D397DF"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54.3</w:t>
            </w:r>
          </w:p>
        </w:tc>
        <w:tc>
          <w:tcPr>
            <w:tcW w:w="993" w:type="dxa"/>
            <w:vAlign w:val="center"/>
          </w:tcPr>
          <w:p w14:paraId="0B764791"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394.81</w:t>
            </w:r>
          </w:p>
        </w:tc>
        <w:tc>
          <w:tcPr>
            <w:tcW w:w="567" w:type="dxa"/>
            <w:vAlign w:val="center"/>
          </w:tcPr>
          <w:p w14:paraId="53A43B66"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8.7</w:t>
            </w:r>
          </w:p>
        </w:tc>
        <w:tc>
          <w:tcPr>
            <w:tcW w:w="992" w:type="dxa"/>
            <w:vAlign w:val="center"/>
          </w:tcPr>
          <w:p w14:paraId="5E879AF5"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1559.46</w:t>
            </w:r>
          </w:p>
        </w:tc>
        <w:tc>
          <w:tcPr>
            <w:tcW w:w="567" w:type="dxa"/>
            <w:vAlign w:val="center"/>
          </w:tcPr>
          <w:p w14:paraId="1350A03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34.4</w:t>
            </w:r>
          </w:p>
        </w:tc>
        <w:tc>
          <w:tcPr>
            <w:tcW w:w="992" w:type="dxa"/>
            <w:vAlign w:val="center"/>
          </w:tcPr>
          <w:p w14:paraId="171F377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115.32</w:t>
            </w:r>
          </w:p>
        </w:tc>
        <w:tc>
          <w:tcPr>
            <w:tcW w:w="1418" w:type="dxa"/>
            <w:vAlign w:val="center"/>
          </w:tcPr>
          <w:p w14:paraId="239EE59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2.5</w:t>
            </w:r>
          </w:p>
        </w:tc>
      </w:tr>
      <w:tr w:rsidR="00B552DD" w:rsidRPr="00E64D9D" w14:paraId="68F2BD12"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76FDD1AF"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Banat Mountains</w:t>
            </w:r>
          </w:p>
        </w:tc>
        <w:tc>
          <w:tcPr>
            <w:tcW w:w="1134" w:type="dxa"/>
            <w:vAlign w:val="center"/>
          </w:tcPr>
          <w:p w14:paraId="02622A4D"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1429.78</w:t>
            </w:r>
          </w:p>
        </w:tc>
        <w:tc>
          <w:tcPr>
            <w:tcW w:w="567" w:type="dxa"/>
            <w:vAlign w:val="center"/>
          </w:tcPr>
          <w:p w14:paraId="0AFD8C0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20.4</w:t>
            </w:r>
          </w:p>
        </w:tc>
        <w:tc>
          <w:tcPr>
            <w:tcW w:w="993" w:type="dxa"/>
            <w:vAlign w:val="center"/>
          </w:tcPr>
          <w:p w14:paraId="3BF21AB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612.92</w:t>
            </w:r>
          </w:p>
        </w:tc>
        <w:tc>
          <w:tcPr>
            <w:tcW w:w="567" w:type="dxa"/>
            <w:vAlign w:val="center"/>
          </w:tcPr>
          <w:p w14:paraId="51F819CB"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8.7</w:t>
            </w:r>
          </w:p>
        </w:tc>
        <w:tc>
          <w:tcPr>
            <w:tcW w:w="992" w:type="dxa"/>
            <w:vAlign w:val="center"/>
          </w:tcPr>
          <w:p w14:paraId="36024F32"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4568.48</w:t>
            </w:r>
          </w:p>
        </w:tc>
        <w:tc>
          <w:tcPr>
            <w:tcW w:w="567" w:type="dxa"/>
            <w:vAlign w:val="center"/>
          </w:tcPr>
          <w:p w14:paraId="11A511D3"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65.2</w:t>
            </w:r>
          </w:p>
        </w:tc>
        <w:tc>
          <w:tcPr>
            <w:tcW w:w="992" w:type="dxa"/>
            <w:vAlign w:val="center"/>
          </w:tcPr>
          <w:p w14:paraId="04A98B4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399.24</w:t>
            </w:r>
          </w:p>
        </w:tc>
        <w:tc>
          <w:tcPr>
            <w:tcW w:w="1418" w:type="dxa"/>
            <w:vAlign w:val="center"/>
          </w:tcPr>
          <w:p w14:paraId="775091B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5.7</w:t>
            </w:r>
          </w:p>
        </w:tc>
      </w:tr>
      <w:tr w:rsidR="00B552DD" w:rsidRPr="00E64D9D" w14:paraId="6294017F"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434C402B"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Transylvanian Depression</w:t>
            </w:r>
          </w:p>
        </w:tc>
        <w:tc>
          <w:tcPr>
            <w:tcW w:w="1134" w:type="dxa"/>
            <w:vAlign w:val="center"/>
          </w:tcPr>
          <w:p w14:paraId="5F468949"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18164.37</w:t>
            </w:r>
          </w:p>
        </w:tc>
        <w:tc>
          <w:tcPr>
            <w:tcW w:w="567" w:type="dxa"/>
            <w:vAlign w:val="center"/>
          </w:tcPr>
          <w:p w14:paraId="300DA34A"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71.8</w:t>
            </w:r>
          </w:p>
        </w:tc>
        <w:tc>
          <w:tcPr>
            <w:tcW w:w="993" w:type="dxa"/>
            <w:vAlign w:val="center"/>
          </w:tcPr>
          <w:p w14:paraId="163E2BB2"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1970.75</w:t>
            </w:r>
          </w:p>
        </w:tc>
        <w:tc>
          <w:tcPr>
            <w:tcW w:w="567" w:type="dxa"/>
            <w:vAlign w:val="center"/>
          </w:tcPr>
          <w:p w14:paraId="6A1F0F06"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7.8</w:t>
            </w:r>
          </w:p>
        </w:tc>
        <w:tc>
          <w:tcPr>
            <w:tcW w:w="992" w:type="dxa"/>
            <w:vAlign w:val="center"/>
          </w:tcPr>
          <w:p w14:paraId="44903E55"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4593.99</w:t>
            </w:r>
          </w:p>
        </w:tc>
        <w:tc>
          <w:tcPr>
            <w:tcW w:w="567" w:type="dxa"/>
            <w:vAlign w:val="center"/>
          </w:tcPr>
          <w:p w14:paraId="6CB424F5"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18.2</w:t>
            </w:r>
          </w:p>
        </w:tc>
        <w:tc>
          <w:tcPr>
            <w:tcW w:w="992" w:type="dxa"/>
            <w:vAlign w:val="center"/>
          </w:tcPr>
          <w:p w14:paraId="55FAC24A"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568.38</w:t>
            </w:r>
          </w:p>
        </w:tc>
        <w:tc>
          <w:tcPr>
            <w:tcW w:w="1418" w:type="dxa"/>
            <w:vAlign w:val="center"/>
          </w:tcPr>
          <w:p w14:paraId="0FFC7152"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2.2</w:t>
            </w:r>
          </w:p>
        </w:tc>
      </w:tr>
      <w:tr w:rsidR="00B552DD" w:rsidRPr="00E64D9D" w14:paraId="24EF86A8"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630A5381"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proofErr w:type="spellStart"/>
            <w:r w:rsidRPr="00E64D9D">
              <w:rPr>
                <w:rFonts w:ascii="Times New Roman" w:hAnsi="Times New Roman"/>
                <w:color w:val="auto"/>
                <w:sz w:val="20"/>
                <w:szCs w:val="20"/>
              </w:rPr>
              <w:t>Apuseni</w:t>
            </w:r>
            <w:proofErr w:type="spellEnd"/>
            <w:r w:rsidRPr="00E64D9D">
              <w:rPr>
                <w:rFonts w:ascii="Times New Roman" w:hAnsi="Times New Roman"/>
                <w:color w:val="auto"/>
                <w:sz w:val="20"/>
                <w:szCs w:val="20"/>
              </w:rPr>
              <w:t xml:space="preserve"> Mountains</w:t>
            </w:r>
          </w:p>
        </w:tc>
        <w:tc>
          <w:tcPr>
            <w:tcW w:w="1134" w:type="dxa"/>
            <w:vAlign w:val="center"/>
          </w:tcPr>
          <w:p w14:paraId="1E326B0F"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2319.16</w:t>
            </w:r>
          </w:p>
        </w:tc>
        <w:tc>
          <w:tcPr>
            <w:tcW w:w="567" w:type="dxa"/>
            <w:vAlign w:val="center"/>
          </w:tcPr>
          <w:p w14:paraId="0F41E73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21.7</w:t>
            </w:r>
          </w:p>
        </w:tc>
        <w:tc>
          <w:tcPr>
            <w:tcW w:w="993" w:type="dxa"/>
            <w:vAlign w:val="center"/>
          </w:tcPr>
          <w:p w14:paraId="6E4F9E0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1102.65</w:t>
            </w:r>
          </w:p>
        </w:tc>
        <w:tc>
          <w:tcPr>
            <w:tcW w:w="567" w:type="dxa"/>
            <w:vAlign w:val="center"/>
          </w:tcPr>
          <w:p w14:paraId="7F6ED1E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10.3</w:t>
            </w:r>
          </w:p>
        </w:tc>
        <w:tc>
          <w:tcPr>
            <w:tcW w:w="992" w:type="dxa"/>
            <w:vAlign w:val="center"/>
          </w:tcPr>
          <w:p w14:paraId="597776E3"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5275.04</w:t>
            </w:r>
          </w:p>
        </w:tc>
        <w:tc>
          <w:tcPr>
            <w:tcW w:w="567" w:type="dxa"/>
            <w:vAlign w:val="center"/>
          </w:tcPr>
          <w:p w14:paraId="5718D8ED"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49.4</w:t>
            </w:r>
          </w:p>
        </w:tc>
        <w:tc>
          <w:tcPr>
            <w:tcW w:w="992" w:type="dxa"/>
            <w:vAlign w:val="center"/>
          </w:tcPr>
          <w:p w14:paraId="6F46DC9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1973.78</w:t>
            </w:r>
          </w:p>
        </w:tc>
        <w:tc>
          <w:tcPr>
            <w:tcW w:w="1418" w:type="dxa"/>
            <w:vAlign w:val="center"/>
          </w:tcPr>
          <w:p w14:paraId="0C89FE5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18.5</w:t>
            </w:r>
          </w:p>
        </w:tc>
      </w:tr>
      <w:tr w:rsidR="00B552DD" w:rsidRPr="00E64D9D" w14:paraId="66AD4724"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140DAB35"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Moldavian Plateau</w:t>
            </w:r>
          </w:p>
        </w:tc>
        <w:tc>
          <w:tcPr>
            <w:tcW w:w="1134" w:type="dxa"/>
            <w:vAlign w:val="center"/>
          </w:tcPr>
          <w:p w14:paraId="6B6DD15D"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19059.32</w:t>
            </w:r>
          </w:p>
        </w:tc>
        <w:tc>
          <w:tcPr>
            <w:tcW w:w="567" w:type="dxa"/>
            <w:vAlign w:val="center"/>
          </w:tcPr>
          <w:p w14:paraId="6F05D711"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83.1</w:t>
            </w:r>
          </w:p>
        </w:tc>
        <w:tc>
          <w:tcPr>
            <w:tcW w:w="993" w:type="dxa"/>
            <w:vAlign w:val="center"/>
          </w:tcPr>
          <w:p w14:paraId="4E1891C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802.81</w:t>
            </w:r>
          </w:p>
        </w:tc>
        <w:tc>
          <w:tcPr>
            <w:tcW w:w="567" w:type="dxa"/>
            <w:vAlign w:val="center"/>
          </w:tcPr>
          <w:p w14:paraId="1F9E2B3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3.5</w:t>
            </w:r>
          </w:p>
        </w:tc>
        <w:tc>
          <w:tcPr>
            <w:tcW w:w="992" w:type="dxa"/>
            <w:vAlign w:val="center"/>
          </w:tcPr>
          <w:p w14:paraId="11ED5466"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2766.84</w:t>
            </w:r>
          </w:p>
        </w:tc>
        <w:tc>
          <w:tcPr>
            <w:tcW w:w="567" w:type="dxa"/>
            <w:vAlign w:val="center"/>
          </w:tcPr>
          <w:p w14:paraId="58CB77FD"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12.1</w:t>
            </w:r>
          </w:p>
        </w:tc>
        <w:tc>
          <w:tcPr>
            <w:tcW w:w="992" w:type="dxa"/>
            <w:vAlign w:val="center"/>
          </w:tcPr>
          <w:p w14:paraId="10C701D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300.88</w:t>
            </w:r>
          </w:p>
        </w:tc>
        <w:tc>
          <w:tcPr>
            <w:tcW w:w="1418" w:type="dxa"/>
            <w:vAlign w:val="center"/>
          </w:tcPr>
          <w:p w14:paraId="3D9DB81F"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1.3</w:t>
            </w:r>
          </w:p>
        </w:tc>
      </w:tr>
      <w:tr w:rsidR="00B552DD" w:rsidRPr="00E64D9D" w14:paraId="3320A445"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208F0DAA" w14:textId="2ED01ADB" w:rsidR="0014127B" w:rsidRPr="00E64D9D" w:rsidRDefault="0014127B" w:rsidP="005C0463">
            <w:pPr>
              <w:pStyle w:val="MDPI43tablefooter"/>
              <w:spacing w:before="20" w:after="20" w:line="240" w:lineRule="auto"/>
              <w:jc w:val="center"/>
              <w:rPr>
                <w:rFonts w:ascii="Times New Roman" w:hAnsi="Times New Roman"/>
                <w:bCs w:val="0"/>
                <w:iCs/>
                <w:color w:val="auto"/>
                <w:sz w:val="20"/>
                <w:szCs w:val="20"/>
              </w:rPr>
            </w:pPr>
            <w:r w:rsidRPr="00E64D9D">
              <w:rPr>
                <w:rFonts w:ascii="Times New Roman" w:hAnsi="Times New Roman"/>
                <w:bCs w:val="0"/>
                <w:color w:val="auto"/>
                <w:sz w:val="20"/>
                <w:szCs w:val="20"/>
              </w:rPr>
              <w:t>Subcarpathian</w:t>
            </w:r>
          </w:p>
        </w:tc>
        <w:tc>
          <w:tcPr>
            <w:tcW w:w="1134" w:type="dxa"/>
            <w:vAlign w:val="center"/>
          </w:tcPr>
          <w:p w14:paraId="2B0C0794"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8206.62</w:t>
            </w:r>
          </w:p>
        </w:tc>
        <w:tc>
          <w:tcPr>
            <w:tcW w:w="567" w:type="dxa"/>
            <w:vAlign w:val="center"/>
          </w:tcPr>
          <w:p w14:paraId="078B83EC"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49.5</w:t>
            </w:r>
          </w:p>
        </w:tc>
        <w:tc>
          <w:tcPr>
            <w:tcW w:w="993" w:type="dxa"/>
            <w:vAlign w:val="center"/>
          </w:tcPr>
          <w:p w14:paraId="0E50AF5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1941.2</w:t>
            </w:r>
          </w:p>
        </w:tc>
        <w:tc>
          <w:tcPr>
            <w:tcW w:w="567" w:type="dxa"/>
            <w:vAlign w:val="center"/>
          </w:tcPr>
          <w:p w14:paraId="48630501"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11.7</w:t>
            </w:r>
          </w:p>
        </w:tc>
        <w:tc>
          <w:tcPr>
            <w:tcW w:w="992" w:type="dxa"/>
            <w:vAlign w:val="center"/>
          </w:tcPr>
          <w:p w14:paraId="19C3C8E3"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4867.73</w:t>
            </w:r>
          </w:p>
        </w:tc>
        <w:tc>
          <w:tcPr>
            <w:tcW w:w="567" w:type="dxa"/>
            <w:vAlign w:val="center"/>
          </w:tcPr>
          <w:p w14:paraId="06FE77EC"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29.3</w:t>
            </w:r>
          </w:p>
        </w:tc>
        <w:tc>
          <w:tcPr>
            <w:tcW w:w="992" w:type="dxa"/>
            <w:vAlign w:val="center"/>
          </w:tcPr>
          <w:p w14:paraId="6B4B48D6"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1574.77</w:t>
            </w:r>
          </w:p>
        </w:tc>
        <w:tc>
          <w:tcPr>
            <w:tcW w:w="1418" w:type="dxa"/>
            <w:vAlign w:val="center"/>
          </w:tcPr>
          <w:p w14:paraId="42362B1C"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9.5</w:t>
            </w:r>
          </w:p>
        </w:tc>
      </w:tr>
      <w:tr w:rsidR="00B552DD" w:rsidRPr="00E64D9D" w14:paraId="34417DF9"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064AAF68"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Dobrogea Plateau</w:t>
            </w:r>
          </w:p>
        </w:tc>
        <w:tc>
          <w:tcPr>
            <w:tcW w:w="1134" w:type="dxa"/>
            <w:vAlign w:val="center"/>
          </w:tcPr>
          <w:p w14:paraId="7A37CF11"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9136.14</w:t>
            </w:r>
          </w:p>
        </w:tc>
        <w:tc>
          <w:tcPr>
            <w:tcW w:w="567" w:type="dxa"/>
            <w:vAlign w:val="center"/>
          </w:tcPr>
          <w:p w14:paraId="4A0FB869"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60.5</w:t>
            </w:r>
          </w:p>
        </w:tc>
        <w:tc>
          <w:tcPr>
            <w:tcW w:w="993" w:type="dxa"/>
            <w:vAlign w:val="center"/>
          </w:tcPr>
          <w:p w14:paraId="58226A16"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160.5</w:t>
            </w:r>
          </w:p>
        </w:tc>
        <w:tc>
          <w:tcPr>
            <w:tcW w:w="567" w:type="dxa"/>
            <w:vAlign w:val="center"/>
          </w:tcPr>
          <w:p w14:paraId="3B4CB4F2"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11.9</w:t>
            </w:r>
          </w:p>
        </w:tc>
        <w:tc>
          <w:tcPr>
            <w:tcW w:w="992" w:type="dxa"/>
            <w:vAlign w:val="center"/>
          </w:tcPr>
          <w:p w14:paraId="08C6716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765.5</w:t>
            </w:r>
          </w:p>
        </w:tc>
        <w:tc>
          <w:tcPr>
            <w:tcW w:w="567" w:type="dxa"/>
            <w:vAlign w:val="center"/>
          </w:tcPr>
          <w:p w14:paraId="3FF9F6FA"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25.9</w:t>
            </w:r>
          </w:p>
        </w:tc>
        <w:tc>
          <w:tcPr>
            <w:tcW w:w="992" w:type="dxa"/>
            <w:vAlign w:val="center"/>
          </w:tcPr>
          <w:p w14:paraId="7384BE3E"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90.79</w:t>
            </w:r>
          </w:p>
        </w:tc>
        <w:tc>
          <w:tcPr>
            <w:tcW w:w="1418" w:type="dxa"/>
            <w:vAlign w:val="center"/>
          </w:tcPr>
          <w:p w14:paraId="4683402B"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1.7</w:t>
            </w:r>
          </w:p>
        </w:tc>
      </w:tr>
      <w:tr w:rsidR="00B552DD" w:rsidRPr="00E64D9D" w14:paraId="1ADBEB22"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4F8A96D1"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Danube Delta</w:t>
            </w:r>
          </w:p>
        </w:tc>
        <w:tc>
          <w:tcPr>
            <w:tcW w:w="1134" w:type="dxa"/>
            <w:vAlign w:val="center"/>
          </w:tcPr>
          <w:p w14:paraId="12C8B63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4289.01</w:t>
            </w:r>
          </w:p>
        </w:tc>
        <w:tc>
          <w:tcPr>
            <w:tcW w:w="567" w:type="dxa"/>
            <w:vAlign w:val="center"/>
          </w:tcPr>
          <w:p w14:paraId="3902C068"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p>
        </w:tc>
        <w:tc>
          <w:tcPr>
            <w:tcW w:w="993" w:type="dxa"/>
            <w:vAlign w:val="center"/>
          </w:tcPr>
          <w:p w14:paraId="399C359E"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72.52</w:t>
            </w:r>
          </w:p>
        </w:tc>
        <w:tc>
          <w:tcPr>
            <w:tcW w:w="567" w:type="dxa"/>
            <w:vAlign w:val="center"/>
          </w:tcPr>
          <w:p w14:paraId="38C1AE1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p>
        </w:tc>
        <w:tc>
          <w:tcPr>
            <w:tcW w:w="992" w:type="dxa"/>
            <w:vAlign w:val="center"/>
          </w:tcPr>
          <w:p w14:paraId="79406AF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87.99</w:t>
            </w:r>
          </w:p>
        </w:tc>
        <w:tc>
          <w:tcPr>
            <w:tcW w:w="567" w:type="dxa"/>
            <w:vAlign w:val="center"/>
          </w:tcPr>
          <w:p w14:paraId="375471EE"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p>
        </w:tc>
        <w:tc>
          <w:tcPr>
            <w:tcW w:w="992" w:type="dxa"/>
            <w:vAlign w:val="center"/>
          </w:tcPr>
          <w:p w14:paraId="3DA3760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10.18</w:t>
            </w:r>
          </w:p>
        </w:tc>
        <w:tc>
          <w:tcPr>
            <w:tcW w:w="1418" w:type="dxa"/>
            <w:vAlign w:val="center"/>
          </w:tcPr>
          <w:p w14:paraId="42F3B7B8"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p>
        </w:tc>
      </w:tr>
      <w:tr w:rsidR="00B552DD" w:rsidRPr="00E64D9D" w14:paraId="7265B3AE"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01D8304D"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proofErr w:type="spellStart"/>
            <w:r w:rsidRPr="00E64D9D">
              <w:rPr>
                <w:rFonts w:ascii="Times New Roman" w:hAnsi="Times New Roman"/>
                <w:color w:val="auto"/>
                <w:sz w:val="20"/>
                <w:szCs w:val="20"/>
              </w:rPr>
              <w:t>Mehedinti</w:t>
            </w:r>
            <w:proofErr w:type="spellEnd"/>
            <w:r w:rsidRPr="00E64D9D">
              <w:rPr>
                <w:rFonts w:ascii="Times New Roman" w:hAnsi="Times New Roman"/>
                <w:color w:val="auto"/>
                <w:sz w:val="20"/>
                <w:szCs w:val="20"/>
              </w:rPr>
              <w:t xml:space="preserve"> Plateau</w:t>
            </w:r>
          </w:p>
        </w:tc>
        <w:tc>
          <w:tcPr>
            <w:tcW w:w="1134" w:type="dxa"/>
            <w:vAlign w:val="center"/>
          </w:tcPr>
          <w:p w14:paraId="5DC1AF3F"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333.11</w:t>
            </w:r>
          </w:p>
        </w:tc>
        <w:tc>
          <w:tcPr>
            <w:tcW w:w="567" w:type="dxa"/>
            <w:vAlign w:val="center"/>
          </w:tcPr>
          <w:p w14:paraId="6A6CE35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41.6</w:t>
            </w:r>
          </w:p>
        </w:tc>
        <w:tc>
          <w:tcPr>
            <w:tcW w:w="993" w:type="dxa"/>
            <w:vAlign w:val="center"/>
          </w:tcPr>
          <w:p w14:paraId="6E5AA78B"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112.58</w:t>
            </w:r>
          </w:p>
        </w:tc>
        <w:tc>
          <w:tcPr>
            <w:tcW w:w="567" w:type="dxa"/>
            <w:vAlign w:val="center"/>
          </w:tcPr>
          <w:p w14:paraId="26DA740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14.1</w:t>
            </w:r>
          </w:p>
        </w:tc>
        <w:tc>
          <w:tcPr>
            <w:tcW w:w="992" w:type="dxa"/>
            <w:vAlign w:val="center"/>
          </w:tcPr>
          <w:p w14:paraId="25A15BF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350.02</w:t>
            </w:r>
          </w:p>
        </w:tc>
        <w:tc>
          <w:tcPr>
            <w:tcW w:w="567" w:type="dxa"/>
            <w:vAlign w:val="center"/>
          </w:tcPr>
          <w:p w14:paraId="3A51505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43.7</w:t>
            </w:r>
          </w:p>
        </w:tc>
        <w:tc>
          <w:tcPr>
            <w:tcW w:w="992" w:type="dxa"/>
            <w:vAlign w:val="center"/>
          </w:tcPr>
          <w:p w14:paraId="5C841C5B"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5.46</w:t>
            </w:r>
          </w:p>
        </w:tc>
        <w:tc>
          <w:tcPr>
            <w:tcW w:w="1418" w:type="dxa"/>
            <w:vAlign w:val="center"/>
          </w:tcPr>
          <w:p w14:paraId="5340A779"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0.7</w:t>
            </w:r>
          </w:p>
        </w:tc>
      </w:tr>
      <w:tr w:rsidR="00B552DD" w:rsidRPr="00E64D9D" w14:paraId="2A01F129"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42AB1B8A"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Western Plain</w:t>
            </w:r>
          </w:p>
        </w:tc>
        <w:tc>
          <w:tcPr>
            <w:tcW w:w="1134" w:type="dxa"/>
            <w:vAlign w:val="center"/>
          </w:tcPr>
          <w:p w14:paraId="394C4464"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15337.49</w:t>
            </w:r>
          </w:p>
        </w:tc>
        <w:tc>
          <w:tcPr>
            <w:tcW w:w="567" w:type="dxa"/>
            <w:vAlign w:val="center"/>
          </w:tcPr>
          <w:p w14:paraId="3DE88034"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97.8</w:t>
            </w:r>
          </w:p>
        </w:tc>
        <w:tc>
          <w:tcPr>
            <w:tcW w:w="993" w:type="dxa"/>
            <w:vAlign w:val="center"/>
          </w:tcPr>
          <w:p w14:paraId="1B8B167F"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236.43</w:t>
            </w:r>
          </w:p>
        </w:tc>
        <w:tc>
          <w:tcPr>
            <w:tcW w:w="567" w:type="dxa"/>
            <w:vAlign w:val="center"/>
          </w:tcPr>
          <w:p w14:paraId="41EAC42D"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1.5</w:t>
            </w:r>
          </w:p>
        </w:tc>
        <w:tc>
          <w:tcPr>
            <w:tcW w:w="992" w:type="dxa"/>
            <w:vAlign w:val="center"/>
          </w:tcPr>
          <w:p w14:paraId="6674DB78"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504.67</w:t>
            </w:r>
          </w:p>
        </w:tc>
        <w:tc>
          <w:tcPr>
            <w:tcW w:w="567" w:type="dxa"/>
            <w:vAlign w:val="center"/>
          </w:tcPr>
          <w:p w14:paraId="2C1484B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3.1</w:t>
            </w:r>
          </w:p>
        </w:tc>
        <w:tc>
          <w:tcPr>
            <w:tcW w:w="992" w:type="dxa"/>
            <w:vAlign w:val="center"/>
          </w:tcPr>
          <w:p w14:paraId="2A34B042"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99.38</w:t>
            </w:r>
          </w:p>
        </w:tc>
        <w:tc>
          <w:tcPr>
            <w:tcW w:w="1418" w:type="dxa"/>
            <w:vAlign w:val="center"/>
          </w:tcPr>
          <w:p w14:paraId="425AA1E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0.6</w:t>
            </w:r>
          </w:p>
        </w:tc>
      </w:tr>
      <w:tr w:rsidR="00B552DD" w:rsidRPr="00E64D9D" w14:paraId="1A54241D"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278D8E5C"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Eastern Carpathians</w:t>
            </w:r>
          </w:p>
        </w:tc>
        <w:tc>
          <w:tcPr>
            <w:tcW w:w="1134" w:type="dxa"/>
            <w:vAlign w:val="center"/>
          </w:tcPr>
          <w:p w14:paraId="7C9B1870"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8753.47</w:t>
            </w:r>
          </w:p>
        </w:tc>
        <w:tc>
          <w:tcPr>
            <w:tcW w:w="567" w:type="dxa"/>
            <w:vAlign w:val="center"/>
          </w:tcPr>
          <w:p w14:paraId="650589A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30.9</w:t>
            </w:r>
          </w:p>
        </w:tc>
        <w:tc>
          <w:tcPr>
            <w:tcW w:w="993" w:type="dxa"/>
            <w:vAlign w:val="center"/>
          </w:tcPr>
          <w:p w14:paraId="207ECD5F"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2738.64</w:t>
            </w:r>
          </w:p>
        </w:tc>
        <w:tc>
          <w:tcPr>
            <w:tcW w:w="567" w:type="dxa"/>
            <w:vAlign w:val="center"/>
          </w:tcPr>
          <w:p w14:paraId="3B997919"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9.7</w:t>
            </w:r>
          </w:p>
        </w:tc>
        <w:tc>
          <w:tcPr>
            <w:tcW w:w="992" w:type="dxa"/>
            <w:vAlign w:val="center"/>
          </w:tcPr>
          <w:p w14:paraId="09C787C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12664.1</w:t>
            </w:r>
          </w:p>
        </w:tc>
        <w:tc>
          <w:tcPr>
            <w:tcW w:w="567" w:type="dxa"/>
            <w:vAlign w:val="center"/>
          </w:tcPr>
          <w:p w14:paraId="46B0B30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44.8</w:t>
            </w:r>
          </w:p>
        </w:tc>
        <w:tc>
          <w:tcPr>
            <w:tcW w:w="992" w:type="dxa"/>
            <w:vAlign w:val="center"/>
          </w:tcPr>
          <w:p w14:paraId="03D04C24"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4128.64</w:t>
            </w:r>
          </w:p>
        </w:tc>
        <w:tc>
          <w:tcPr>
            <w:tcW w:w="1418" w:type="dxa"/>
            <w:vAlign w:val="center"/>
          </w:tcPr>
          <w:p w14:paraId="6905B095"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14.6</w:t>
            </w:r>
          </w:p>
        </w:tc>
      </w:tr>
      <w:tr w:rsidR="00B552DD" w:rsidRPr="00E64D9D" w14:paraId="6BAEC2F7"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28FA3A2A"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Curvature Carpathians</w:t>
            </w:r>
          </w:p>
        </w:tc>
        <w:tc>
          <w:tcPr>
            <w:tcW w:w="1134" w:type="dxa"/>
            <w:vAlign w:val="center"/>
          </w:tcPr>
          <w:p w14:paraId="229617A1"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954.29</w:t>
            </w:r>
          </w:p>
        </w:tc>
        <w:tc>
          <w:tcPr>
            <w:tcW w:w="567" w:type="dxa"/>
            <w:vAlign w:val="center"/>
          </w:tcPr>
          <w:p w14:paraId="73154211"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15.6</w:t>
            </w:r>
          </w:p>
        </w:tc>
        <w:tc>
          <w:tcPr>
            <w:tcW w:w="993" w:type="dxa"/>
            <w:vAlign w:val="center"/>
          </w:tcPr>
          <w:p w14:paraId="11948A6D"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429.88</w:t>
            </w:r>
          </w:p>
        </w:tc>
        <w:tc>
          <w:tcPr>
            <w:tcW w:w="567" w:type="dxa"/>
            <w:vAlign w:val="center"/>
          </w:tcPr>
          <w:p w14:paraId="0A8F4201"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7.0</w:t>
            </w:r>
          </w:p>
        </w:tc>
        <w:tc>
          <w:tcPr>
            <w:tcW w:w="992" w:type="dxa"/>
            <w:vAlign w:val="center"/>
          </w:tcPr>
          <w:p w14:paraId="34E3E200"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2605.22</w:t>
            </w:r>
          </w:p>
        </w:tc>
        <w:tc>
          <w:tcPr>
            <w:tcW w:w="567" w:type="dxa"/>
            <w:vAlign w:val="center"/>
          </w:tcPr>
          <w:p w14:paraId="2561F856"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42.5</w:t>
            </w:r>
          </w:p>
        </w:tc>
        <w:tc>
          <w:tcPr>
            <w:tcW w:w="992" w:type="dxa"/>
            <w:vAlign w:val="center"/>
          </w:tcPr>
          <w:p w14:paraId="3A80C905"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2141.88</w:t>
            </w:r>
          </w:p>
        </w:tc>
        <w:tc>
          <w:tcPr>
            <w:tcW w:w="1418" w:type="dxa"/>
            <w:vAlign w:val="center"/>
          </w:tcPr>
          <w:p w14:paraId="79AC8D1E"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34.9</w:t>
            </w:r>
          </w:p>
        </w:tc>
      </w:tr>
      <w:tr w:rsidR="00B552DD" w:rsidRPr="00E64D9D" w14:paraId="11EFCB31" w14:textId="77777777" w:rsidTr="000318D4">
        <w:trPr>
          <w:cnfStyle w:val="000000100000" w:firstRow="0" w:lastRow="0" w:firstColumn="0" w:lastColumn="0" w:oddVBand="0" w:evenVBand="0" w:oddHBand="1" w:evenHBand="0" w:firstRowFirstColumn="0" w:firstRowLastColumn="0" w:lastRowFirstColumn="0" w:lastRowLastColumn="0"/>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2A7A5C5E"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Southern Carpathians</w:t>
            </w:r>
          </w:p>
        </w:tc>
        <w:tc>
          <w:tcPr>
            <w:tcW w:w="1134" w:type="dxa"/>
            <w:vAlign w:val="center"/>
          </w:tcPr>
          <w:p w14:paraId="3336458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3852.61</w:t>
            </w:r>
          </w:p>
        </w:tc>
        <w:tc>
          <w:tcPr>
            <w:tcW w:w="567" w:type="dxa"/>
            <w:vAlign w:val="center"/>
          </w:tcPr>
          <w:p w14:paraId="44157161"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27.2</w:t>
            </w:r>
          </w:p>
        </w:tc>
        <w:tc>
          <w:tcPr>
            <w:tcW w:w="993" w:type="dxa"/>
            <w:vAlign w:val="center"/>
          </w:tcPr>
          <w:p w14:paraId="05AB7853"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1092.47</w:t>
            </w:r>
          </w:p>
        </w:tc>
        <w:tc>
          <w:tcPr>
            <w:tcW w:w="567" w:type="dxa"/>
            <w:vAlign w:val="center"/>
          </w:tcPr>
          <w:p w14:paraId="1E33B2B7"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7.7</w:t>
            </w:r>
          </w:p>
        </w:tc>
        <w:tc>
          <w:tcPr>
            <w:tcW w:w="992" w:type="dxa"/>
            <w:vAlign w:val="center"/>
          </w:tcPr>
          <w:p w14:paraId="405BD08D"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7488.87</w:t>
            </w:r>
          </w:p>
        </w:tc>
        <w:tc>
          <w:tcPr>
            <w:tcW w:w="567" w:type="dxa"/>
            <w:vAlign w:val="center"/>
          </w:tcPr>
          <w:p w14:paraId="1D5C824C"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52.8</w:t>
            </w:r>
          </w:p>
        </w:tc>
        <w:tc>
          <w:tcPr>
            <w:tcW w:w="992" w:type="dxa"/>
            <w:vAlign w:val="center"/>
          </w:tcPr>
          <w:p w14:paraId="00FF659F"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1741.48</w:t>
            </w:r>
          </w:p>
        </w:tc>
        <w:tc>
          <w:tcPr>
            <w:tcW w:w="1418" w:type="dxa"/>
            <w:vAlign w:val="center"/>
          </w:tcPr>
          <w:p w14:paraId="60EA273A"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12.3</w:t>
            </w:r>
          </w:p>
        </w:tc>
      </w:tr>
      <w:tr w:rsidR="00B552DD" w:rsidRPr="00E64D9D" w14:paraId="10EF412A" w14:textId="77777777" w:rsidTr="000318D4">
        <w:trPr>
          <w:trHeight w:hRule="exact" w:val="403"/>
          <w:jc w:val="center"/>
        </w:trPr>
        <w:tc>
          <w:tcPr>
            <w:cnfStyle w:val="001000000000" w:firstRow="0" w:lastRow="0" w:firstColumn="1" w:lastColumn="0" w:oddVBand="0" w:evenVBand="0" w:oddHBand="0" w:evenHBand="0" w:firstRowFirstColumn="0" w:firstRowLastColumn="0" w:lastRowFirstColumn="0" w:lastRowLastColumn="0"/>
            <w:tcW w:w="2835" w:type="dxa"/>
            <w:vAlign w:val="center"/>
          </w:tcPr>
          <w:p w14:paraId="3752E40D" w14:textId="77777777" w:rsidR="0014127B" w:rsidRPr="00E64D9D" w:rsidRDefault="0014127B" w:rsidP="005C0463">
            <w:pPr>
              <w:pStyle w:val="MDPI43tablefooter"/>
              <w:spacing w:before="20" w:after="20" w:line="240" w:lineRule="auto"/>
              <w:jc w:val="center"/>
              <w:rPr>
                <w:rFonts w:ascii="Times New Roman" w:hAnsi="Times New Roman"/>
                <w:b w:val="0"/>
                <w:bCs w:val="0"/>
                <w:iCs/>
                <w:color w:val="auto"/>
                <w:sz w:val="20"/>
                <w:szCs w:val="20"/>
              </w:rPr>
            </w:pPr>
            <w:r w:rsidRPr="00E64D9D">
              <w:rPr>
                <w:rFonts w:ascii="Times New Roman" w:hAnsi="Times New Roman"/>
                <w:color w:val="auto"/>
                <w:sz w:val="20"/>
                <w:szCs w:val="20"/>
              </w:rPr>
              <w:t xml:space="preserve">Western hills north of </w:t>
            </w:r>
            <w:proofErr w:type="spellStart"/>
            <w:r w:rsidRPr="00E64D9D">
              <w:rPr>
                <w:rFonts w:ascii="Times New Roman" w:hAnsi="Times New Roman"/>
                <w:color w:val="auto"/>
                <w:sz w:val="20"/>
                <w:szCs w:val="20"/>
              </w:rPr>
              <w:t>Mures</w:t>
            </w:r>
            <w:proofErr w:type="spellEnd"/>
          </w:p>
        </w:tc>
        <w:tc>
          <w:tcPr>
            <w:tcW w:w="1134" w:type="dxa"/>
            <w:vAlign w:val="center"/>
          </w:tcPr>
          <w:p w14:paraId="0203AAFB"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5258.13</w:t>
            </w:r>
          </w:p>
        </w:tc>
        <w:tc>
          <w:tcPr>
            <w:tcW w:w="567" w:type="dxa"/>
            <w:vAlign w:val="center"/>
          </w:tcPr>
          <w:p w14:paraId="61C31402"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63.3</w:t>
            </w:r>
          </w:p>
        </w:tc>
        <w:tc>
          <w:tcPr>
            <w:tcW w:w="993" w:type="dxa"/>
            <w:vAlign w:val="center"/>
          </w:tcPr>
          <w:p w14:paraId="13E36CBE"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649.76</w:t>
            </w:r>
          </w:p>
        </w:tc>
        <w:tc>
          <w:tcPr>
            <w:tcW w:w="567" w:type="dxa"/>
            <w:vAlign w:val="center"/>
          </w:tcPr>
          <w:p w14:paraId="16CF819A"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7.8</w:t>
            </w:r>
          </w:p>
        </w:tc>
        <w:tc>
          <w:tcPr>
            <w:tcW w:w="992" w:type="dxa"/>
            <w:vAlign w:val="center"/>
          </w:tcPr>
          <w:p w14:paraId="31ABBCD9"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2090.52</w:t>
            </w:r>
          </w:p>
        </w:tc>
        <w:tc>
          <w:tcPr>
            <w:tcW w:w="567" w:type="dxa"/>
            <w:vAlign w:val="center"/>
          </w:tcPr>
          <w:p w14:paraId="2478AABF"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25.2</w:t>
            </w:r>
          </w:p>
        </w:tc>
        <w:tc>
          <w:tcPr>
            <w:tcW w:w="992" w:type="dxa"/>
            <w:vAlign w:val="center"/>
          </w:tcPr>
          <w:p w14:paraId="443B3A07"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305.84</w:t>
            </w:r>
          </w:p>
        </w:tc>
        <w:tc>
          <w:tcPr>
            <w:tcW w:w="1418" w:type="dxa"/>
            <w:vAlign w:val="center"/>
          </w:tcPr>
          <w:p w14:paraId="2F2DF3D0" w14:textId="77777777" w:rsidR="0014127B" w:rsidRPr="00E64D9D" w:rsidRDefault="0014127B" w:rsidP="005C0463">
            <w:pPr>
              <w:pStyle w:val="MDPI43tablefooter"/>
              <w:spacing w:before="20" w:after="2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0"/>
                <w:szCs w:val="20"/>
              </w:rPr>
            </w:pPr>
            <w:r w:rsidRPr="00E64D9D">
              <w:rPr>
                <w:rFonts w:ascii="Times New Roman" w:hAnsi="Times New Roman"/>
                <w:color w:val="auto"/>
                <w:sz w:val="20"/>
                <w:szCs w:val="20"/>
              </w:rPr>
              <w:t>3.7</w:t>
            </w:r>
          </w:p>
        </w:tc>
      </w:tr>
      <w:tr w:rsidR="00B552DD" w:rsidRPr="00E64D9D" w14:paraId="42C78211" w14:textId="77777777" w:rsidTr="00FC13A6">
        <w:trPr>
          <w:cnfStyle w:val="000000100000" w:firstRow="0" w:lastRow="0" w:firstColumn="0" w:lastColumn="0" w:oddVBand="0" w:evenVBand="0" w:oddHBand="1" w:evenHBand="0" w:firstRowFirstColumn="0" w:firstRowLastColumn="0" w:lastRowFirstColumn="0" w:lastRowLastColumn="0"/>
          <w:trHeight w:hRule="exact" w:val="432"/>
          <w:jc w:val="center"/>
        </w:trPr>
        <w:tc>
          <w:tcPr>
            <w:cnfStyle w:val="001000000000" w:firstRow="0" w:lastRow="0" w:firstColumn="1" w:lastColumn="0" w:oddVBand="0" w:evenVBand="0" w:oddHBand="0" w:evenHBand="0" w:firstRowFirstColumn="0" w:firstRowLastColumn="0" w:lastRowFirstColumn="0" w:lastRowLastColumn="0"/>
            <w:tcW w:w="2835" w:type="dxa"/>
            <w:tcBorders>
              <w:bottom w:val="single" w:sz="8" w:space="0" w:color="auto"/>
            </w:tcBorders>
            <w:vAlign w:val="center"/>
          </w:tcPr>
          <w:p w14:paraId="45A3B07D" w14:textId="00A30C05" w:rsidR="0014127B" w:rsidRPr="00E64D9D" w:rsidRDefault="0014127B" w:rsidP="005C0463">
            <w:pPr>
              <w:pStyle w:val="MDPI43tablefooter"/>
              <w:spacing w:before="20" w:after="20" w:line="240" w:lineRule="auto"/>
              <w:jc w:val="center"/>
              <w:rPr>
                <w:rFonts w:ascii="Times New Roman" w:hAnsi="Times New Roman"/>
                <w:iCs/>
                <w:color w:val="auto"/>
                <w:sz w:val="20"/>
                <w:szCs w:val="20"/>
              </w:rPr>
            </w:pPr>
            <w:r w:rsidRPr="00E64D9D">
              <w:rPr>
                <w:rFonts w:ascii="Times New Roman" w:hAnsi="Times New Roman"/>
                <w:color w:val="auto"/>
                <w:sz w:val="20"/>
                <w:szCs w:val="20"/>
              </w:rPr>
              <w:t>Total (km</w:t>
            </w:r>
            <w:r w:rsidRPr="00E64D9D">
              <w:rPr>
                <w:rFonts w:ascii="Times New Roman" w:hAnsi="Times New Roman"/>
                <w:color w:val="auto"/>
                <w:sz w:val="20"/>
                <w:szCs w:val="20"/>
                <w:vertAlign w:val="superscript"/>
              </w:rPr>
              <w:t>2</w:t>
            </w:r>
            <w:r w:rsidRPr="00E64D9D">
              <w:rPr>
                <w:rFonts w:ascii="Times New Roman" w:hAnsi="Times New Roman"/>
                <w:color w:val="auto"/>
                <w:sz w:val="20"/>
                <w:szCs w:val="20"/>
              </w:rPr>
              <w:t>)</w:t>
            </w:r>
          </w:p>
        </w:tc>
        <w:tc>
          <w:tcPr>
            <w:tcW w:w="1134" w:type="dxa"/>
            <w:tcBorders>
              <w:bottom w:val="single" w:sz="8" w:space="0" w:color="auto"/>
            </w:tcBorders>
            <w:vAlign w:val="center"/>
          </w:tcPr>
          <w:p w14:paraId="33B68926"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153370.62</w:t>
            </w:r>
          </w:p>
        </w:tc>
        <w:tc>
          <w:tcPr>
            <w:tcW w:w="567" w:type="dxa"/>
            <w:tcBorders>
              <w:bottom w:val="single" w:sz="8" w:space="0" w:color="auto"/>
            </w:tcBorders>
            <w:vAlign w:val="center"/>
          </w:tcPr>
          <w:p w14:paraId="7CB83332"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p>
        </w:tc>
        <w:tc>
          <w:tcPr>
            <w:tcW w:w="993" w:type="dxa"/>
            <w:tcBorders>
              <w:bottom w:val="single" w:sz="8" w:space="0" w:color="auto"/>
            </w:tcBorders>
            <w:vAlign w:val="center"/>
          </w:tcPr>
          <w:p w14:paraId="4190EE70"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14846.21</w:t>
            </w:r>
          </w:p>
        </w:tc>
        <w:tc>
          <w:tcPr>
            <w:tcW w:w="567" w:type="dxa"/>
            <w:tcBorders>
              <w:bottom w:val="single" w:sz="8" w:space="0" w:color="auto"/>
            </w:tcBorders>
            <w:vAlign w:val="center"/>
          </w:tcPr>
          <w:p w14:paraId="70182077"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p>
        </w:tc>
        <w:tc>
          <w:tcPr>
            <w:tcW w:w="992" w:type="dxa"/>
            <w:tcBorders>
              <w:bottom w:val="single" w:sz="8" w:space="0" w:color="auto"/>
            </w:tcBorders>
            <w:vAlign w:val="center"/>
          </w:tcPr>
          <w:p w14:paraId="68A27701"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55643.94</w:t>
            </w:r>
          </w:p>
        </w:tc>
        <w:tc>
          <w:tcPr>
            <w:tcW w:w="567" w:type="dxa"/>
            <w:tcBorders>
              <w:bottom w:val="single" w:sz="8" w:space="0" w:color="auto"/>
            </w:tcBorders>
            <w:vAlign w:val="center"/>
          </w:tcPr>
          <w:p w14:paraId="3BBC524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p>
        </w:tc>
        <w:tc>
          <w:tcPr>
            <w:tcW w:w="992" w:type="dxa"/>
            <w:tcBorders>
              <w:bottom w:val="single" w:sz="8" w:space="0" w:color="auto"/>
            </w:tcBorders>
            <w:vAlign w:val="center"/>
          </w:tcPr>
          <w:p w14:paraId="42AD63BB"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Cs/>
                <w:color w:val="auto"/>
                <w:sz w:val="20"/>
                <w:szCs w:val="20"/>
              </w:rPr>
            </w:pPr>
            <w:r w:rsidRPr="00E64D9D">
              <w:rPr>
                <w:rFonts w:ascii="Times New Roman" w:hAnsi="Times New Roman"/>
                <w:color w:val="auto"/>
                <w:sz w:val="20"/>
                <w:szCs w:val="20"/>
              </w:rPr>
              <w:t>14394.38</w:t>
            </w:r>
          </w:p>
        </w:tc>
        <w:tc>
          <w:tcPr>
            <w:tcW w:w="1418" w:type="dxa"/>
            <w:tcBorders>
              <w:bottom w:val="single" w:sz="8" w:space="0" w:color="auto"/>
            </w:tcBorders>
            <w:vAlign w:val="center"/>
          </w:tcPr>
          <w:p w14:paraId="10D7D308" w14:textId="77777777" w:rsidR="0014127B" w:rsidRPr="00E64D9D" w:rsidRDefault="0014127B" w:rsidP="005C0463">
            <w:pPr>
              <w:pStyle w:val="MDPI43tablefooter"/>
              <w:spacing w:before="20" w:after="2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0"/>
                <w:szCs w:val="20"/>
              </w:rPr>
            </w:pPr>
          </w:p>
        </w:tc>
      </w:tr>
    </w:tbl>
    <w:p w14:paraId="0F5E050D" w14:textId="77777777" w:rsidR="00FC13A6" w:rsidRDefault="00FC13A6" w:rsidP="007F2CAC">
      <w:pPr>
        <w:pStyle w:val="MDPI33textspaceafter"/>
        <w:spacing w:line="480" w:lineRule="auto"/>
        <w:rPr>
          <w:rFonts w:ascii="Times New Roman" w:hAnsi="Times New Roman"/>
        </w:rPr>
      </w:pPr>
    </w:p>
    <w:p w14:paraId="7F1A1492" w14:textId="7F13696C" w:rsidR="0014127B" w:rsidRDefault="0014127B" w:rsidP="00A645EE">
      <w:pPr>
        <w:pStyle w:val="MDPI33textspaceafter"/>
        <w:spacing w:line="480" w:lineRule="auto"/>
        <w:ind w:firstLine="0"/>
        <w:rPr>
          <w:rFonts w:ascii="Times New Roman" w:hAnsi="Times New Roman"/>
          <w:sz w:val="22"/>
        </w:rPr>
      </w:pPr>
      <w:r w:rsidRPr="0097378A">
        <w:rPr>
          <w:rFonts w:ascii="Times New Roman" w:hAnsi="Times New Roman"/>
          <w:sz w:val="22"/>
        </w:rPr>
        <w:t xml:space="preserve">Forest fires mostly represent vegetation fires in Romania. These are part of the category of hazards that cause economic damage and losses in vegetation. In case of forest fires that the Inspectorates of Emergency Situations report at each county's level, the intervention to extinguish them is made by firefighters, gendarmerie service, managers, and staff of each forest district. The leading cause of vegetation fires is due to the negligence of the population, combined with unfavorable weather conditions (successive days with temperatures over 30 </w:t>
      </w:r>
      <w:proofErr w:type="spellStart"/>
      <w:r w:rsidRPr="0097378A">
        <w:rPr>
          <w:rFonts w:ascii="Times New Roman" w:hAnsi="Times New Roman"/>
          <w:sz w:val="22"/>
          <w:vertAlign w:val="superscript"/>
        </w:rPr>
        <w:t>o</w:t>
      </w:r>
      <w:r w:rsidRPr="0097378A">
        <w:rPr>
          <w:rFonts w:ascii="Times New Roman" w:hAnsi="Times New Roman"/>
          <w:sz w:val="22"/>
        </w:rPr>
        <w:t>C</w:t>
      </w:r>
      <w:proofErr w:type="spellEnd"/>
      <w:r w:rsidRPr="0097378A">
        <w:rPr>
          <w:rFonts w:ascii="Times New Roman" w:hAnsi="Times New Roman"/>
          <w:sz w:val="22"/>
        </w:rPr>
        <w:t xml:space="preserve">), fires left unattended by tourists, and even rudimentary agricultural practice involving the burning of vegetation on land they own, the so-called prescribed burns of pastures </w:t>
      </w:r>
      <w:hyperlink w:anchor="_ENREF_1" w:tooltip="Barbu, 2018 #24" w:history="1">
        <w:r w:rsidR="00B95FB2" w:rsidRPr="00B95FB2">
          <w:rPr>
            <w:rStyle w:val="Hyperlink"/>
          </w:rPr>
          <w:fldChar w:fldCharType="begin"/>
        </w:r>
        <w:r w:rsidR="00B95FB2" w:rsidRPr="00B95FB2">
          <w:rPr>
            <w:rStyle w:val="Hyperlink"/>
          </w:rPr>
          <w:instrText xml:space="preserve"> ADDIN EN.CITE &lt;EndNote&gt;&lt;Cite&gt;&lt;Author&gt;Barbu&lt;/Author&gt;&lt;Year&gt;2018&lt;/Year&gt;&lt;RecNum&gt;24&lt;/RecNum&gt;&lt;DisplayText&gt;&lt;style face="superscript"&gt;1&lt;/style&gt;&lt;/DisplayText&gt;&lt;record&gt;&lt;rec-number&gt;24&lt;/rec-number&gt;&lt;foreign-keys&gt;&lt;key app="EN" db-id="tzd0rz5f7s95xuexwe8vvrzvstsard0vd9ps" timestamp="1612705705"&gt;24&lt;/key&gt;&lt;/foreign-keys&gt;&lt;ref-type name="Journal Article"&gt;17&lt;/ref-type&gt;&lt;contributors&gt;&lt;authors&gt;&lt;author&gt;Barbu, Ion&lt;/author&gt;&lt;/authors&gt;&lt;/contributors&gt;&lt;titles&gt;&lt;title&gt;Riscul la incendii în pădurile din România: cartare și metode de evaluare&lt;/title&gt;&lt;secondary-title&gt;Bucovina Forestieră&lt;/secondary-title&gt;&lt;/titles&gt;&lt;periodical&gt;&lt;full-title&gt;Bucovina Forestieră&lt;/full-title&gt;&lt;/periodical&gt;&lt;pages&gt;155-163&lt;/pages&gt;&lt;volume&gt;18&lt;/volume&gt;&lt;number&gt;2&lt;/number&gt;&lt;dates&gt;&lt;year&gt;2018&lt;/year&gt;&lt;pub-dates&gt;&lt;date&gt;12/30&lt;/date&gt;&lt;/pub-dates&gt;&lt;/dates&gt;&lt;urls&gt;&lt;related-urls&gt;&lt;url&gt;https://www.bucovina-forestiera.ro/index.php/bf/article/view/84&lt;/url&gt;&lt;/related-urls&gt;&lt;/urls&gt;&lt;electronic-resource-num&gt;10.4316/bf.2018.015&lt;/electronic-resource-num&gt;&lt;access-date&gt;2021/02/07&lt;/access-date&gt;&lt;/record&gt;&lt;/Cite&gt;&lt;/EndNote&gt;</w:instrText>
        </w:r>
        <w:r w:rsidR="00B95FB2" w:rsidRPr="00B95FB2">
          <w:rPr>
            <w:rStyle w:val="Hyperlink"/>
          </w:rPr>
          <w:fldChar w:fldCharType="separate"/>
        </w:r>
        <w:r w:rsidR="00B95FB2" w:rsidRPr="00B95FB2">
          <w:rPr>
            <w:rStyle w:val="Hyperlink"/>
          </w:rPr>
          <w:t>1</w:t>
        </w:r>
        <w:r w:rsidR="00B95FB2" w:rsidRPr="00B95FB2">
          <w:rPr>
            <w:rStyle w:val="Hyperlink"/>
          </w:rPr>
          <w:fldChar w:fldCharType="end"/>
        </w:r>
      </w:hyperlink>
      <w:r w:rsidRPr="0097378A">
        <w:rPr>
          <w:rFonts w:ascii="Times New Roman" w:hAnsi="Times New Roman"/>
          <w:sz w:val="22"/>
        </w:rPr>
        <w:t xml:space="preserve">. Our study has counted all anthropogenic, hydro-meteorological, geophysical, and fuel factors that significantly correlate with Romania's fire regimes. </w:t>
      </w:r>
    </w:p>
    <w:p w14:paraId="06A1F1D5" w14:textId="1D556520" w:rsidR="00453759" w:rsidRPr="00453759" w:rsidRDefault="00070F09" w:rsidP="00453759">
      <w:pPr>
        <w:pStyle w:val="MDPI22heading2"/>
        <w:spacing w:line="480" w:lineRule="auto"/>
        <w:rPr>
          <w:rFonts w:ascii="Times New Roman" w:hAnsi="Times New Roman"/>
          <w:b/>
          <w:noProof w:val="0"/>
          <w:color w:val="auto"/>
          <w:sz w:val="22"/>
        </w:rPr>
      </w:pPr>
      <w:r>
        <w:rPr>
          <w:rFonts w:ascii="Times New Roman" w:hAnsi="Times New Roman"/>
          <w:b/>
          <w:noProof w:val="0"/>
          <w:color w:val="auto"/>
          <w:sz w:val="22"/>
        </w:rPr>
        <w:lastRenderedPageBreak/>
        <w:t xml:space="preserve">S2. </w:t>
      </w:r>
      <w:r w:rsidR="00453759" w:rsidRPr="00453759">
        <w:rPr>
          <w:rFonts w:ascii="Times New Roman" w:hAnsi="Times New Roman"/>
          <w:b/>
          <w:noProof w:val="0"/>
          <w:color w:val="auto"/>
          <w:sz w:val="22"/>
        </w:rPr>
        <w:t xml:space="preserve">Data sources </w:t>
      </w:r>
      <w:r w:rsidR="005F4680">
        <w:rPr>
          <w:rFonts w:ascii="Times New Roman" w:hAnsi="Times New Roman"/>
          <w:b/>
          <w:noProof w:val="0"/>
          <w:color w:val="auto"/>
          <w:sz w:val="22"/>
        </w:rPr>
        <w:t>and their acquisition</w:t>
      </w:r>
    </w:p>
    <w:p w14:paraId="26940EC4" w14:textId="48A99CE9" w:rsidR="0014127B" w:rsidRPr="0000286C" w:rsidRDefault="0014127B">
      <w:pPr>
        <w:pStyle w:val="MDPI41tablecaption"/>
        <w:spacing w:before="0"/>
        <w:jc w:val="center"/>
        <w:rPr>
          <w:rFonts w:ascii="Times New Roman" w:hAnsi="Times New Roman"/>
          <w:sz w:val="20"/>
        </w:rPr>
      </w:pPr>
      <w:r w:rsidRPr="0000286C">
        <w:rPr>
          <w:rFonts w:ascii="Times New Roman" w:hAnsi="Times New Roman"/>
          <w:b/>
          <w:sz w:val="20"/>
        </w:rPr>
        <w:t xml:space="preserve">Table </w:t>
      </w:r>
      <w:r w:rsidR="00A26CD4">
        <w:rPr>
          <w:rFonts w:ascii="Times New Roman" w:hAnsi="Times New Roman"/>
          <w:b/>
          <w:sz w:val="20"/>
        </w:rPr>
        <w:t>S</w:t>
      </w:r>
      <w:r w:rsidRPr="0000286C">
        <w:rPr>
          <w:rFonts w:ascii="Times New Roman" w:hAnsi="Times New Roman"/>
          <w:b/>
          <w:sz w:val="20"/>
        </w:rPr>
        <w:t>2.</w:t>
      </w:r>
      <w:r w:rsidRPr="0000286C">
        <w:rPr>
          <w:rFonts w:ascii="Times New Roman" w:hAnsi="Times New Roman"/>
          <w:sz w:val="20"/>
        </w:rPr>
        <w:t xml:space="preserve"> The open-source raw data utilized in this study.</w:t>
      </w:r>
    </w:p>
    <w:tbl>
      <w:tblPr>
        <w:tblW w:w="9350" w:type="dxa"/>
        <w:jc w:val="center"/>
        <w:tblCellMar>
          <w:left w:w="28" w:type="dxa"/>
          <w:right w:w="28" w:type="dxa"/>
        </w:tblCellMar>
        <w:tblLook w:val="04A0" w:firstRow="1" w:lastRow="0" w:firstColumn="1" w:lastColumn="0" w:noHBand="0" w:noVBand="1"/>
      </w:tblPr>
      <w:tblGrid>
        <w:gridCol w:w="300"/>
        <w:gridCol w:w="1401"/>
        <w:gridCol w:w="601"/>
        <w:gridCol w:w="694"/>
        <w:gridCol w:w="4801"/>
        <w:gridCol w:w="1553"/>
      </w:tblGrid>
      <w:tr w:rsidR="0014127B" w:rsidRPr="005B4BA9" w14:paraId="6C19337A" w14:textId="77777777" w:rsidTr="0000286C">
        <w:trPr>
          <w:jc w:val="center"/>
        </w:trPr>
        <w:tc>
          <w:tcPr>
            <w:tcW w:w="300" w:type="dxa"/>
            <w:tcBorders>
              <w:top w:val="single" w:sz="8" w:space="0" w:color="auto"/>
              <w:bottom w:val="single" w:sz="4" w:space="0" w:color="auto"/>
            </w:tcBorders>
            <w:shd w:val="clear" w:color="auto" w:fill="F2F2F2"/>
            <w:tcMar>
              <w:left w:w="28" w:type="dxa"/>
              <w:right w:w="28" w:type="dxa"/>
            </w:tcMar>
            <w:vAlign w:val="center"/>
          </w:tcPr>
          <w:p w14:paraId="19074B00"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p>
        </w:tc>
        <w:tc>
          <w:tcPr>
            <w:tcW w:w="1401" w:type="dxa"/>
            <w:tcBorders>
              <w:top w:val="single" w:sz="8" w:space="0" w:color="auto"/>
              <w:bottom w:val="single" w:sz="4" w:space="0" w:color="auto"/>
            </w:tcBorders>
            <w:shd w:val="clear" w:color="auto" w:fill="F2F2F2"/>
            <w:tcMar>
              <w:left w:w="28" w:type="dxa"/>
              <w:right w:w="28" w:type="dxa"/>
            </w:tcMar>
            <w:vAlign w:val="center"/>
          </w:tcPr>
          <w:p w14:paraId="47D4F1A7" w14:textId="77777777" w:rsidR="0014127B" w:rsidRPr="0000286C" w:rsidRDefault="0014127B" w:rsidP="00145119">
            <w:pPr>
              <w:pStyle w:val="MDPI41tablecaption"/>
              <w:spacing w:before="40" w:after="40" w:line="240" w:lineRule="auto"/>
              <w:ind w:left="24" w:right="0"/>
              <w:jc w:val="center"/>
              <w:rPr>
                <w:rFonts w:ascii="Times New Roman" w:hAnsi="Times New Roman"/>
                <w:b/>
                <w:bCs/>
                <w:sz w:val="20"/>
                <w:szCs w:val="20"/>
              </w:rPr>
            </w:pPr>
            <w:r w:rsidRPr="0000286C">
              <w:rPr>
                <w:rFonts w:ascii="Times New Roman" w:hAnsi="Times New Roman"/>
                <w:b/>
                <w:bCs/>
                <w:sz w:val="20"/>
                <w:szCs w:val="20"/>
              </w:rPr>
              <w:t>Data</w:t>
            </w:r>
          </w:p>
        </w:tc>
        <w:tc>
          <w:tcPr>
            <w:tcW w:w="601" w:type="dxa"/>
            <w:tcBorders>
              <w:top w:val="single" w:sz="8" w:space="0" w:color="auto"/>
              <w:bottom w:val="single" w:sz="4" w:space="0" w:color="auto"/>
            </w:tcBorders>
            <w:shd w:val="clear" w:color="auto" w:fill="F2F2F2"/>
            <w:noWrap/>
            <w:tcMar>
              <w:left w:w="28" w:type="dxa"/>
              <w:right w:w="28" w:type="dxa"/>
            </w:tcMar>
            <w:vAlign w:val="center"/>
          </w:tcPr>
          <w:p w14:paraId="4F47656A" w14:textId="77777777" w:rsidR="0014127B" w:rsidRPr="0000286C" w:rsidRDefault="0014127B" w:rsidP="00145119">
            <w:pPr>
              <w:pStyle w:val="MDPI41tablecaption"/>
              <w:spacing w:before="40" w:after="40" w:line="240" w:lineRule="auto"/>
              <w:ind w:left="0" w:right="-13"/>
              <w:jc w:val="center"/>
              <w:rPr>
                <w:rFonts w:ascii="Times New Roman" w:hAnsi="Times New Roman"/>
                <w:b/>
                <w:bCs/>
                <w:sz w:val="20"/>
                <w:szCs w:val="20"/>
              </w:rPr>
            </w:pPr>
            <w:r w:rsidRPr="0000286C">
              <w:rPr>
                <w:rFonts w:ascii="Times New Roman" w:hAnsi="Times New Roman"/>
                <w:b/>
                <w:bCs/>
                <w:sz w:val="20"/>
                <w:szCs w:val="20"/>
              </w:rPr>
              <w:t>Type</w:t>
            </w:r>
          </w:p>
        </w:tc>
        <w:tc>
          <w:tcPr>
            <w:tcW w:w="694" w:type="dxa"/>
            <w:tcBorders>
              <w:top w:val="single" w:sz="8" w:space="0" w:color="auto"/>
              <w:bottom w:val="single" w:sz="4" w:space="0" w:color="auto"/>
            </w:tcBorders>
            <w:shd w:val="clear" w:color="auto" w:fill="F2F2F2"/>
            <w:noWrap/>
            <w:tcMar>
              <w:left w:w="28" w:type="dxa"/>
              <w:right w:w="28" w:type="dxa"/>
            </w:tcMar>
            <w:vAlign w:val="center"/>
          </w:tcPr>
          <w:p w14:paraId="010A73DF" w14:textId="77777777" w:rsidR="0014127B" w:rsidRPr="0000286C" w:rsidRDefault="0014127B" w:rsidP="00145119">
            <w:pPr>
              <w:pStyle w:val="MDPI41tablecaption"/>
              <w:spacing w:before="40" w:after="40" w:line="240" w:lineRule="auto"/>
              <w:ind w:left="0" w:right="-26"/>
              <w:jc w:val="center"/>
              <w:rPr>
                <w:rFonts w:ascii="Times New Roman" w:hAnsi="Times New Roman"/>
                <w:b/>
                <w:bCs/>
                <w:sz w:val="20"/>
                <w:szCs w:val="20"/>
              </w:rPr>
            </w:pPr>
            <w:r w:rsidRPr="0000286C">
              <w:rPr>
                <w:rFonts w:ascii="Times New Roman" w:hAnsi="Times New Roman"/>
                <w:b/>
                <w:bCs/>
                <w:sz w:val="20"/>
                <w:szCs w:val="20"/>
              </w:rPr>
              <w:t>MMU</w:t>
            </w:r>
          </w:p>
        </w:tc>
        <w:tc>
          <w:tcPr>
            <w:tcW w:w="4801" w:type="dxa"/>
            <w:tcBorders>
              <w:top w:val="single" w:sz="8" w:space="0" w:color="auto"/>
              <w:bottom w:val="single" w:sz="4" w:space="0" w:color="auto"/>
            </w:tcBorders>
            <w:shd w:val="clear" w:color="auto" w:fill="F2F2F2"/>
            <w:tcMar>
              <w:left w:w="28" w:type="dxa"/>
              <w:right w:w="28" w:type="dxa"/>
            </w:tcMar>
            <w:vAlign w:val="center"/>
          </w:tcPr>
          <w:p w14:paraId="090BD5C2" w14:textId="77777777" w:rsidR="0014127B" w:rsidRPr="0000286C" w:rsidRDefault="0014127B" w:rsidP="00145119">
            <w:pPr>
              <w:pStyle w:val="MDPI41tablecaption"/>
              <w:spacing w:before="40" w:after="40" w:line="240" w:lineRule="auto"/>
              <w:ind w:left="0" w:right="102"/>
              <w:jc w:val="center"/>
              <w:rPr>
                <w:rFonts w:ascii="Times New Roman" w:hAnsi="Times New Roman"/>
                <w:b/>
                <w:bCs/>
                <w:sz w:val="20"/>
                <w:szCs w:val="20"/>
              </w:rPr>
            </w:pPr>
            <w:r w:rsidRPr="0000286C">
              <w:rPr>
                <w:rFonts w:ascii="Times New Roman" w:hAnsi="Times New Roman"/>
                <w:b/>
                <w:bCs/>
                <w:sz w:val="20"/>
                <w:szCs w:val="20"/>
              </w:rPr>
              <w:t>Utility within the method</w:t>
            </w:r>
          </w:p>
        </w:tc>
        <w:tc>
          <w:tcPr>
            <w:tcW w:w="1553" w:type="dxa"/>
            <w:tcBorders>
              <w:top w:val="single" w:sz="8" w:space="0" w:color="auto"/>
              <w:bottom w:val="single" w:sz="4" w:space="0" w:color="auto"/>
            </w:tcBorders>
            <w:shd w:val="clear" w:color="auto" w:fill="F2F2F2"/>
            <w:tcMar>
              <w:left w:w="28" w:type="dxa"/>
              <w:right w:w="28" w:type="dxa"/>
            </w:tcMar>
            <w:vAlign w:val="center"/>
          </w:tcPr>
          <w:p w14:paraId="2614193E" w14:textId="77777777" w:rsidR="0014127B" w:rsidRPr="0000286C" w:rsidRDefault="0014127B" w:rsidP="00145119">
            <w:pPr>
              <w:pStyle w:val="MDPI41tablecaption"/>
              <w:spacing w:before="40" w:after="40" w:line="240" w:lineRule="auto"/>
              <w:ind w:left="0" w:right="0"/>
              <w:jc w:val="center"/>
              <w:rPr>
                <w:rFonts w:ascii="Times New Roman" w:hAnsi="Times New Roman"/>
                <w:b/>
                <w:bCs/>
                <w:sz w:val="20"/>
                <w:szCs w:val="20"/>
              </w:rPr>
            </w:pPr>
            <w:r w:rsidRPr="0000286C">
              <w:rPr>
                <w:rFonts w:ascii="Times New Roman" w:hAnsi="Times New Roman"/>
                <w:b/>
                <w:bCs/>
                <w:sz w:val="20"/>
                <w:szCs w:val="20"/>
              </w:rPr>
              <w:t>Source</w:t>
            </w:r>
          </w:p>
        </w:tc>
      </w:tr>
      <w:tr w:rsidR="0014127B" w:rsidRPr="005B4BA9" w14:paraId="741A3006" w14:textId="77777777" w:rsidTr="0000286C">
        <w:trPr>
          <w:jc w:val="center"/>
        </w:trPr>
        <w:tc>
          <w:tcPr>
            <w:tcW w:w="300" w:type="dxa"/>
            <w:tcBorders>
              <w:top w:val="single" w:sz="4" w:space="0" w:color="auto"/>
            </w:tcBorders>
            <w:shd w:val="clear" w:color="auto" w:fill="auto"/>
            <w:tcMar>
              <w:left w:w="28" w:type="dxa"/>
              <w:right w:w="28" w:type="dxa"/>
            </w:tcMar>
            <w:vAlign w:val="center"/>
          </w:tcPr>
          <w:p w14:paraId="1DD8D09D"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1</w:t>
            </w:r>
          </w:p>
        </w:tc>
        <w:tc>
          <w:tcPr>
            <w:tcW w:w="1401" w:type="dxa"/>
            <w:tcBorders>
              <w:top w:val="single" w:sz="4" w:space="0" w:color="auto"/>
            </w:tcBorders>
            <w:shd w:val="clear" w:color="auto" w:fill="auto"/>
            <w:tcMar>
              <w:left w:w="28" w:type="dxa"/>
              <w:right w:w="28" w:type="dxa"/>
            </w:tcMar>
            <w:vAlign w:val="center"/>
          </w:tcPr>
          <w:p w14:paraId="21C7C784"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CORINE land cover</w:t>
            </w:r>
          </w:p>
        </w:tc>
        <w:tc>
          <w:tcPr>
            <w:tcW w:w="601" w:type="dxa"/>
            <w:tcBorders>
              <w:top w:val="single" w:sz="4" w:space="0" w:color="auto"/>
            </w:tcBorders>
            <w:shd w:val="clear" w:color="auto" w:fill="auto"/>
            <w:noWrap/>
            <w:tcMar>
              <w:left w:w="28" w:type="dxa"/>
              <w:right w:w="28" w:type="dxa"/>
            </w:tcMar>
            <w:vAlign w:val="center"/>
          </w:tcPr>
          <w:p w14:paraId="083DDA70"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Vector</w:t>
            </w:r>
          </w:p>
        </w:tc>
        <w:tc>
          <w:tcPr>
            <w:tcW w:w="694" w:type="dxa"/>
            <w:tcBorders>
              <w:top w:val="single" w:sz="4" w:space="0" w:color="auto"/>
            </w:tcBorders>
            <w:shd w:val="clear" w:color="auto" w:fill="auto"/>
            <w:noWrap/>
            <w:tcMar>
              <w:left w:w="28" w:type="dxa"/>
              <w:right w:w="28" w:type="dxa"/>
            </w:tcMar>
            <w:vAlign w:val="center"/>
          </w:tcPr>
          <w:p w14:paraId="47F1B91A"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r w:rsidRPr="0000286C">
              <w:rPr>
                <w:rFonts w:ascii="Times New Roman" w:hAnsi="Times New Roman"/>
                <w:sz w:val="20"/>
                <w:szCs w:val="20"/>
              </w:rPr>
              <w:t>25ha</w:t>
            </w:r>
          </w:p>
        </w:tc>
        <w:tc>
          <w:tcPr>
            <w:tcW w:w="4801" w:type="dxa"/>
            <w:tcBorders>
              <w:top w:val="single" w:sz="4" w:space="0" w:color="auto"/>
            </w:tcBorders>
            <w:shd w:val="clear" w:color="auto" w:fill="auto"/>
            <w:tcMar>
              <w:left w:w="28" w:type="dxa"/>
              <w:right w:w="28" w:type="dxa"/>
            </w:tcMar>
            <w:vAlign w:val="center"/>
          </w:tcPr>
          <w:p w14:paraId="1F57000D"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Vegetated surfaces; Settlements (S2); Fuel type (F1); Distance to agriculture (S5)</w:t>
            </w:r>
          </w:p>
        </w:tc>
        <w:tc>
          <w:tcPr>
            <w:tcW w:w="1553" w:type="dxa"/>
            <w:tcBorders>
              <w:top w:val="single" w:sz="4" w:space="0" w:color="auto"/>
            </w:tcBorders>
            <w:shd w:val="clear" w:color="auto" w:fill="auto"/>
            <w:tcMar>
              <w:left w:w="28" w:type="dxa"/>
              <w:right w:w="28" w:type="dxa"/>
            </w:tcMar>
            <w:vAlign w:val="center"/>
          </w:tcPr>
          <w:p w14:paraId="67A9B1E3"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Copernicus/ EEA</w:t>
            </w:r>
          </w:p>
        </w:tc>
      </w:tr>
      <w:tr w:rsidR="0014127B" w:rsidRPr="005B4BA9" w14:paraId="59B49DDD" w14:textId="77777777" w:rsidTr="0000286C">
        <w:trPr>
          <w:jc w:val="center"/>
        </w:trPr>
        <w:tc>
          <w:tcPr>
            <w:tcW w:w="300" w:type="dxa"/>
            <w:shd w:val="clear" w:color="auto" w:fill="auto"/>
            <w:tcMar>
              <w:left w:w="28" w:type="dxa"/>
              <w:right w:w="28" w:type="dxa"/>
            </w:tcMar>
            <w:vAlign w:val="center"/>
          </w:tcPr>
          <w:p w14:paraId="2BB138DD"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2</w:t>
            </w:r>
          </w:p>
        </w:tc>
        <w:tc>
          <w:tcPr>
            <w:tcW w:w="1401" w:type="dxa"/>
            <w:shd w:val="clear" w:color="auto" w:fill="auto"/>
            <w:tcMar>
              <w:left w:w="28" w:type="dxa"/>
              <w:right w:w="28" w:type="dxa"/>
            </w:tcMar>
            <w:vAlign w:val="center"/>
          </w:tcPr>
          <w:p w14:paraId="48DF324D"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DEM</w:t>
            </w:r>
          </w:p>
        </w:tc>
        <w:tc>
          <w:tcPr>
            <w:tcW w:w="601" w:type="dxa"/>
            <w:shd w:val="clear" w:color="auto" w:fill="auto"/>
            <w:noWrap/>
            <w:tcMar>
              <w:left w:w="28" w:type="dxa"/>
              <w:right w:w="28" w:type="dxa"/>
            </w:tcMar>
            <w:vAlign w:val="center"/>
          </w:tcPr>
          <w:p w14:paraId="3599A0C5"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Raster</w:t>
            </w:r>
          </w:p>
        </w:tc>
        <w:tc>
          <w:tcPr>
            <w:tcW w:w="694" w:type="dxa"/>
            <w:shd w:val="clear" w:color="auto" w:fill="auto"/>
            <w:noWrap/>
            <w:tcMar>
              <w:left w:w="28" w:type="dxa"/>
              <w:right w:w="28" w:type="dxa"/>
            </w:tcMar>
            <w:vAlign w:val="center"/>
          </w:tcPr>
          <w:p w14:paraId="61B97583"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r w:rsidRPr="0000286C">
              <w:rPr>
                <w:rFonts w:ascii="Times New Roman" w:hAnsi="Times New Roman"/>
                <w:sz w:val="20"/>
                <w:szCs w:val="20"/>
              </w:rPr>
              <w:t>25m</w:t>
            </w:r>
          </w:p>
        </w:tc>
        <w:tc>
          <w:tcPr>
            <w:tcW w:w="4801" w:type="dxa"/>
            <w:shd w:val="clear" w:color="auto" w:fill="auto"/>
            <w:tcMar>
              <w:left w:w="28" w:type="dxa"/>
              <w:right w:w="28" w:type="dxa"/>
            </w:tcMar>
            <w:vAlign w:val="center"/>
          </w:tcPr>
          <w:p w14:paraId="22DE1B87"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Slope (P1); Aspect (P2); Altitude (P3)</w:t>
            </w:r>
          </w:p>
        </w:tc>
        <w:tc>
          <w:tcPr>
            <w:tcW w:w="1553" w:type="dxa"/>
            <w:shd w:val="clear" w:color="auto" w:fill="auto"/>
            <w:tcMar>
              <w:left w:w="28" w:type="dxa"/>
              <w:right w:w="28" w:type="dxa"/>
            </w:tcMar>
            <w:vAlign w:val="center"/>
          </w:tcPr>
          <w:p w14:paraId="3DD2C3F7"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Copernicus/ EEA</w:t>
            </w:r>
          </w:p>
        </w:tc>
      </w:tr>
      <w:tr w:rsidR="0014127B" w:rsidRPr="005B4BA9" w14:paraId="458A4EB5" w14:textId="77777777" w:rsidTr="0000286C">
        <w:trPr>
          <w:jc w:val="center"/>
        </w:trPr>
        <w:tc>
          <w:tcPr>
            <w:tcW w:w="300" w:type="dxa"/>
            <w:shd w:val="clear" w:color="auto" w:fill="auto"/>
            <w:tcMar>
              <w:left w:w="28" w:type="dxa"/>
              <w:right w:w="28" w:type="dxa"/>
            </w:tcMar>
            <w:vAlign w:val="center"/>
          </w:tcPr>
          <w:p w14:paraId="01191DE7"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3</w:t>
            </w:r>
          </w:p>
        </w:tc>
        <w:tc>
          <w:tcPr>
            <w:tcW w:w="1401" w:type="dxa"/>
            <w:shd w:val="clear" w:color="auto" w:fill="auto"/>
            <w:tcMar>
              <w:left w:w="28" w:type="dxa"/>
              <w:right w:w="28" w:type="dxa"/>
            </w:tcMar>
            <w:vAlign w:val="center"/>
          </w:tcPr>
          <w:p w14:paraId="3B9CC8A3"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NDVI</w:t>
            </w:r>
          </w:p>
        </w:tc>
        <w:tc>
          <w:tcPr>
            <w:tcW w:w="601" w:type="dxa"/>
            <w:shd w:val="clear" w:color="auto" w:fill="auto"/>
            <w:noWrap/>
            <w:tcMar>
              <w:left w:w="28" w:type="dxa"/>
              <w:right w:w="28" w:type="dxa"/>
            </w:tcMar>
            <w:vAlign w:val="center"/>
          </w:tcPr>
          <w:p w14:paraId="08C9E505"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Raster</w:t>
            </w:r>
          </w:p>
        </w:tc>
        <w:tc>
          <w:tcPr>
            <w:tcW w:w="694" w:type="dxa"/>
            <w:shd w:val="clear" w:color="auto" w:fill="auto"/>
            <w:noWrap/>
            <w:tcMar>
              <w:left w:w="28" w:type="dxa"/>
              <w:right w:w="28" w:type="dxa"/>
            </w:tcMar>
            <w:vAlign w:val="center"/>
          </w:tcPr>
          <w:p w14:paraId="44639A8D"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r w:rsidRPr="0000286C">
              <w:rPr>
                <w:rFonts w:ascii="Times New Roman" w:hAnsi="Times New Roman"/>
                <w:sz w:val="20"/>
                <w:szCs w:val="20"/>
              </w:rPr>
              <w:t>250m</w:t>
            </w:r>
          </w:p>
        </w:tc>
        <w:tc>
          <w:tcPr>
            <w:tcW w:w="4801" w:type="dxa"/>
            <w:shd w:val="clear" w:color="auto" w:fill="auto"/>
            <w:tcMar>
              <w:left w:w="28" w:type="dxa"/>
              <w:right w:w="28" w:type="dxa"/>
            </w:tcMar>
            <w:vAlign w:val="center"/>
          </w:tcPr>
          <w:p w14:paraId="3C2CF3BB"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NDVI (F3)</w:t>
            </w:r>
          </w:p>
        </w:tc>
        <w:tc>
          <w:tcPr>
            <w:tcW w:w="1553" w:type="dxa"/>
            <w:shd w:val="clear" w:color="auto" w:fill="auto"/>
            <w:tcMar>
              <w:left w:w="28" w:type="dxa"/>
              <w:right w:w="28" w:type="dxa"/>
            </w:tcMar>
            <w:vAlign w:val="center"/>
          </w:tcPr>
          <w:p w14:paraId="238F24FA"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Earth data/ NASA</w:t>
            </w:r>
          </w:p>
        </w:tc>
      </w:tr>
      <w:tr w:rsidR="0014127B" w:rsidRPr="005B4BA9" w14:paraId="1C767F95" w14:textId="77777777" w:rsidTr="0000286C">
        <w:trPr>
          <w:jc w:val="center"/>
        </w:trPr>
        <w:tc>
          <w:tcPr>
            <w:tcW w:w="300" w:type="dxa"/>
            <w:shd w:val="clear" w:color="auto" w:fill="auto"/>
            <w:tcMar>
              <w:left w:w="28" w:type="dxa"/>
              <w:right w:w="28" w:type="dxa"/>
            </w:tcMar>
            <w:vAlign w:val="center"/>
          </w:tcPr>
          <w:p w14:paraId="65FA3EF5"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4</w:t>
            </w:r>
          </w:p>
        </w:tc>
        <w:tc>
          <w:tcPr>
            <w:tcW w:w="1401" w:type="dxa"/>
            <w:shd w:val="clear" w:color="auto" w:fill="auto"/>
            <w:tcMar>
              <w:left w:w="28" w:type="dxa"/>
              <w:right w:w="28" w:type="dxa"/>
            </w:tcMar>
            <w:vAlign w:val="center"/>
          </w:tcPr>
          <w:p w14:paraId="4C4E289A"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TCD</w:t>
            </w:r>
          </w:p>
        </w:tc>
        <w:tc>
          <w:tcPr>
            <w:tcW w:w="601" w:type="dxa"/>
            <w:shd w:val="clear" w:color="auto" w:fill="auto"/>
            <w:noWrap/>
            <w:tcMar>
              <w:left w:w="28" w:type="dxa"/>
              <w:right w:w="28" w:type="dxa"/>
            </w:tcMar>
            <w:vAlign w:val="center"/>
          </w:tcPr>
          <w:p w14:paraId="6D786F7D"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Raster</w:t>
            </w:r>
          </w:p>
        </w:tc>
        <w:tc>
          <w:tcPr>
            <w:tcW w:w="694" w:type="dxa"/>
            <w:shd w:val="clear" w:color="auto" w:fill="auto"/>
            <w:noWrap/>
            <w:tcMar>
              <w:left w:w="28" w:type="dxa"/>
              <w:right w:w="28" w:type="dxa"/>
            </w:tcMar>
            <w:vAlign w:val="center"/>
          </w:tcPr>
          <w:p w14:paraId="4059FC8E"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shd w:val="clear" w:color="auto" w:fill="auto"/>
            <w:tcMar>
              <w:left w:w="28" w:type="dxa"/>
              <w:right w:w="28" w:type="dxa"/>
            </w:tcMar>
            <w:vAlign w:val="center"/>
          </w:tcPr>
          <w:p w14:paraId="573AAE06"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TCD (F2)</w:t>
            </w:r>
          </w:p>
        </w:tc>
        <w:tc>
          <w:tcPr>
            <w:tcW w:w="1553" w:type="dxa"/>
            <w:shd w:val="clear" w:color="auto" w:fill="auto"/>
            <w:tcMar>
              <w:left w:w="28" w:type="dxa"/>
              <w:right w:w="28" w:type="dxa"/>
            </w:tcMar>
            <w:vAlign w:val="center"/>
          </w:tcPr>
          <w:p w14:paraId="0132FF3D"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Copernicus/ EEA</w:t>
            </w:r>
          </w:p>
        </w:tc>
      </w:tr>
      <w:tr w:rsidR="0014127B" w:rsidRPr="005B4BA9" w14:paraId="2DB614BE" w14:textId="77777777" w:rsidTr="0000286C">
        <w:trPr>
          <w:jc w:val="center"/>
        </w:trPr>
        <w:tc>
          <w:tcPr>
            <w:tcW w:w="300" w:type="dxa"/>
            <w:shd w:val="clear" w:color="auto" w:fill="auto"/>
            <w:tcMar>
              <w:left w:w="28" w:type="dxa"/>
              <w:right w:w="28" w:type="dxa"/>
            </w:tcMar>
            <w:vAlign w:val="center"/>
          </w:tcPr>
          <w:p w14:paraId="0909485B"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5</w:t>
            </w:r>
          </w:p>
        </w:tc>
        <w:tc>
          <w:tcPr>
            <w:tcW w:w="1401" w:type="dxa"/>
            <w:shd w:val="clear" w:color="auto" w:fill="auto"/>
            <w:tcMar>
              <w:left w:w="28" w:type="dxa"/>
              <w:right w:w="28" w:type="dxa"/>
            </w:tcMar>
            <w:vAlign w:val="center"/>
          </w:tcPr>
          <w:p w14:paraId="44298624"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Weather data</w:t>
            </w:r>
          </w:p>
        </w:tc>
        <w:tc>
          <w:tcPr>
            <w:tcW w:w="601" w:type="dxa"/>
            <w:shd w:val="clear" w:color="auto" w:fill="auto"/>
            <w:noWrap/>
            <w:tcMar>
              <w:left w:w="28" w:type="dxa"/>
              <w:right w:w="28" w:type="dxa"/>
            </w:tcMar>
            <w:vAlign w:val="center"/>
          </w:tcPr>
          <w:p w14:paraId="080BE252"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Raster</w:t>
            </w:r>
          </w:p>
        </w:tc>
        <w:tc>
          <w:tcPr>
            <w:tcW w:w="694" w:type="dxa"/>
            <w:shd w:val="clear" w:color="auto" w:fill="auto"/>
            <w:noWrap/>
            <w:tcMar>
              <w:left w:w="28" w:type="dxa"/>
              <w:right w:w="28" w:type="dxa"/>
            </w:tcMar>
            <w:vAlign w:val="center"/>
          </w:tcPr>
          <w:p w14:paraId="4AF6074E"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r w:rsidRPr="0000286C">
              <w:rPr>
                <w:rFonts w:ascii="Times New Roman" w:hAnsi="Times New Roman"/>
                <w:sz w:val="20"/>
                <w:szCs w:val="20"/>
              </w:rPr>
              <w:t>30s</w:t>
            </w:r>
          </w:p>
        </w:tc>
        <w:tc>
          <w:tcPr>
            <w:tcW w:w="4801" w:type="dxa"/>
            <w:shd w:val="clear" w:color="auto" w:fill="auto"/>
            <w:tcMar>
              <w:left w:w="28" w:type="dxa"/>
              <w:right w:w="28" w:type="dxa"/>
            </w:tcMar>
            <w:vAlign w:val="center"/>
          </w:tcPr>
          <w:p w14:paraId="5B8318EC"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Solar radiation (E1); Precipitation (E2); Maximum Temperature (E3); Wind speed (E4)</w:t>
            </w:r>
          </w:p>
        </w:tc>
        <w:tc>
          <w:tcPr>
            <w:tcW w:w="1553" w:type="dxa"/>
            <w:shd w:val="clear" w:color="auto" w:fill="auto"/>
            <w:tcMar>
              <w:left w:w="28" w:type="dxa"/>
              <w:right w:w="28" w:type="dxa"/>
            </w:tcMar>
            <w:vAlign w:val="center"/>
          </w:tcPr>
          <w:p w14:paraId="4F5FEA8D"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proofErr w:type="spellStart"/>
            <w:r w:rsidRPr="0000286C">
              <w:rPr>
                <w:rFonts w:ascii="Times New Roman" w:hAnsi="Times New Roman"/>
                <w:sz w:val="20"/>
                <w:szCs w:val="20"/>
              </w:rPr>
              <w:t>Worldclim</w:t>
            </w:r>
            <w:proofErr w:type="spellEnd"/>
            <w:r w:rsidRPr="0000286C">
              <w:rPr>
                <w:rFonts w:ascii="Times New Roman" w:hAnsi="Times New Roman"/>
                <w:sz w:val="20"/>
                <w:szCs w:val="20"/>
              </w:rPr>
              <w:t xml:space="preserve"> 2.0</w:t>
            </w:r>
          </w:p>
        </w:tc>
      </w:tr>
      <w:tr w:rsidR="0014127B" w:rsidRPr="005B4BA9" w14:paraId="024F6A6D" w14:textId="77777777" w:rsidTr="0000286C">
        <w:trPr>
          <w:jc w:val="center"/>
        </w:trPr>
        <w:tc>
          <w:tcPr>
            <w:tcW w:w="300" w:type="dxa"/>
            <w:shd w:val="clear" w:color="auto" w:fill="auto"/>
            <w:tcMar>
              <w:left w:w="28" w:type="dxa"/>
              <w:right w:w="28" w:type="dxa"/>
            </w:tcMar>
            <w:vAlign w:val="center"/>
          </w:tcPr>
          <w:p w14:paraId="3D46779E"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6</w:t>
            </w:r>
          </w:p>
        </w:tc>
        <w:tc>
          <w:tcPr>
            <w:tcW w:w="1401" w:type="dxa"/>
            <w:shd w:val="clear" w:color="auto" w:fill="auto"/>
            <w:tcMar>
              <w:left w:w="28" w:type="dxa"/>
              <w:right w:w="28" w:type="dxa"/>
            </w:tcMar>
            <w:vAlign w:val="center"/>
          </w:tcPr>
          <w:p w14:paraId="5367C3E3"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Burned area fraction</w:t>
            </w:r>
          </w:p>
        </w:tc>
        <w:tc>
          <w:tcPr>
            <w:tcW w:w="601" w:type="dxa"/>
            <w:shd w:val="clear" w:color="auto" w:fill="auto"/>
            <w:noWrap/>
            <w:tcMar>
              <w:left w:w="28" w:type="dxa"/>
              <w:right w:w="28" w:type="dxa"/>
            </w:tcMar>
            <w:vAlign w:val="center"/>
          </w:tcPr>
          <w:p w14:paraId="4ED2ACFC"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Raster</w:t>
            </w:r>
          </w:p>
        </w:tc>
        <w:tc>
          <w:tcPr>
            <w:tcW w:w="694" w:type="dxa"/>
            <w:shd w:val="clear" w:color="auto" w:fill="auto"/>
            <w:noWrap/>
            <w:tcMar>
              <w:left w:w="28" w:type="dxa"/>
              <w:right w:w="28" w:type="dxa"/>
            </w:tcMar>
            <w:vAlign w:val="center"/>
          </w:tcPr>
          <w:p w14:paraId="0343315E"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shd w:val="clear" w:color="auto" w:fill="auto"/>
            <w:tcMar>
              <w:left w:w="28" w:type="dxa"/>
              <w:right w:w="28" w:type="dxa"/>
            </w:tcMar>
            <w:vAlign w:val="center"/>
          </w:tcPr>
          <w:p w14:paraId="43C99341"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ROC/ AUC analysis</w:t>
            </w:r>
          </w:p>
        </w:tc>
        <w:tc>
          <w:tcPr>
            <w:tcW w:w="1553" w:type="dxa"/>
            <w:shd w:val="clear" w:color="auto" w:fill="auto"/>
            <w:tcMar>
              <w:left w:w="28" w:type="dxa"/>
              <w:right w:w="28" w:type="dxa"/>
            </w:tcMar>
            <w:vAlign w:val="center"/>
          </w:tcPr>
          <w:p w14:paraId="2722EF9F"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Climate Change Service</w:t>
            </w:r>
          </w:p>
        </w:tc>
      </w:tr>
      <w:tr w:rsidR="0014127B" w:rsidRPr="005B4BA9" w14:paraId="32E79515" w14:textId="77777777" w:rsidTr="0000286C">
        <w:trPr>
          <w:jc w:val="center"/>
        </w:trPr>
        <w:tc>
          <w:tcPr>
            <w:tcW w:w="300" w:type="dxa"/>
            <w:shd w:val="clear" w:color="auto" w:fill="auto"/>
            <w:tcMar>
              <w:left w:w="28" w:type="dxa"/>
              <w:right w:w="28" w:type="dxa"/>
            </w:tcMar>
            <w:vAlign w:val="center"/>
          </w:tcPr>
          <w:p w14:paraId="3BB28BE6"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7</w:t>
            </w:r>
          </w:p>
        </w:tc>
        <w:tc>
          <w:tcPr>
            <w:tcW w:w="1401" w:type="dxa"/>
            <w:shd w:val="clear" w:color="auto" w:fill="auto"/>
            <w:tcMar>
              <w:left w:w="28" w:type="dxa"/>
              <w:right w:w="28" w:type="dxa"/>
            </w:tcMar>
            <w:vAlign w:val="center"/>
          </w:tcPr>
          <w:p w14:paraId="4BADC827"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Burned areas</w:t>
            </w:r>
          </w:p>
        </w:tc>
        <w:tc>
          <w:tcPr>
            <w:tcW w:w="601" w:type="dxa"/>
            <w:shd w:val="clear" w:color="auto" w:fill="auto"/>
            <w:noWrap/>
            <w:tcMar>
              <w:left w:w="28" w:type="dxa"/>
              <w:right w:w="28" w:type="dxa"/>
            </w:tcMar>
            <w:vAlign w:val="center"/>
          </w:tcPr>
          <w:p w14:paraId="64E46997"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Vector</w:t>
            </w:r>
          </w:p>
        </w:tc>
        <w:tc>
          <w:tcPr>
            <w:tcW w:w="694" w:type="dxa"/>
            <w:shd w:val="clear" w:color="auto" w:fill="auto"/>
            <w:noWrap/>
            <w:tcMar>
              <w:left w:w="28" w:type="dxa"/>
              <w:right w:w="28" w:type="dxa"/>
            </w:tcMar>
            <w:vAlign w:val="center"/>
          </w:tcPr>
          <w:p w14:paraId="29B3B580"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shd w:val="clear" w:color="auto" w:fill="auto"/>
            <w:tcMar>
              <w:left w:w="28" w:type="dxa"/>
              <w:right w:w="28" w:type="dxa"/>
            </w:tcMar>
            <w:vAlign w:val="center"/>
          </w:tcPr>
          <w:p w14:paraId="6E46BBB3"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ROC/ AUC analysis</w:t>
            </w:r>
          </w:p>
        </w:tc>
        <w:tc>
          <w:tcPr>
            <w:tcW w:w="1553" w:type="dxa"/>
            <w:shd w:val="clear" w:color="auto" w:fill="auto"/>
            <w:tcMar>
              <w:left w:w="28" w:type="dxa"/>
              <w:right w:w="28" w:type="dxa"/>
            </w:tcMar>
            <w:vAlign w:val="center"/>
          </w:tcPr>
          <w:p w14:paraId="2A9BB7D1"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EFFIS/ JRC</w:t>
            </w:r>
          </w:p>
        </w:tc>
      </w:tr>
      <w:tr w:rsidR="0014127B" w:rsidRPr="005B4BA9" w14:paraId="20E11535" w14:textId="77777777" w:rsidTr="0000286C">
        <w:trPr>
          <w:jc w:val="center"/>
        </w:trPr>
        <w:tc>
          <w:tcPr>
            <w:tcW w:w="300" w:type="dxa"/>
            <w:shd w:val="clear" w:color="auto" w:fill="auto"/>
            <w:tcMar>
              <w:left w:w="28" w:type="dxa"/>
              <w:right w:w="28" w:type="dxa"/>
            </w:tcMar>
            <w:vAlign w:val="center"/>
          </w:tcPr>
          <w:p w14:paraId="794F1D65"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8</w:t>
            </w:r>
          </w:p>
        </w:tc>
        <w:tc>
          <w:tcPr>
            <w:tcW w:w="1401" w:type="dxa"/>
            <w:shd w:val="clear" w:color="auto" w:fill="auto"/>
            <w:tcMar>
              <w:left w:w="28" w:type="dxa"/>
              <w:right w:w="28" w:type="dxa"/>
            </w:tcMar>
            <w:vAlign w:val="center"/>
          </w:tcPr>
          <w:p w14:paraId="6B279291"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OSM</w:t>
            </w:r>
          </w:p>
        </w:tc>
        <w:tc>
          <w:tcPr>
            <w:tcW w:w="601" w:type="dxa"/>
            <w:shd w:val="clear" w:color="auto" w:fill="auto"/>
            <w:noWrap/>
            <w:tcMar>
              <w:left w:w="28" w:type="dxa"/>
              <w:right w:w="28" w:type="dxa"/>
            </w:tcMar>
            <w:vAlign w:val="center"/>
          </w:tcPr>
          <w:p w14:paraId="682EADA6"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Vector</w:t>
            </w:r>
          </w:p>
        </w:tc>
        <w:tc>
          <w:tcPr>
            <w:tcW w:w="694" w:type="dxa"/>
            <w:shd w:val="clear" w:color="auto" w:fill="auto"/>
            <w:noWrap/>
            <w:tcMar>
              <w:left w:w="28" w:type="dxa"/>
              <w:right w:w="28" w:type="dxa"/>
            </w:tcMar>
            <w:vAlign w:val="center"/>
          </w:tcPr>
          <w:p w14:paraId="61C8A593"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shd w:val="clear" w:color="auto" w:fill="auto"/>
            <w:tcMar>
              <w:left w:w="28" w:type="dxa"/>
              <w:right w:w="28" w:type="dxa"/>
            </w:tcMar>
            <w:vAlign w:val="center"/>
          </w:tcPr>
          <w:p w14:paraId="6984E44C"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Distance to water (P4); Distance to any road (S3); Distance to the main road (S4); Exposure analysis</w:t>
            </w:r>
          </w:p>
        </w:tc>
        <w:tc>
          <w:tcPr>
            <w:tcW w:w="1553" w:type="dxa"/>
            <w:shd w:val="clear" w:color="auto" w:fill="auto"/>
            <w:tcMar>
              <w:left w:w="28" w:type="dxa"/>
              <w:right w:w="28" w:type="dxa"/>
            </w:tcMar>
            <w:vAlign w:val="center"/>
          </w:tcPr>
          <w:p w14:paraId="2A372708"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 xml:space="preserve">OSM </w:t>
            </w:r>
            <w:proofErr w:type="spellStart"/>
            <w:r w:rsidRPr="0000286C">
              <w:rPr>
                <w:rFonts w:ascii="Times New Roman" w:hAnsi="Times New Roman"/>
                <w:sz w:val="20"/>
                <w:szCs w:val="20"/>
              </w:rPr>
              <w:t>Geofabrik</w:t>
            </w:r>
            <w:proofErr w:type="spellEnd"/>
          </w:p>
        </w:tc>
      </w:tr>
      <w:tr w:rsidR="0014127B" w:rsidRPr="005B4BA9" w14:paraId="57E34B86" w14:textId="77777777" w:rsidTr="0000286C">
        <w:trPr>
          <w:jc w:val="center"/>
        </w:trPr>
        <w:tc>
          <w:tcPr>
            <w:tcW w:w="300" w:type="dxa"/>
            <w:shd w:val="clear" w:color="auto" w:fill="auto"/>
            <w:tcMar>
              <w:left w:w="28" w:type="dxa"/>
              <w:right w:w="28" w:type="dxa"/>
            </w:tcMar>
            <w:vAlign w:val="center"/>
          </w:tcPr>
          <w:p w14:paraId="75F747AD"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9</w:t>
            </w:r>
          </w:p>
        </w:tc>
        <w:tc>
          <w:tcPr>
            <w:tcW w:w="1401" w:type="dxa"/>
            <w:shd w:val="clear" w:color="auto" w:fill="auto"/>
            <w:tcMar>
              <w:left w:w="28" w:type="dxa"/>
              <w:right w:w="28" w:type="dxa"/>
            </w:tcMar>
            <w:vAlign w:val="center"/>
          </w:tcPr>
          <w:p w14:paraId="2A85A53F"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Population Density</w:t>
            </w:r>
          </w:p>
        </w:tc>
        <w:tc>
          <w:tcPr>
            <w:tcW w:w="601" w:type="dxa"/>
            <w:shd w:val="clear" w:color="auto" w:fill="auto"/>
            <w:noWrap/>
            <w:tcMar>
              <w:left w:w="28" w:type="dxa"/>
              <w:right w:w="28" w:type="dxa"/>
            </w:tcMar>
            <w:vAlign w:val="center"/>
          </w:tcPr>
          <w:p w14:paraId="64211CDA"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Raster</w:t>
            </w:r>
          </w:p>
        </w:tc>
        <w:tc>
          <w:tcPr>
            <w:tcW w:w="694" w:type="dxa"/>
            <w:shd w:val="clear" w:color="auto" w:fill="auto"/>
            <w:noWrap/>
            <w:tcMar>
              <w:left w:w="28" w:type="dxa"/>
              <w:right w:w="28" w:type="dxa"/>
            </w:tcMar>
            <w:vAlign w:val="center"/>
          </w:tcPr>
          <w:p w14:paraId="655CD586"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shd w:val="clear" w:color="auto" w:fill="auto"/>
            <w:tcMar>
              <w:left w:w="28" w:type="dxa"/>
              <w:right w:w="28" w:type="dxa"/>
            </w:tcMar>
            <w:vAlign w:val="center"/>
          </w:tcPr>
          <w:p w14:paraId="357858F6"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Population density (S1); Exposure analysis</w:t>
            </w:r>
          </w:p>
        </w:tc>
        <w:tc>
          <w:tcPr>
            <w:tcW w:w="1553" w:type="dxa"/>
            <w:shd w:val="clear" w:color="auto" w:fill="auto"/>
            <w:tcMar>
              <w:left w:w="28" w:type="dxa"/>
              <w:right w:w="28" w:type="dxa"/>
            </w:tcMar>
            <w:vAlign w:val="center"/>
          </w:tcPr>
          <w:p w14:paraId="64F9A2B1"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National Institute of Statistics (RO)</w:t>
            </w:r>
          </w:p>
        </w:tc>
      </w:tr>
      <w:tr w:rsidR="0014127B" w:rsidRPr="005B4BA9" w14:paraId="0AB9C486" w14:textId="77777777" w:rsidTr="0000286C">
        <w:trPr>
          <w:jc w:val="center"/>
        </w:trPr>
        <w:tc>
          <w:tcPr>
            <w:tcW w:w="300" w:type="dxa"/>
            <w:shd w:val="clear" w:color="auto" w:fill="auto"/>
            <w:tcMar>
              <w:left w:w="28" w:type="dxa"/>
              <w:right w:w="28" w:type="dxa"/>
            </w:tcMar>
            <w:vAlign w:val="center"/>
          </w:tcPr>
          <w:p w14:paraId="45D52ABF"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10</w:t>
            </w:r>
          </w:p>
        </w:tc>
        <w:tc>
          <w:tcPr>
            <w:tcW w:w="1401" w:type="dxa"/>
            <w:shd w:val="clear" w:color="auto" w:fill="auto"/>
            <w:tcMar>
              <w:left w:w="28" w:type="dxa"/>
              <w:right w:w="28" w:type="dxa"/>
            </w:tcMar>
            <w:vAlign w:val="center"/>
          </w:tcPr>
          <w:p w14:paraId="1DD5BDC7"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Administrative/ NUTS</w:t>
            </w:r>
          </w:p>
        </w:tc>
        <w:tc>
          <w:tcPr>
            <w:tcW w:w="601" w:type="dxa"/>
            <w:shd w:val="clear" w:color="auto" w:fill="auto"/>
            <w:noWrap/>
            <w:tcMar>
              <w:left w:w="28" w:type="dxa"/>
              <w:right w:w="28" w:type="dxa"/>
            </w:tcMar>
            <w:vAlign w:val="center"/>
          </w:tcPr>
          <w:p w14:paraId="2BDE2D59"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Vector</w:t>
            </w:r>
          </w:p>
        </w:tc>
        <w:tc>
          <w:tcPr>
            <w:tcW w:w="694" w:type="dxa"/>
            <w:shd w:val="clear" w:color="auto" w:fill="auto"/>
            <w:noWrap/>
            <w:tcMar>
              <w:left w:w="28" w:type="dxa"/>
              <w:right w:w="28" w:type="dxa"/>
            </w:tcMar>
            <w:vAlign w:val="center"/>
          </w:tcPr>
          <w:p w14:paraId="057E6FB3"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shd w:val="clear" w:color="auto" w:fill="auto"/>
            <w:tcMar>
              <w:left w:w="28" w:type="dxa"/>
              <w:right w:w="28" w:type="dxa"/>
            </w:tcMar>
            <w:vAlign w:val="center"/>
          </w:tcPr>
          <w:p w14:paraId="5E8FDAA0"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Exposure analysis</w:t>
            </w:r>
          </w:p>
        </w:tc>
        <w:tc>
          <w:tcPr>
            <w:tcW w:w="1553" w:type="dxa"/>
            <w:shd w:val="clear" w:color="auto" w:fill="auto"/>
            <w:tcMar>
              <w:left w:w="28" w:type="dxa"/>
              <w:right w:w="28" w:type="dxa"/>
            </w:tcMar>
            <w:vAlign w:val="center"/>
          </w:tcPr>
          <w:p w14:paraId="4FC31998"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EUROSTAT</w:t>
            </w:r>
          </w:p>
        </w:tc>
      </w:tr>
      <w:tr w:rsidR="0014127B" w:rsidRPr="005B4BA9" w14:paraId="0FAC1BCC" w14:textId="77777777" w:rsidTr="0000286C">
        <w:trPr>
          <w:jc w:val="center"/>
        </w:trPr>
        <w:tc>
          <w:tcPr>
            <w:tcW w:w="300" w:type="dxa"/>
            <w:tcBorders>
              <w:bottom w:val="single" w:sz="8" w:space="0" w:color="auto"/>
            </w:tcBorders>
            <w:shd w:val="clear" w:color="auto" w:fill="auto"/>
            <w:tcMar>
              <w:left w:w="28" w:type="dxa"/>
              <w:right w:w="28" w:type="dxa"/>
            </w:tcMar>
            <w:vAlign w:val="center"/>
          </w:tcPr>
          <w:p w14:paraId="13B4F62A" w14:textId="77777777" w:rsidR="0014127B" w:rsidRPr="0000286C" w:rsidRDefault="0014127B" w:rsidP="00145119">
            <w:pPr>
              <w:pStyle w:val="MDPI41tablecaption"/>
              <w:spacing w:before="40" w:after="40" w:line="240" w:lineRule="auto"/>
              <w:ind w:left="0" w:right="42"/>
              <w:jc w:val="center"/>
              <w:rPr>
                <w:rFonts w:ascii="Times New Roman" w:hAnsi="Times New Roman"/>
                <w:b/>
                <w:bCs/>
                <w:sz w:val="20"/>
                <w:szCs w:val="20"/>
              </w:rPr>
            </w:pPr>
            <w:r w:rsidRPr="0000286C">
              <w:rPr>
                <w:rFonts w:ascii="Times New Roman" w:hAnsi="Times New Roman"/>
                <w:b/>
                <w:bCs/>
                <w:sz w:val="20"/>
                <w:szCs w:val="20"/>
              </w:rPr>
              <w:t>11</w:t>
            </w:r>
          </w:p>
        </w:tc>
        <w:tc>
          <w:tcPr>
            <w:tcW w:w="1401" w:type="dxa"/>
            <w:tcBorders>
              <w:bottom w:val="single" w:sz="8" w:space="0" w:color="auto"/>
            </w:tcBorders>
            <w:shd w:val="clear" w:color="auto" w:fill="auto"/>
            <w:tcMar>
              <w:left w:w="28" w:type="dxa"/>
              <w:right w:w="28" w:type="dxa"/>
            </w:tcMar>
            <w:vAlign w:val="center"/>
          </w:tcPr>
          <w:p w14:paraId="2054668D" w14:textId="77777777" w:rsidR="0014127B" w:rsidRPr="0000286C" w:rsidRDefault="0014127B" w:rsidP="00145119">
            <w:pPr>
              <w:pStyle w:val="MDPI41tablecaption"/>
              <w:spacing w:before="40" w:after="40" w:line="240" w:lineRule="auto"/>
              <w:ind w:left="24" w:right="0"/>
              <w:jc w:val="center"/>
              <w:rPr>
                <w:rFonts w:ascii="Times New Roman" w:hAnsi="Times New Roman"/>
                <w:sz w:val="20"/>
                <w:szCs w:val="20"/>
              </w:rPr>
            </w:pPr>
            <w:r w:rsidRPr="0000286C">
              <w:rPr>
                <w:rFonts w:ascii="Times New Roman" w:hAnsi="Times New Roman"/>
                <w:sz w:val="20"/>
                <w:szCs w:val="20"/>
              </w:rPr>
              <w:t>Protected areas</w:t>
            </w:r>
          </w:p>
        </w:tc>
        <w:tc>
          <w:tcPr>
            <w:tcW w:w="601" w:type="dxa"/>
            <w:tcBorders>
              <w:bottom w:val="single" w:sz="8" w:space="0" w:color="auto"/>
            </w:tcBorders>
            <w:shd w:val="clear" w:color="auto" w:fill="auto"/>
            <w:noWrap/>
            <w:tcMar>
              <w:left w:w="28" w:type="dxa"/>
              <w:right w:w="28" w:type="dxa"/>
            </w:tcMar>
            <w:vAlign w:val="center"/>
          </w:tcPr>
          <w:p w14:paraId="60EEF906" w14:textId="77777777" w:rsidR="0014127B" w:rsidRPr="0000286C" w:rsidRDefault="0014127B" w:rsidP="00145119">
            <w:pPr>
              <w:pStyle w:val="MDPI41tablecaption"/>
              <w:spacing w:before="40" w:after="40" w:line="240" w:lineRule="auto"/>
              <w:ind w:left="0" w:right="-13"/>
              <w:jc w:val="center"/>
              <w:rPr>
                <w:rFonts w:ascii="Times New Roman" w:hAnsi="Times New Roman"/>
                <w:sz w:val="20"/>
                <w:szCs w:val="20"/>
              </w:rPr>
            </w:pPr>
            <w:r w:rsidRPr="0000286C">
              <w:rPr>
                <w:rFonts w:ascii="Times New Roman" w:hAnsi="Times New Roman"/>
                <w:sz w:val="20"/>
                <w:szCs w:val="20"/>
              </w:rPr>
              <w:t>Vector</w:t>
            </w:r>
          </w:p>
        </w:tc>
        <w:tc>
          <w:tcPr>
            <w:tcW w:w="694" w:type="dxa"/>
            <w:tcBorders>
              <w:bottom w:val="single" w:sz="8" w:space="0" w:color="auto"/>
            </w:tcBorders>
            <w:shd w:val="clear" w:color="auto" w:fill="auto"/>
            <w:noWrap/>
            <w:tcMar>
              <w:left w:w="28" w:type="dxa"/>
              <w:right w:w="28" w:type="dxa"/>
            </w:tcMar>
            <w:vAlign w:val="center"/>
          </w:tcPr>
          <w:p w14:paraId="4AD45829" w14:textId="77777777" w:rsidR="0014127B" w:rsidRPr="0000286C" w:rsidRDefault="0014127B" w:rsidP="00145119">
            <w:pPr>
              <w:pStyle w:val="MDPI41tablecaption"/>
              <w:spacing w:before="40" w:after="40" w:line="240" w:lineRule="auto"/>
              <w:ind w:left="0" w:right="-26"/>
              <w:jc w:val="center"/>
              <w:rPr>
                <w:rFonts w:ascii="Times New Roman" w:hAnsi="Times New Roman"/>
                <w:sz w:val="20"/>
                <w:szCs w:val="20"/>
              </w:rPr>
            </w:pPr>
          </w:p>
        </w:tc>
        <w:tc>
          <w:tcPr>
            <w:tcW w:w="4801" w:type="dxa"/>
            <w:tcBorders>
              <w:bottom w:val="single" w:sz="8" w:space="0" w:color="auto"/>
            </w:tcBorders>
            <w:shd w:val="clear" w:color="auto" w:fill="auto"/>
            <w:tcMar>
              <w:left w:w="28" w:type="dxa"/>
              <w:right w:w="28" w:type="dxa"/>
            </w:tcMar>
            <w:vAlign w:val="center"/>
          </w:tcPr>
          <w:p w14:paraId="4F46F5D5" w14:textId="77777777" w:rsidR="0014127B" w:rsidRPr="0000286C" w:rsidRDefault="0014127B" w:rsidP="00145119">
            <w:pPr>
              <w:pStyle w:val="MDPI41tablecaption"/>
              <w:spacing w:before="40" w:after="40" w:line="240" w:lineRule="auto"/>
              <w:jc w:val="center"/>
              <w:rPr>
                <w:rFonts w:ascii="Times New Roman" w:hAnsi="Times New Roman"/>
                <w:sz w:val="20"/>
                <w:szCs w:val="20"/>
              </w:rPr>
            </w:pPr>
            <w:r w:rsidRPr="0000286C">
              <w:rPr>
                <w:rFonts w:ascii="Times New Roman" w:hAnsi="Times New Roman"/>
                <w:sz w:val="20"/>
                <w:szCs w:val="20"/>
              </w:rPr>
              <w:t>Vulnerability analysis</w:t>
            </w:r>
          </w:p>
        </w:tc>
        <w:tc>
          <w:tcPr>
            <w:tcW w:w="1553" w:type="dxa"/>
            <w:tcBorders>
              <w:bottom w:val="single" w:sz="8" w:space="0" w:color="auto"/>
            </w:tcBorders>
            <w:shd w:val="clear" w:color="auto" w:fill="auto"/>
            <w:tcMar>
              <w:left w:w="28" w:type="dxa"/>
              <w:right w:w="28" w:type="dxa"/>
            </w:tcMar>
            <w:vAlign w:val="center"/>
          </w:tcPr>
          <w:p w14:paraId="7051DD85" w14:textId="77777777" w:rsidR="0014127B" w:rsidRPr="0000286C" w:rsidRDefault="0014127B" w:rsidP="00145119">
            <w:pPr>
              <w:pStyle w:val="MDPI41tablecaption"/>
              <w:spacing w:before="40" w:after="40" w:line="240" w:lineRule="auto"/>
              <w:ind w:left="0" w:right="0"/>
              <w:jc w:val="center"/>
              <w:rPr>
                <w:rFonts w:ascii="Times New Roman" w:hAnsi="Times New Roman"/>
                <w:sz w:val="20"/>
                <w:szCs w:val="20"/>
              </w:rPr>
            </w:pPr>
            <w:r w:rsidRPr="0000286C">
              <w:rPr>
                <w:rFonts w:ascii="Times New Roman" w:hAnsi="Times New Roman"/>
                <w:sz w:val="20"/>
                <w:szCs w:val="20"/>
              </w:rPr>
              <w:t>Eionet/ EEA</w:t>
            </w:r>
          </w:p>
        </w:tc>
      </w:tr>
    </w:tbl>
    <w:p w14:paraId="4110AAB8" w14:textId="720CC936" w:rsidR="005A74B1" w:rsidRPr="0097378A" w:rsidRDefault="005A74B1" w:rsidP="00A645EE">
      <w:pPr>
        <w:pStyle w:val="MDPI33textspaceafter"/>
        <w:spacing w:after="120" w:line="480" w:lineRule="auto"/>
        <w:ind w:firstLine="0"/>
        <w:rPr>
          <w:rFonts w:ascii="Times New Roman" w:hAnsi="Times New Roman"/>
          <w:bCs/>
          <w:sz w:val="22"/>
        </w:rPr>
      </w:pPr>
      <w:r w:rsidRPr="0097378A">
        <w:rPr>
          <w:rFonts w:ascii="Times New Roman" w:hAnsi="Times New Roman"/>
          <w:bCs/>
          <w:sz w:val="22"/>
        </w:rPr>
        <w:t xml:space="preserve">.  </w:t>
      </w:r>
    </w:p>
    <w:p w14:paraId="478877E2" w14:textId="71BB7720" w:rsidR="0014127B" w:rsidRPr="0097378A" w:rsidRDefault="0014127B" w:rsidP="007F2CAC">
      <w:pPr>
        <w:pStyle w:val="MDPI33textspaceafter"/>
        <w:spacing w:line="480" w:lineRule="auto"/>
        <w:rPr>
          <w:rFonts w:ascii="Times New Roman" w:hAnsi="Times New Roman"/>
          <w:sz w:val="22"/>
        </w:rPr>
      </w:pPr>
      <w:r w:rsidRPr="0097378A">
        <w:rPr>
          <w:rFonts w:ascii="Times New Roman" w:hAnsi="Times New Roman"/>
          <w:bCs/>
          <w:sz w:val="22"/>
        </w:rPr>
        <w:t>The population density information is produced based on population records at the smallest local administrativ</w:t>
      </w:r>
      <w:r w:rsidR="007A6A57">
        <w:rPr>
          <w:rFonts w:ascii="Times New Roman" w:hAnsi="Times New Roman"/>
          <w:bCs/>
          <w:sz w:val="22"/>
        </w:rPr>
        <w:t>e unit level, as shown in Fig. S1</w:t>
      </w:r>
      <w:r w:rsidRPr="0097378A">
        <w:rPr>
          <w:rFonts w:ascii="Times New Roman" w:hAnsi="Times New Roman"/>
          <w:bCs/>
          <w:sz w:val="22"/>
        </w:rPr>
        <w:t xml:space="preserve"> based on the data provided by the National Institute of Statistics of Romania. </w:t>
      </w:r>
      <w:r w:rsidRPr="0097378A">
        <w:rPr>
          <w:rFonts w:ascii="Times New Roman" w:hAnsi="Times New Roman"/>
          <w:sz w:val="22"/>
        </w:rPr>
        <w:t xml:space="preserve">Initially, the map consisted of a polygon layer showing each local administration subdivisions, i.e., 3181 units in total within Romania. The capital city, Bucharest, has the highest mean population density of 8975 </w:t>
      </w:r>
      <w:proofErr w:type="spellStart"/>
      <w:r w:rsidRPr="0097378A">
        <w:rPr>
          <w:rFonts w:ascii="Times New Roman" w:hAnsi="Times New Roman"/>
          <w:sz w:val="22"/>
        </w:rPr>
        <w:t>inh</w:t>
      </w:r>
      <w:proofErr w:type="spellEnd"/>
      <w:r w:rsidRPr="0097378A">
        <w:rPr>
          <w:rFonts w:ascii="Times New Roman" w:hAnsi="Times New Roman"/>
          <w:sz w:val="22"/>
        </w:rPr>
        <w:t>/km</w:t>
      </w:r>
      <w:r w:rsidRPr="0097378A">
        <w:rPr>
          <w:rFonts w:ascii="Times New Roman" w:hAnsi="Times New Roman"/>
          <w:sz w:val="22"/>
          <w:vertAlign w:val="superscript"/>
        </w:rPr>
        <w:t>2</w:t>
      </w:r>
      <w:r w:rsidRPr="0097378A">
        <w:rPr>
          <w:rFonts w:ascii="Times New Roman" w:hAnsi="Times New Roman"/>
          <w:sz w:val="22"/>
        </w:rPr>
        <w:t xml:space="preserve">. Each polygon's centroid points generate the heatmap (i.e., kernel density estimation) of density distribution in a 50m pixel raster. The searching radius is set as 20km considering the upper bound of the Euclidean distance between centroids of adjacent local administrative units. </w:t>
      </w:r>
    </w:p>
    <w:p w14:paraId="760CB53D" w14:textId="73A79661" w:rsidR="00FC13A6" w:rsidRPr="00FC13A6" w:rsidRDefault="00FC13A6" w:rsidP="00FC13A6">
      <w:pPr>
        <w:pStyle w:val="MDPI33textspaceafter"/>
        <w:spacing w:line="480" w:lineRule="auto"/>
        <w:rPr>
          <w:rFonts w:ascii="Times New Roman" w:hAnsi="Times New Roman"/>
          <w:sz w:val="22"/>
        </w:rPr>
      </w:pPr>
      <w:r w:rsidRPr="0097378A">
        <w:rPr>
          <w:rFonts w:ascii="Times New Roman" w:hAnsi="Times New Roman"/>
          <w:sz w:val="22"/>
        </w:rPr>
        <w:t>Another crucial piece of data used in this study is the Burned Area (BA) products acquired from Copernicus Climate Change Service (2019). They provide information about the total BA at the pixel level (250</w:t>
      </w:r>
      <w:r w:rsidR="007A2880">
        <w:rPr>
          <w:rFonts w:ascii="Times New Roman" w:hAnsi="Times New Roman"/>
          <w:sz w:val="22"/>
        </w:rPr>
        <w:t xml:space="preserve"> </w:t>
      </w:r>
      <w:r w:rsidRPr="0097378A">
        <w:rPr>
          <w:rFonts w:ascii="Times New Roman" w:hAnsi="Times New Roman"/>
          <w:sz w:val="22"/>
        </w:rPr>
        <w:t xml:space="preserve">m). The results are prepared via reflectance change analysis of medium resolution sensors like Terra MODIS, Sentinel-3 OLCI combined with the thermal data by MODIS. These products are vital raw data for research that focuses on themes like climate change, land use and land cover dynamics, wildfire risk </w:t>
      </w:r>
      <w:r w:rsidRPr="0097378A">
        <w:rPr>
          <w:rFonts w:ascii="Times New Roman" w:hAnsi="Times New Roman"/>
          <w:sz w:val="22"/>
        </w:rPr>
        <w:lastRenderedPageBreak/>
        <w:t>assessment, among others</w:t>
      </w:r>
      <w:r w:rsidR="004F0CB5" w:rsidRPr="0097378A">
        <w:rPr>
          <w:rFonts w:ascii="Times New Roman" w:hAnsi="Times New Roman"/>
          <w:sz w:val="22"/>
        </w:rPr>
        <w:t xml:space="preserve"> </w:t>
      </w:r>
      <w:hyperlink w:anchor="_ENREF_2" w:tooltip="Buontempo, 2020 #31" w:history="1">
        <w:r w:rsidR="00B95FB2" w:rsidRPr="00B95FB2">
          <w:rPr>
            <w:rStyle w:val="Hyperlink"/>
          </w:rPr>
          <w:fldChar w:fldCharType="begin"/>
        </w:r>
        <w:r w:rsidR="00B95FB2" w:rsidRPr="00B95FB2">
          <w:rPr>
            <w:rStyle w:val="Hyperlink"/>
          </w:rPr>
          <w:instrText xml:space="preserve"> ADDIN EN.CITE &lt;EndNote&gt;&lt;Cite&gt;&lt;Author&gt;Buontempo&lt;/Author&gt;&lt;Year&gt;2020&lt;/Year&gt;&lt;RecNum&gt;31&lt;/RecNum&gt;&lt;DisplayText&gt;&lt;style face="superscript"&gt;2&lt;/style&gt;&lt;/DisplayText&gt;&lt;record&gt;&lt;rec-number&gt;31&lt;/rec-number&gt;&lt;foreign-keys&gt;&lt;key app="EN" db-id="tzd0rz5f7s95xuexwe8vvrzvstsard0vd9ps" timestamp="1612707091"&gt;31&lt;/key&gt;&lt;/foreign-keys&gt;&lt;ref-type name="Journal Article"&gt;17&lt;/ref-type&gt;&lt;contributors&gt;&lt;authors&gt;&lt;author&gt;Buontempo, Carlo&lt;/author&gt;&lt;author&gt;Hutjes, Ronald&lt;/author&gt;&lt;author&gt;Beavis, Philip&lt;/author&gt;&lt;author&gt;Berckmans, Julie&lt;/author&gt;&lt;author&gt;Cagnazzo, Chiara&lt;/author&gt;&lt;author&gt;Vamborg, Freja&lt;/author&gt;&lt;author&gt;Thépaut, Jean-Noël&lt;/author&gt;&lt;author&gt;Bergeron, Cedric&lt;/author&gt;&lt;author&gt;Almond, Samuel&lt;/author&gt;&lt;author&gt;Amici, Alessandro&lt;/author&gt;&lt;author&gt;Ramasamy, Selvaraju&lt;/author&gt;&lt;author&gt;Dee, Dick&lt;/author&gt;&lt;/authors&gt;&lt;/contributors&gt;&lt;titles&gt;&lt;title&gt;Fostering the development of climate services through Copernicus Climate Change Service (C3S) for agriculture applications&lt;/title&gt;&lt;secondary-title&gt;Weather and Climate Extremes&lt;/secondary-title&gt;&lt;/titles&gt;&lt;periodical&gt;&lt;full-title&gt;Weather and Climate Extremes&lt;/full-title&gt;&lt;/periodical&gt;&lt;pages&gt;100226&lt;/pages&gt;&lt;volume&gt;27&lt;/volume&gt;&lt;keywords&gt;&lt;keyword&gt;Copernicus Climate Change Services (C3S)&lt;/keyword&gt;&lt;keyword&gt;Climate Data Store (CDS)&lt;/keyword&gt;&lt;keyword&gt;User-driven applications&lt;/keyword&gt;&lt;keyword&gt;Agriculture sector&lt;/keyword&gt;&lt;/keywords&gt;&lt;dates&gt;&lt;year&gt;2020&lt;/year&gt;&lt;pub-dates&gt;&lt;date&gt;2020/03/01/&lt;/date&gt;&lt;/pub-dates&gt;&lt;/dates&gt;&lt;isbn&gt;2212-0947&lt;/isbn&gt;&lt;urls&gt;&lt;related-urls&gt;&lt;url&gt;https://www.sciencedirect.com/science/article/pii/S2212094719300994&lt;/url&gt;&lt;/related-urls&gt;&lt;/urls&gt;&lt;electronic-resource-num&gt;https://doi.org/10.1016/j.wace.2019.100226&lt;/electronic-resource-num&gt;&lt;/record&gt;&lt;/Cite&gt;&lt;/EndNote&gt;</w:instrText>
        </w:r>
        <w:r w:rsidR="00B95FB2" w:rsidRPr="00B95FB2">
          <w:rPr>
            <w:rStyle w:val="Hyperlink"/>
          </w:rPr>
          <w:fldChar w:fldCharType="separate"/>
        </w:r>
        <w:r w:rsidR="00B95FB2" w:rsidRPr="00B95FB2">
          <w:rPr>
            <w:rStyle w:val="Hyperlink"/>
          </w:rPr>
          <w:t>2</w:t>
        </w:r>
        <w:r w:rsidR="00B95FB2" w:rsidRPr="00B95FB2">
          <w:rPr>
            <w:rStyle w:val="Hyperlink"/>
          </w:rPr>
          <w:fldChar w:fldCharType="end"/>
        </w:r>
      </w:hyperlink>
      <w:r w:rsidRPr="0097378A">
        <w:rPr>
          <w:rFonts w:ascii="Times New Roman" w:hAnsi="Times New Roman"/>
          <w:sz w:val="22"/>
        </w:rPr>
        <w:t xml:space="preserve">. MODIS products are the most widely used global dataset by the scientific community </w:t>
      </w:r>
      <w:hyperlink w:anchor="_ENREF_3" w:tooltip="Loepfe, 2012 #30" w:history="1">
        <w:r w:rsidR="00B95FB2" w:rsidRPr="00B95FB2">
          <w:rPr>
            <w:rStyle w:val="Hyperlink"/>
          </w:rPr>
          <w:fldChar w:fldCharType="begin">
            <w:fldData xml:space="preserve">PEVuZE5vdGU+PENpdGU+PEF1dGhvcj5Mb2VwZmU8L0F1dGhvcj48WWVhcj4yMDEyPC9ZZWFyPjxS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==
</w:fldData>
          </w:fldChar>
        </w:r>
        <w:r w:rsidR="00B95FB2" w:rsidRPr="00B95FB2">
          <w:rPr>
            <w:rStyle w:val="Hyperlink"/>
          </w:rPr>
          <w:instrText xml:space="preserve"> ADDIN EN.CITE </w:instrText>
        </w:r>
        <w:r w:rsidR="00B95FB2" w:rsidRPr="00B95FB2">
          <w:rPr>
            <w:rStyle w:val="Hyperlink"/>
          </w:rPr>
          <w:fldChar w:fldCharType="begin">
            <w:fldData xml:space="preserve">PEVuZE5vdGU+PENpdGU+PEF1dGhvcj5Mb2VwZmU8L0F1dGhvcj48WWVhcj4yMDEyPC9ZZWFyPjxS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==
</w:fldData>
          </w:fldChar>
        </w:r>
        <w:r w:rsidR="00B95FB2" w:rsidRPr="00B95FB2">
          <w:rPr>
            <w:rStyle w:val="Hyperlink"/>
          </w:rPr>
          <w:instrText xml:space="preserve"> ADDIN EN.CITE.DATA </w:instrText>
        </w:r>
        <w:r w:rsidR="00B95FB2" w:rsidRPr="00B95FB2">
          <w:rPr>
            <w:rStyle w:val="Hyperlink"/>
          </w:rPr>
        </w:r>
        <w:r w:rsidR="00B95FB2" w:rsidRPr="00B95FB2">
          <w:rPr>
            <w:rStyle w:val="Hyperlink"/>
          </w:rPr>
          <w:fldChar w:fldCharType="end"/>
        </w:r>
        <w:r w:rsidR="00B95FB2" w:rsidRPr="00B95FB2">
          <w:rPr>
            <w:rStyle w:val="Hyperlink"/>
          </w:rPr>
        </w:r>
        <w:r w:rsidR="00B95FB2" w:rsidRPr="00B95FB2">
          <w:rPr>
            <w:rStyle w:val="Hyperlink"/>
          </w:rPr>
          <w:fldChar w:fldCharType="separate"/>
        </w:r>
        <w:r w:rsidR="00B95FB2" w:rsidRPr="00B95FB2">
          <w:rPr>
            <w:rStyle w:val="Hyperlink"/>
          </w:rPr>
          <w:t>3-5</w:t>
        </w:r>
        <w:r w:rsidR="00B95FB2" w:rsidRPr="00B95FB2">
          <w:rPr>
            <w:rStyle w:val="Hyperlink"/>
          </w:rPr>
          <w:fldChar w:fldCharType="end"/>
        </w:r>
      </w:hyperlink>
      <w:r w:rsidR="004F0CB5" w:rsidRPr="0097378A">
        <w:rPr>
          <w:rFonts w:ascii="Times New Roman" w:hAnsi="Times New Roman"/>
          <w:sz w:val="22"/>
        </w:rPr>
        <w:t xml:space="preserve">. </w:t>
      </w:r>
      <w:r w:rsidR="007A6A57">
        <w:rPr>
          <w:rFonts w:ascii="Times New Roman" w:hAnsi="Times New Roman"/>
          <w:sz w:val="22"/>
        </w:rPr>
        <w:t>According to Fig. S2</w:t>
      </w:r>
      <w:r w:rsidRPr="0097378A">
        <w:rPr>
          <w:rFonts w:ascii="Times New Roman" w:hAnsi="Times New Roman"/>
          <w:sz w:val="22"/>
        </w:rPr>
        <w:t>, 70410 reference points overlap with the vegetated surfaces</w:t>
      </w:r>
      <w:r w:rsidRPr="00D41FF8">
        <w:rPr>
          <w:rFonts w:ascii="Times New Roman" w:hAnsi="Times New Roman"/>
          <w:sz w:val="22"/>
        </w:rPr>
        <w:t xml:space="preserve">. </w:t>
      </w:r>
    </w:p>
    <w:p w14:paraId="596BE920" w14:textId="701D7886" w:rsidR="0014127B" w:rsidRPr="00D41FF8" w:rsidRDefault="007A2920" w:rsidP="00D41FF8">
      <w:pPr>
        <w:pStyle w:val="MDPI33textspaceafter"/>
        <w:spacing w:after="0"/>
        <w:ind w:firstLine="0"/>
        <w:jc w:val="center"/>
        <w:rPr>
          <w:rFonts w:ascii="Times New Roman" w:hAnsi="Times New Roman"/>
        </w:rPr>
      </w:pPr>
      <w:r>
        <w:rPr>
          <w:noProof/>
          <w:lang w:eastAsia="en-US" w:bidi="ar-SA"/>
        </w:rPr>
        <w:drawing>
          <wp:inline distT="0" distB="0" distL="0" distR="0" wp14:anchorId="35A5A16B" wp14:editId="62DD4A27">
            <wp:extent cx="6097905" cy="34785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97905" cy="3478530"/>
                    </a:xfrm>
                    <a:prstGeom prst="rect">
                      <a:avLst/>
                    </a:prstGeom>
                  </pic:spPr>
                </pic:pic>
              </a:graphicData>
            </a:graphic>
          </wp:inline>
        </w:drawing>
      </w:r>
    </w:p>
    <w:p w14:paraId="1BDB4A2B" w14:textId="37208DCB" w:rsidR="0014127B" w:rsidRDefault="0014127B" w:rsidP="00055628">
      <w:pPr>
        <w:pStyle w:val="MDPI51figurecaption"/>
        <w:spacing w:line="480" w:lineRule="auto"/>
        <w:rPr>
          <w:rFonts w:ascii="Times New Roman" w:hAnsi="Times New Roman"/>
          <w:sz w:val="20"/>
        </w:rPr>
      </w:pPr>
      <w:r w:rsidRPr="00D41FF8">
        <w:rPr>
          <w:rFonts w:ascii="Times New Roman" w:hAnsi="Times New Roman"/>
          <w:b/>
          <w:sz w:val="20"/>
        </w:rPr>
        <w:t xml:space="preserve">Figure </w:t>
      </w:r>
      <w:r w:rsidR="00A26CD4">
        <w:rPr>
          <w:rFonts w:ascii="Times New Roman" w:hAnsi="Times New Roman"/>
          <w:b/>
          <w:sz w:val="20"/>
        </w:rPr>
        <w:t>S1</w:t>
      </w:r>
      <w:r w:rsidRPr="00D41FF8">
        <w:rPr>
          <w:rFonts w:ascii="Times New Roman" w:hAnsi="Times New Roman"/>
          <w:b/>
          <w:sz w:val="20"/>
        </w:rPr>
        <w:t>.</w:t>
      </w:r>
      <w:r w:rsidRPr="00D41FF8">
        <w:rPr>
          <w:rFonts w:ascii="Times New Roman" w:hAnsi="Times New Roman"/>
          <w:sz w:val="20"/>
        </w:rPr>
        <w:t xml:space="preserve"> Heatmap of population density (</w:t>
      </w:r>
      <w:proofErr w:type="spellStart"/>
      <w:r w:rsidRPr="00D41FF8">
        <w:rPr>
          <w:rFonts w:ascii="Times New Roman" w:hAnsi="Times New Roman"/>
          <w:sz w:val="20"/>
        </w:rPr>
        <w:t>inh</w:t>
      </w:r>
      <w:proofErr w:type="spellEnd"/>
      <w:r w:rsidRPr="00D41FF8">
        <w:rPr>
          <w:rFonts w:ascii="Times New Roman" w:hAnsi="Times New Roman"/>
          <w:sz w:val="20"/>
        </w:rPr>
        <w:t>/km2) distribution among administrative units (RO).</w:t>
      </w:r>
    </w:p>
    <w:p w14:paraId="67A1D7D2" w14:textId="68A7BCF1" w:rsidR="00FC13A6" w:rsidRPr="0097378A" w:rsidRDefault="00FC13A6" w:rsidP="00FC13A6">
      <w:pPr>
        <w:pStyle w:val="MDPI31text"/>
        <w:spacing w:after="240" w:line="480" w:lineRule="auto"/>
        <w:rPr>
          <w:rFonts w:ascii="Times New Roman" w:hAnsi="Times New Roman"/>
          <w:sz w:val="22"/>
        </w:rPr>
      </w:pPr>
      <w:r w:rsidRPr="0097378A">
        <w:rPr>
          <w:rFonts w:ascii="Times New Roman" w:hAnsi="Times New Roman"/>
          <w:sz w:val="22"/>
        </w:rPr>
        <w:t xml:space="preserve">According to the wildfire regimes reported by Copernicus Climate Change Service during the fire season between 2015 and 2019, 1980 points overlap with surfaces marking a cumulative Burned Area Fraction (BAF) above 100. This threshold is assigned considering that a BAF value above 100 is considered a high probability that a particular location experienced a fire. Apart from burned area fraction, we utilized the fire regimes as derived from the EFFIS database. The wildfire occurrence and size are recorded based on the MODIS burned area product (MCD64A1) following the </w:t>
      </w:r>
      <w:proofErr w:type="spellStart"/>
      <w:r w:rsidRPr="0097378A">
        <w:rPr>
          <w:rFonts w:ascii="Times New Roman" w:hAnsi="Times New Roman"/>
          <w:sz w:val="22"/>
        </w:rPr>
        <w:t>Globfire</w:t>
      </w:r>
      <w:proofErr w:type="spellEnd"/>
      <w:r w:rsidRPr="0097378A">
        <w:rPr>
          <w:rFonts w:ascii="Times New Roman" w:hAnsi="Times New Roman"/>
          <w:sz w:val="22"/>
        </w:rPr>
        <w:t xml:space="preserve"> method </w:t>
      </w:r>
      <w:hyperlink w:anchor="_ENREF_6" w:tooltip="Artés, 2019 #34" w:history="1">
        <w:r w:rsidR="00B95FB2" w:rsidRPr="00B95FB2">
          <w:rPr>
            <w:rStyle w:val="Hyperlink"/>
          </w:rPr>
          <w:fldChar w:fldCharType="begin"/>
        </w:r>
        <w:r w:rsidR="00B95FB2" w:rsidRPr="00B95FB2">
          <w:rPr>
            <w:rStyle w:val="Hyperlink"/>
          </w:rPr>
          <w:instrText xml:space="preserve"> ADDIN EN.CITE &lt;EndNote&gt;&lt;Cite&gt;&lt;Author&gt;Artés&lt;/Author&gt;&lt;Year&gt;2019&lt;/Year&gt;&lt;RecNum&gt;34&lt;/RecNum&gt;&lt;DisplayText&gt;&lt;style face="superscript"&gt;6&lt;/style&gt;&lt;/DisplayText&gt;&lt;record&gt;&lt;rec-number&gt;34&lt;/rec-number&gt;&lt;foreign-keys&gt;&lt;key app="EN" db-id="tzd0rz5f7s95xuexwe8vvrzvstsard0vd9ps" timestamp="1612707255"&gt;34&lt;/key&gt;&lt;/foreign-keys&gt;&lt;ref-type name="Journal Article"&gt;17&lt;/ref-type&gt;&lt;contributors&gt;&lt;authors&gt;&lt;author&gt;Artés, Tomàs&lt;/author&gt;&lt;author&gt;Oom, Duarte&lt;/author&gt;&lt;author&gt;de Rigo, Daniele&lt;/author&gt;&lt;author&gt;Durrant, Tracy Houston&lt;/author&gt;&lt;author&gt;Maianti, Pieralberto&lt;/author&gt;&lt;author&gt;Libertà, Giorgio&lt;/author&gt;&lt;author&gt;San-Miguel-Ayanz, Jesús&lt;/author&gt;&lt;/authors&gt;&lt;/contributors&gt;&lt;titles&gt;&lt;title&gt;A global wildfire dataset for the analysis of fire regimes and fire behaviour&lt;/title&gt;&lt;secondary-title&gt;Scientific Data&lt;/secondary-title&gt;&lt;/titles&gt;&lt;periodical&gt;&lt;full-title&gt;Scientific Data&lt;/full-title&gt;&lt;/periodical&gt;&lt;pages&gt;296&lt;/pages&gt;&lt;volume&gt;6&lt;/volume&gt;&lt;number&gt;1&lt;/number&gt;&lt;dates&gt;&lt;year&gt;2019&lt;/year&gt;&lt;pub-dates&gt;&lt;date&gt;2019/11/29&lt;/date&gt;&lt;/pub-dates&gt;&lt;/dates&gt;&lt;isbn&gt;2052-4463&lt;/isbn&gt;&lt;urls&gt;&lt;related-urls&gt;&lt;url&gt;https://doi.org/10.1038/s41597-019-0312-2&lt;/url&gt;&lt;/related-urls&gt;&lt;/urls&gt;&lt;electronic-resource-num&gt;10.1038/s41597-019-0312-2&lt;/electronic-resource-num&gt;&lt;/record&gt;&lt;/Cite&gt;&lt;/EndNote&gt;</w:instrText>
        </w:r>
        <w:r w:rsidR="00B95FB2" w:rsidRPr="00B95FB2">
          <w:rPr>
            <w:rStyle w:val="Hyperlink"/>
          </w:rPr>
          <w:fldChar w:fldCharType="separate"/>
        </w:r>
        <w:r w:rsidR="00B95FB2" w:rsidRPr="00B95FB2">
          <w:rPr>
            <w:rStyle w:val="Hyperlink"/>
          </w:rPr>
          <w:t>6</w:t>
        </w:r>
        <w:r w:rsidR="00B95FB2" w:rsidRPr="00B95FB2">
          <w:rPr>
            <w:rStyle w:val="Hyperlink"/>
          </w:rPr>
          <w:fldChar w:fldCharType="end"/>
        </w:r>
      </w:hyperlink>
      <w:r w:rsidRPr="0097378A">
        <w:rPr>
          <w:rFonts w:ascii="Times New Roman" w:hAnsi="Times New Roman"/>
          <w:sz w:val="22"/>
        </w:rPr>
        <w:t xml:space="preserve">. MCD64A1 products make use of Terra and Aqua satellite imagery. They are accepted as reliable for large fires (&gt;50ha) </w:t>
      </w:r>
      <w:hyperlink w:anchor="_ENREF_7" w:tooltip="Fornacca, 2017 #38" w:history="1">
        <w:r w:rsidR="00B95FB2" w:rsidRPr="00B95FB2">
          <w:rPr>
            <w:rStyle w:val="Hyperlink"/>
          </w:rPr>
          <w:fldChar w:fldCharType="begin"/>
        </w:r>
        <w:r w:rsidR="00B95FB2" w:rsidRPr="00B95FB2">
          <w:rPr>
            <w:rStyle w:val="Hyperlink"/>
          </w:rPr>
          <w:instrText xml:space="preserve"> ADDIN EN.CITE &lt;EndNote&gt;&lt;Cite&gt;&lt;Author&gt;Fornacca&lt;/Author&gt;&lt;Year&gt;2017&lt;/Year&gt;&lt;RecNum&gt;38&lt;/RecNum&gt;&lt;DisplayText&gt;&lt;style face="superscript"&gt;7&lt;/style&gt;&lt;/DisplayText&gt;&lt;record&gt;&lt;rec-number&gt;38&lt;/rec-number&gt;&lt;foreign-keys&gt;&lt;key app="EN" db-id="22tps90pwz2rfiex9flxfw2le5s9tp9rpsed" timestamp="1613677888"&gt;38&lt;/key&gt;&lt;/foreign-keys&gt;&lt;ref-type name="Journal Article"&gt;17&lt;/ref-type&gt;&lt;contributors&gt;&lt;authors&gt;&lt;author&gt;Fornacca, Davide&lt;/author&gt;&lt;author&gt;Ren, Guopeng&lt;/author&gt;&lt;author&gt;Xiao, Wen&lt;/author&gt;&lt;/authors&gt;&lt;/contributors&gt;&lt;titles&gt;&lt;title&gt;Performance of Three MODIS Fire Products (MCD45A1, MCD64A1, MCD14ML), and ESA Fire_CCI in a Mountainous Area of Northwest Yunnan, China, Characterized by Frequent Small Fires&lt;/title&gt;&lt;secondary-title&gt;Remote Sensing&lt;/secondary-title&gt;&lt;/titles&gt;&lt;periodical&gt;&lt;full-title&gt;Remote Sensing&lt;/full-title&gt;&lt;/periodical&gt;&lt;pages&gt;1131&lt;/pages&gt;&lt;volume&gt;9&lt;/volume&gt;&lt;number&gt;11&lt;/number&gt;&lt;dates&gt;&lt;year&gt;2017&lt;/year&gt;&lt;/dates&gt;&lt;isbn&gt;2072-4292&lt;/isbn&gt;&lt;accession-num&gt;doi:10.3390/rs9111131&lt;/accession-num&gt;&lt;urls&gt;&lt;related-urls&gt;&lt;url&gt;https://www.mdpi.com/2072-4292/9/11/1131&lt;/url&gt;&lt;/related-urls&gt;&lt;/urls&gt;&lt;/record&gt;&lt;/Cite&gt;&lt;/EndNote&gt;</w:instrText>
        </w:r>
        <w:r w:rsidR="00B95FB2" w:rsidRPr="00B95FB2">
          <w:rPr>
            <w:rStyle w:val="Hyperlink"/>
          </w:rPr>
          <w:fldChar w:fldCharType="separate"/>
        </w:r>
        <w:r w:rsidR="00B95FB2" w:rsidRPr="00B95FB2">
          <w:rPr>
            <w:rStyle w:val="Hyperlink"/>
          </w:rPr>
          <w:t>7</w:t>
        </w:r>
        <w:r w:rsidR="00B95FB2" w:rsidRPr="00B95FB2">
          <w:rPr>
            <w:rStyle w:val="Hyperlink"/>
          </w:rPr>
          <w:fldChar w:fldCharType="end"/>
        </w:r>
      </w:hyperlink>
      <w:r w:rsidR="004F0CB5" w:rsidRPr="0097378A">
        <w:rPr>
          <w:rFonts w:ascii="Times New Roman" w:hAnsi="Times New Roman"/>
          <w:sz w:val="22"/>
        </w:rPr>
        <w:t>.</w:t>
      </w:r>
      <w:r w:rsidRPr="0097378A">
        <w:rPr>
          <w:rFonts w:ascii="Times New Roman" w:hAnsi="Times New Roman"/>
          <w:sz w:val="22"/>
        </w:rPr>
        <w:t xml:space="preserve"> </w:t>
      </w:r>
    </w:p>
    <w:p w14:paraId="43AB37BF" w14:textId="4E5DAA44" w:rsidR="0014127B" w:rsidRPr="00D41FF8" w:rsidRDefault="008409BD" w:rsidP="00D41FF8">
      <w:pPr>
        <w:pStyle w:val="MDPI33textspaceafter"/>
        <w:spacing w:after="0"/>
        <w:ind w:firstLine="0"/>
        <w:jc w:val="center"/>
        <w:rPr>
          <w:rFonts w:ascii="Times New Roman" w:hAnsi="Times New Roman"/>
        </w:rPr>
      </w:pPr>
      <w:r>
        <w:rPr>
          <w:noProof/>
          <w:lang w:eastAsia="en-US" w:bidi="ar-SA"/>
        </w:rPr>
        <w:lastRenderedPageBreak/>
        <w:drawing>
          <wp:inline distT="0" distB="0" distL="0" distR="0" wp14:anchorId="7A59CB1E" wp14:editId="7426A70E">
            <wp:extent cx="6097905" cy="34905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97905" cy="3490595"/>
                    </a:xfrm>
                    <a:prstGeom prst="rect">
                      <a:avLst/>
                    </a:prstGeom>
                  </pic:spPr>
                </pic:pic>
              </a:graphicData>
            </a:graphic>
          </wp:inline>
        </w:drawing>
      </w:r>
    </w:p>
    <w:p w14:paraId="46929691" w14:textId="47EDA935" w:rsidR="0014127B" w:rsidRDefault="00A26CD4" w:rsidP="00A26CD4">
      <w:pPr>
        <w:pStyle w:val="MDPI51figurecaption"/>
        <w:spacing w:line="480" w:lineRule="auto"/>
        <w:rPr>
          <w:rFonts w:ascii="Times New Roman" w:hAnsi="Times New Roman"/>
          <w:sz w:val="20"/>
        </w:rPr>
      </w:pPr>
      <w:r>
        <w:rPr>
          <w:rFonts w:ascii="Times New Roman" w:hAnsi="Times New Roman"/>
          <w:b/>
          <w:sz w:val="20"/>
        </w:rPr>
        <w:t>Figure S2</w:t>
      </w:r>
      <w:r w:rsidR="0014127B" w:rsidRPr="00D41FF8">
        <w:rPr>
          <w:rFonts w:ascii="Times New Roman" w:hAnsi="Times New Roman"/>
          <w:b/>
          <w:sz w:val="20"/>
        </w:rPr>
        <w:t>.</w:t>
      </w:r>
      <w:r w:rsidR="0014127B" w:rsidRPr="00D41FF8">
        <w:rPr>
          <w:rFonts w:ascii="Times New Roman" w:hAnsi="Times New Roman"/>
          <w:sz w:val="20"/>
        </w:rPr>
        <w:t xml:space="preserve"> The burned surfaces in Romania (EFFIS, 2018-2019) and the burned area fraction.</w:t>
      </w:r>
      <w:r w:rsidR="0014127B" w:rsidRPr="009B3827">
        <w:rPr>
          <w:rFonts w:ascii="Times New Roman" w:hAnsi="Times New Roman"/>
          <w:sz w:val="20"/>
        </w:rPr>
        <w:t xml:space="preserve"> (Copernicus Climate Change Service, 2015-2019).</w:t>
      </w:r>
    </w:p>
    <w:p w14:paraId="309275F5" w14:textId="66014753" w:rsidR="00D27471" w:rsidRPr="00453759" w:rsidRDefault="00D27471" w:rsidP="00D27471">
      <w:pPr>
        <w:pStyle w:val="MDPI22heading2"/>
        <w:spacing w:line="480" w:lineRule="auto"/>
        <w:rPr>
          <w:rFonts w:ascii="Times New Roman" w:hAnsi="Times New Roman"/>
          <w:b/>
          <w:noProof w:val="0"/>
          <w:color w:val="auto"/>
          <w:sz w:val="22"/>
        </w:rPr>
      </w:pPr>
      <w:r>
        <w:rPr>
          <w:rFonts w:ascii="Times New Roman" w:hAnsi="Times New Roman"/>
          <w:b/>
          <w:noProof w:val="0"/>
          <w:color w:val="auto"/>
          <w:sz w:val="22"/>
        </w:rPr>
        <w:t>S3. WSCI_ROC values distribution per municipality</w:t>
      </w:r>
    </w:p>
    <w:p w14:paraId="21A78C28" w14:textId="77777777" w:rsidR="00D27471" w:rsidRPr="00A26CD4" w:rsidRDefault="00D27471" w:rsidP="00A26CD4">
      <w:pPr>
        <w:pStyle w:val="MDPI51figurecaption"/>
        <w:spacing w:line="480" w:lineRule="auto"/>
        <w:rPr>
          <w:rFonts w:ascii="Times New Roman" w:hAnsi="Times New Roman"/>
          <w:sz w:val="20"/>
        </w:rPr>
      </w:pPr>
    </w:p>
    <w:p w14:paraId="00A700B0" w14:textId="082A5591" w:rsidR="0014127B" w:rsidRPr="009379A8" w:rsidRDefault="00E64D9D" w:rsidP="009379A8">
      <w:pPr>
        <w:pStyle w:val="MDPI31text"/>
        <w:ind w:firstLine="0"/>
        <w:jc w:val="center"/>
        <w:rPr>
          <w:rFonts w:ascii="Times New Roman" w:hAnsi="Times New Roman"/>
        </w:rPr>
      </w:pPr>
      <w:r>
        <w:rPr>
          <w:noProof/>
          <w:lang w:eastAsia="en-US" w:bidi="ar-SA"/>
        </w:rPr>
        <w:lastRenderedPageBreak/>
        <w:drawing>
          <wp:inline distT="0" distB="0" distL="0" distR="0" wp14:anchorId="5B21433D" wp14:editId="7DA040CA">
            <wp:extent cx="5890689" cy="8610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25019" cy="8660780"/>
                    </a:xfrm>
                    <a:prstGeom prst="rect">
                      <a:avLst/>
                    </a:prstGeom>
                  </pic:spPr>
                </pic:pic>
              </a:graphicData>
            </a:graphic>
          </wp:inline>
        </w:drawing>
      </w:r>
    </w:p>
    <w:p w14:paraId="43C894A4" w14:textId="1AB3B30A" w:rsidR="009604D6" w:rsidRDefault="00A26CD4">
      <w:pPr>
        <w:pStyle w:val="MDPI31text"/>
        <w:spacing w:line="276" w:lineRule="auto"/>
        <w:ind w:left="142" w:right="389"/>
      </w:pPr>
      <w:r>
        <w:rPr>
          <w:rFonts w:ascii="Times New Roman" w:hAnsi="Times New Roman"/>
          <w:b/>
        </w:rPr>
        <w:t>Figure S3</w:t>
      </w:r>
      <w:r w:rsidR="0014127B" w:rsidRPr="009379A8">
        <w:rPr>
          <w:rFonts w:ascii="Times New Roman" w:hAnsi="Times New Roman"/>
          <w:b/>
        </w:rPr>
        <w:t>.</w:t>
      </w:r>
      <w:r w:rsidR="0014127B" w:rsidRPr="009379A8">
        <w:rPr>
          <w:rFonts w:ascii="Times New Roman" w:hAnsi="Times New Roman"/>
        </w:rPr>
        <w:t xml:space="preserve"> Box plot of (a) WIPI_ROC and (b) WSCI_ROC distribution per each administrative unit in </w:t>
      </w:r>
      <w:r w:rsidR="008F418F" w:rsidRPr="009379A8">
        <w:rPr>
          <w:rFonts w:ascii="Times New Roman" w:hAnsi="Times New Roman"/>
        </w:rPr>
        <w:t>Romania</w:t>
      </w:r>
      <w:r w:rsidR="008F418F" w:rsidRPr="00E64D9D">
        <w:rPr>
          <w:rFonts w:ascii="Times New Roman" w:hAnsi="Times New Roman"/>
        </w:rPr>
        <w:t xml:space="preserve"> (</w:t>
      </w:r>
      <w:r w:rsidR="00E64D9D" w:rsidRPr="00E64D9D">
        <w:rPr>
          <w:rFonts w:ascii="Times New Roman" w:hAnsi="Times New Roman"/>
        </w:rPr>
        <w:t>Min, 25%, Median, 75%, Max, Outliers)</w:t>
      </w:r>
      <w:r w:rsidR="0014127B" w:rsidRPr="009379A8">
        <w:rPr>
          <w:rFonts w:ascii="Times New Roman" w:hAnsi="Times New Roman"/>
        </w:rPr>
        <w:t>.</w:t>
      </w:r>
      <w:r w:rsidR="0014127B" w:rsidRPr="009379A8">
        <w:rPr>
          <w:rFonts w:ascii="Times New Roman" w:hAnsi="Times New Roman"/>
          <w:sz w:val="22"/>
          <w:szCs w:val="24"/>
        </w:rPr>
        <w:t xml:space="preserve">   </w:t>
      </w:r>
    </w:p>
    <w:p w14:paraId="6C8762C1" w14:textId="77777777" w:rsidR="00B95FB2" w:rsidRPr="00B95FB2" w:rsidRDefault="009604D6" w:rsidP="00B95FB2">
      <w:pPr>
        <w:pStyle w:val="EndNoteBibliographyTitle"/>
      </w:pPr>
      <w:r>
        <w:lastRenderedPageBreak/>
        <w:fldChar w:fldCharType="begin"/>
      </w:r>
      <w:r>
        <w:instrText xml:space="preserve"> ADDIN EN.REFLIST </w:instrText>
      </w:r>
      <w:r>
        <w:fldChar w:fldCharType="separate"/>
      </w:r>
      <w:r w:rsidR="00B95FB2" w:rsidRPr="00B95FB2">
        <w:t>References</w:t>
      </w:r>
    </w:p>
    <w:p w14:paraId="7A88BD2A" w14:textId="77777777" w:rsidR="00B95FB2" w:rsidRPr="00B95FB2" w:rsidRDefault="00B95FB2" w:rsidP="00B95FB2">
      <w:pPr>
        <w:pStyle w:val="EndNoteBibliographyTitle"/>
      </w:pPr>
    </w:p>
    <w:p w14:paraId="7080D993" w14:textId="77777777" w:rsidR="00B95FB2" w:rsidRPr="00B95FB2" w:rsidRDefault="00B95FB2" w:rsidP="00B95FB2">
      <w:pPr>
        <w:pStyle w:val="EndNoteBibliography"/>
        <w:spacing w:after="240"/>
        <w:ind w:left="720" w:hanging="720"/>
      </w:pPr>
      <w:bookmarkStart w:id="1" w:name="_ENREF_1"/>
      <w:r w:rsidRPr="00B95FB2">
        <w:t>1</w:t>
      </w:r>
      <w:r w:rsidRPr="00B95FB2">
        <w:tab/>
        <w:t xml:space="preserve">Barbu, I. Riscul la incendii în pădurile din România: cartare și metode de evaluare. </w:t>
      </w:r>
      <w:r w:rsidRPr="00B95FB2">
        <w:rPr>
          <w:i/>
        </w:rPr>
        <w:t>Bucovina Forestieră</w:t>
      </w:r>
      <w:r w:rsidRPr="00B95FB2">
        <w:t xml:space="preserve"> </w:t>
      </w:r>
      <w:r w:rsidRPr="00B95FB2">
        <w:rPr>
          <w:b/>
        </w:rPr>
        <w:t>18</w:t>
      </w:r>
      <w:r w:rsidRPr="00B95FB2">
        <w:t>, 155-163, doi:10.4316/bf.2018.015 (2018).</w:t>
      </w:r>
      <w:bookmarkEnd w:id="1"/>
    </w:p>
    <w:p w14:paraId="4429EA60" w14:textId="21825C42" w:rsidR="00B95FB2" w:rsidRPr="00B95FB2" w:rsidRDefault="00B95FB2" w:rsidP="00B95FB2">
      <w:pPr>
        <w:pStyle w:val="EndNoteBibliography"/>
        <w:spacing w:after="240"/>
        <w:ind w:left="720" w:hanging="720"/>
      </w:pPr>
      <w:bookmarkStart w:id="2" w:name="_ENREF_2"/>
      <w:r w:rsidRPr="00B95FB2">
        <w:t>2</w:t>
      </w:r>
      <w:r w:rsidRPr="00B95FB2">
        <w:tab/>
        <w:t>Buontempo, C.</w:t>
      </w:r>
      <w:r w:rsidRPr="00B95FB2">
        <w:rPr>
          <w:i/>
        </w:rPr>
        <w:t xml:space="preserve"> et al.</w:t>
      </w:r>
      <w:r w:rsidRPr="00B95FB2">
        <w:t xml:space="preserve"> Fostering the development of climate services through Copernicus Climate Change Service (C3S) for agriculture applications. </w:t>
      </w:r>
      <w:r w:rsidRPr="00B95FB2">
        <w:rPr>
          <w:i/>
        </w:rPr>
        <w:t>Weather and Climate Extremes</w:t>
      </w:r>
      <w:r w:rsidRPr="00B95FB2">
        <w:t xml:space="preserve"> </w:t>
      </w:r>
      <w:r w:rsidRPr="00B95FB2">
        <w:rPr>
          <w:b/>
        </w:rPr>
        <w:t>27</w:t>
      </w:r>
      <w:r w:rsidRPr="00B95FB2">
        <w:t>, 100226, doi:</w:t>
      </w:r>
      <w:hyperlink r:id="rId11" w:history="1">
        <w:r w:rsidRPr="00B95FB2">
          <w:rPr>
            <w:rStyle w:val="Hyperlink"/>
            <w:rFonts w:ascii="Palatino Linotype" w:hAnsi="Palatino Linotype"/>
            <w:sz w:val="18"/>
            <w:vertAlign w:val="baseline"/>
          </w:rPr>
          <w:t>https://doi.org/10.1016/j.wace.2019.100226</w:t>
        </w:r>
      </w:hyperlink>
      <w:r w:rsidRPr="00B95FB2">
        <w:t xml:space="preserve"> (2020).</w:t>
      </w:r>
      <w:bookmarkEnd w:id="2"/>
    </w:p>
    <w:p w14:paraId="15720885" w14:textId="77777777" w:rsidR="00B95FB2" w:rsidRPr="00B95FB2" w:rsidRDefault="00B95FB2" w:rsidP="00B95FB2">
      <w:pPr>
        <w:pStyle w:val="EndNoteBibliography"/>
        <w:spacing w:after="240"/>
        <w:ind w:left="720" w:hanging="720"/>
      </w:pPr>
      <w:bookmarkStart w:id="3" w:name="_ENREF_3"/>
      <w:r w:rsidRPr="00B95FB2">
        <w:t>3</w:t>
      </w:r>
      <w:r w:rsidRPr="00B95FB2">
        <w:tab/>
        <w:t xml:space="preserve">Loepfe, L., Lloret, F. &amp; Román-Cuesta, R. M. Comparison of burnt area estimates derived from satellite products and national statistics in Europe. </w:t>
      </w:r>
      <w:r w:rsidRPr="00B95FB2">
        <w:rPr>
          <w:i/>
        </w:rPr>
        <w:t>International Journal of Remote Sensing</w:t>
      </w:r>
      <w:r w:rsidRPr="00B95FB2">
        <w:t xml:space="preserve"> </w:t>
      </w:r>
      <w:r w:rsidRPr="00B95FB2">
        <w:rPr>
          <w:b/>
        </w:rPr>
        <w:t>33</w:t>
      </w:r>
      <w:r w:rsidRPr="00B95FB2">
        <w:t>, 3653-3671, doi:10.1080/01431161.2011.631950 (2012).</w:t>
      </w:r>
      <w:bookmarkEnd w:id="3"/>
    </w:p>
    <w:p w14:paraId="15E08613" w14:textId="77777777" w:rsidR="00B95FB2" w:rsidRPr="00B95FB2" w:rsidRDefault="00B95FB2" w:rsidP="00B95FB2">
      <w:pPr>
        <w:pStyle w:val="EndNoteBibliography"/>
        <w:spacing w:after="240"/>
        <w:ind w:left="720" w:hanging="720"/>
      </w:pPr>
      <w:bookmarkStart w:id="4" w:name="_ENREF_4"/>
      <w:r w:rsidRPr="00B95FB2">
        <w:t>4</w:t>
      </w:r>
      <w:r w:rsidRPr="00B95FB2">
        <w:tab/>
        <w:t xml:space="preserve">Giglio, L., van der Werf, G. R., Randerson, J. T., Collatz, G. J. &amp; Kasibhatla, P. Global estimation of burned area using MODIS active fire observations. </w:t>
      </w:r>
      <w:r w:rsidRPr="00B95FB2">
        <w:rPr>
          <w:i/>
        </w:rPr>
        <w:t>Atmos. Chem. Phys.</w:t>
      </w:r>
      <w:r w:rsidRPr="00B95FB2">
        <w:t xml:space="preserve"> </w:t>
      </w:r>
      <w:r w:rsidRPr="00B95FB2">
        <w:rPr>
          <w:b/>
        </w:rPr>
        <w:t>6</w:t>
      </w:r>
      <w:r w:rsidRPr="00B95FB2">
        <w:t>, 957-974, doi:10.5194/acp-6-957-2006 (2006).</w:t>
      </w:r>
      <w:bookmarkEnd w:id="4"/>
    </w:p>
    <w:p w14:paraId="77381BF8" w14:textId="138612FA" w:rsidR="00B95FB2" w:rsidRPr="00B95FB2" w:rsidRDefault="00B95FB2" w:rsidP="00B95FB2">
      <w:pPr>
        <w:pStyle w:val="EndNoteBibliography"/>
        <w:spacing w:after="240"/>
        <w:ind w:left="720" w:hanging="720"/>
      </w:pPr>
      <w:bookmarkStart w:id="5" w:name="_ENREF_5"/>
      <w:r w:rsidRPr="00B95FB2">
        <w:t>5</w:t>
      </w:r>
      <w:r w:rsidRPr="00B95FB2">
        <w:tab/>
        <w:t>Mouillot, F.</w:t>
      </w:r>
      <w:r w:rsidRPr="00B95FB2">
        <w:rPr>
          <w:i/>
        </w:rPr>
        <w:t xml:space="preserve"> et al.</w:t>
      </w:r>
      <w:r w:rsidRPr="00B95FB2">
        <w:t xml:space="preserve"> Ten years of global burned area products from spaceborne remote sensing—A review: Analysis of user needs and recommendations for future developments. </w:t>
      </w:r>
      <w:r w:rsidRPr="00B95FB2">
        <w:rPr>
          <w:i/>
        </w:rPr>
        <w:t>International Journal of Applied Earth Observation and Geoinformation</w:t>
      </w:r>
      <w:r w:rsidRPr="00B95FB2">
        <w:t xml:space="preserve"> </w:t>
      </w:r>
      <w:r w:rsidRPr="00B95FB2">
        <w:rPr>
          <w:b/>
        </w:rPr>
        <w:t>26</w:t>
      </w:r>
      <w:r w:rsidRPr="00B95FB2">
        <w:t>, 64-79, doi:</w:t>
      </w:r>
      <w:hyperlink r:id="rId12" w:history="1">
        <w:r w:rsidRPr="00B95FB2">
          <w:rPr>
            <w:rStyle w:val="Hyperlink"/>
            <w:rFonts w:ascii="Palatino Linotype" w:hAnsi="Palatino Linotype"/>
            <w:sz w:val="18"/>
            <w:vertAlign w:val="baseline"/>
          </w:rPr>
          <w:t>https://doi.org/10.1016/j.jag.2013.05.014</w:t>
        </w:r>
      </w:hyperlink>
      <w:r w:rsidRPr="00B95FB2">
        <w:t xml:space="preserve"> (2014).</w:t>
      </w:r>
      <w:bookmarkEnd w:id="5"/>
    </w:p>
    <w:p w14:paraId="6031D42C" w14:textId="77777777" w:rsidR="00B95FB2" w:rsidRPr="00B95FB2" w:rsidRDefault="00B95FB2" w:rsidP="00B95FB2">
      <w:pPr>
        <w:pStyle w:val="EndNoteBibliography"/>
        <w:spacing w:after="240"/>
        <w:ind w:left="720" w:hanging="720"/>
      </w:pPr>
      <w:bookmarkStart w:id="6" w:name="_ENREF_6"/>
      <w:r w:rsidRPr="00B95FB2">
        <w:t>6</w:t>
      </w:r>
      <w:r w:rsidRPr="00B95FB2">
        <w:tab/>
        <w:t>Artés, T.</w:t>
      </w:r>
      <w:r w:rsidRPr="00B95FB2">
        <w:rPr>
          <w:i/>
        </w:rPr>
        <w:t xml:space="preserve"> et al.</w:t>
      </w:r>
      <w:r w:rsidRPr="00B95FB2">
        <w:t xml:space="preserve"> A global wildfire dataset for the analysis of fire regimes and fire behaviour. </w:t>
      </w:r>
      <w:r w:rsidRPr="00B95FB2">
        <w:rPr>
          <w:i/>
        </w:rPr>
        <w:t>Scientific Data</w:t>
      </w:r>
      <w:r w:rsidRPr="00B95FB2">
        <w:t xml:space="preserve"> </w:t>
      </w:r>
      <w:r w:rsidRPr="00B95FB2">
        <w:rPr>
          <w:b/>
        </w:rPr>
        <w:t>6</w:t>
      </w:r>
      <w:r w:rsidRPr="00B95FB2">
        <w:t>, 296, doi:10.1038/s41597-019-0312-2 (2019).</w:t>
      </w:r>
      <w:bookmarkEnd w:id="6"/>
    </w:p>
    <w:p w14:paraId="711E02B4" w14:textId="77777777" w:rsidR="00B95FB2" w:rsidRPr="00B95FB2" w:rsidRDefault="00B95FB2" w:rsidP="00B95FB2">
      <w:pPr>
        <w:pStyle w:val="EndNoteBibliography"/>
        <w:ind w:left="720" w:hanging="720"/>
      </w:pPr>
      <w:bookmarkStart w:id="7" w:name="_ENREF_7"/>
      <w:r w:rsidRPr="00B95FB2">
        <w:t>7</w:t>
      </w:r>
      <w:r w:rsidRPr="00B95FB2">
        <w:tab/>
        <w:t xml:space="preserve">Fornacca, D., Ren, G. &amp; Xiao, W. Performance of Three MODIS Fire Products (MCD45A1, MCD64A1, MCD14ML), and ESA Fire_CCI in a Mountainous Area of Northwest Yunnan, China, Characterized by Frequent Small Fires. </w:t>
      </w:r>
      <w:r w:rsidRPr="00B95FB2">
        <w:rPr>
          <w:i/>
        </w:rPr>
        <w:t>Remote Sensing</w:t>
      </w:r>
      <w:r w:rsidRPr="00B95FB2">
        <w:t xml:space="preserve"> </w:t>
      </w:r>
      <w:r w:rsidRPr="00B95FB2">
        <w:rPr>
          <w:b/>
        </w:rPr>
        <w:t>9</w:t>
      </w:r>
      <w:r w:rsidRPr="00B95FB2">
        <w:t>, 1131 (2017).</w:t>
      </w:r>
      <w:bookmarkEnd w:id="7"/>
    </w:p>
    <w:p w14:paraId="37D85041" w14:textId="37ADE72E" w:rsidR="009604D6" w:rsidRPr="0080313E" w:rsidRDefault="009604D6" w:rsidP="00042A0C">
      <w:pPr>
        <w:pStyle w:val="MDPI31text"/>
        <w:spacing w:line="276" w:lineRule="auto"/>
        <w:ind w:left="142" w:right="389"/>
      </w:pPr>
      <w:r>
        <w:fldChar w:fldCharType="end"/>
      </w:r>
    </w:p>
    <w:sectPr w:rsidR="009604D6" w:rsidRPr="0080313E" w:rsidSect="002B2AA8">
      <w:headerReference w:type="even" r:id="rId13"/>
      <w:headerReference w:type="default" r:id="rId14"/>
      <w:footerReference w:type="default" r:id="rId15"/>
      <w:footerReference w:type="first" r:id="rId16"/>
      <w:pgSz w:w="11907" w:h="16839" w:code="9"/>
      <w:pgMar w:top="1152" w:right="1152" w:bottom="1152" w:left="1152" w:header="1020" w:footer="850" w:gutter="0"/>
      <w:lnNumType w:countBy="1" w:restart="continuous"/>
      <w:pgNumType w:start="1"/>
      <w:cols w:space="425"/>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348B12" w14:textId="77777777" w:rsidR="002C234F" w:rsidRDefault="002C234F" w:rsidP="005C0463">
      <w:pPr>
        <w:spacing w:line="240" w:lineRule="auto"/>
      </w:pPr>
      <w:r>
        <w:separator/>
      </w:r>
    </w:p>
  </w:endnote>
  <w:endnote w:type="continuationSeparator" w:id="0">
    <w:p w14:paraId="5ADBFDB7" w14:textId="77777777" w:rsidR="002C234F" w:rsidRDefault="002C234F" w:rsidP="005C04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1604726"/>
      <w:docPartObj>
        <w:docPartGallery w:val="Page Numbers (Bottom of Page)"/>
        <w:docPartUnique/>
      </w:docPartObj>
    </w:sdtPr>
    <w:sdtEndPr>
      <w:rPr>
        <w:noProof/>
      </w:rPr>
    </w:sdtEndPr>
    <w:sdtContent>
      <w:p w14:paraId="0E0D6CA5" w14:textId="77777777" w:rsidR="002F5D17" w:rsidRDefault="002F5D17">
        <w:pPr>
          <w:pStyle w:val="Footer"/>
          <w:jc w:val="right"/>
        </w:pPr>
        <w:r>
          <w:fldChar w:fldCharType="begin"/>
        </w:r>
        <w:r>
          <w:instrText xml:space="preserve"> PAGE   \* MERGEFORMAT </w:instrText>
        </w:r>
        <w:r>
          <w:fldChar w:fldCharType="separate"/>
        </w:r>
        <w:r w:rsidR="00215D99">
          <w:rPr>
            <w:noProof/>
          </w:rPr>
          <w:t>7</w:t>
        </w:r>
        <w:r>
          <w:rPr>
            <w:noProof/>
          </w:rPr>
          <w:fldChar w:fldCharType="end"/>
        </w:r>
      </w:p>
    </w:sdtContent>
  </w:sdt>
  <w:p w14:paraId="2A059639" w14:textId="77777777" w:rsidR="002F5D17" w:rsidRPr="009409DB" w:rsidRDefault="002F5D17" w:rsidP="00145119">
    <w:pPr>
      <w:pStyle w:val="Footer"/>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80B95" w14:textId="3ADCBCCF" w:rsidR="002F5D17" w:rsidRPr="008B308E" w:rsidRDefault="002F5D17" w:rsidP="00145119">
    <w:pPr>
      <w:pStyle w:val="MDPIfooterfirstpage"/>
      <w:spacing w:line="240" w:lineRule="auto"/>
      <w:jc w:val="both"/>
      <w:rPr>
        <w:lang w:val="fr-CH"/>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6EB997" w14:textId="77777777" w:rsidR="002C234F" w:rsidRDefault="002C234F" w:rsidP="005C0463">
      <w:pPr>
        <w:spacing w:line="240" w:lineRule="auto"/>
      </w:pPr>
      <w:r>
        <w:separator/>
      </w:r>
    </w:p>
  </w:footnote>
  <w:footnote w:type="continuationSeparator" w:id="0">
    <w:p w14:paraId="5ED65AE8" w14:textId="77777777" w:rsidR="002C234F" w:rsidRDefault="002C234F" w:rsidP="005C046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7625E" w14:textId="77777777" w:rsidR="002F5D17" w:rsidRDefault="002F5D17" w:rsidP="00145119">
    <w:pPr>
      <w:pStyle w:val="Header"/>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16795" w14:textId="102ED5E8" w:rsidR="002F5D17" w:rsidRPr="00BA2DE7" w:rsidRDefault="002F5D17" w:rsidP="00145119">
    <w:pPr>
      <w:tabs>
        <w:tab w:val="right" w:pos="8844"/>
      </w:tabs>
      <w:adjustRightInd w:val="0"/>
      <w:snapToGrid w:val="0"/>
      <w:spacing w:after="240" w:line="240" w:lineRule="auto"/>
      <w:rPr>
        <w:rFonts w:ascii="Palatino Linotype" w:hAnsi="Palatino Linotype"/>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0A245F"/>
    <w:multiLevelType w:val="hybridMultilevel"/>
    <w:tmpl w:val="29E20A30"/>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2">
    <w:nsid w:val="369A6535"/>
    <w:multiLevelType w:val="hybridMultilevel"/>
    <w:tmpl w:val="3CB68362"/>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3">
    <w:nsid w:val="6CE42C68"/>
    <w:multiLevelType w:val="hybridMultilevel"/>
    <w:tmpl w:val="81EA74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AyMTE1szCwMDc2MjRT0lEKTi0uzszPAykwrgUAyqliYiwAAAA="/>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Palatino Linotype&lt;/FontName&gt;&lt;FontSize&gt;9&lt;/FontSize&gt;&lt;ReflistTitle&gt;References&lt;/ReflistTitle&gt;&lt;StartingRefnum&gt;1&lt;/StartingRefnum&gt;&lt;FirstLineIndent&gt;0&lt;/FirstLineIndent&gt;&lt;HangingIndent&gt;720&lt;/HangingIndent&gt;&lt;LineSpacing&gt;0&lt;/LineSpacing&gt;&lt;SpaceAfter&gt;1&lt;/SpaceAfter&gt;&lt;HyperlinksEnabled&gt;1&lt;/HyperlinksEnabled&gt;&lt;HyperlinksVisible&gt;1&lt;/HyperlinksVisible&gt;&lt;EnableBibliographyCategories&gt;0&lt;/EnableBibliographyCategories&gt;&lt;/ENLayout&gt;"/>
    <w:docVar w:name="EN.Libraries" w:val="&lt;Libraries&gt;&lt;item db-id=&quot;tzd0rz5f7s95xuexwe8vvrzvstsard0vd9ps&quot;&gt;A-A02&lt;record-ids&gt;&lt;item&gt;24&lt;/item&gt;&lt;item&gt;30&lt;/item&gt;&lt;item&gt;31&lt;/item&gt;&lt;item&gt;32&lt;/item&gt;&lt;item&gt;33&lt;/item&gt;&lt;item&gt;34&lt;/item&gt;&lt;/record-ids&gt;&lt;/item&gt;&lt;/Libraries&gt;"/>
  </w:docVars>
  <w:rsids>
    <w:rsidRoot w:val="0014127B"/>
    <w:rsid w:val="000000A3"/>
    <w:rsid w:val="0000286C"/>
    <w:rsid w:val="00002EF4"/>
    <w:rsid w:val="00010C03"/>
    <w:rsid w:val="00012065"/>
    <w:rsid w:val="00012113"/>
    <w:rsid w:val="0001396D"/>
    <w:rsid w:val="00017E11"/>
    <w:rsid w:val="000216F7"/>
    <w:rsid w:val="00021B24"/>
    <w:rsid w:val="00023706"/>
    <w:rsid w:val="000318D4"/>
    <w:rsid w:val="00036B95"/>
    <w:rsid w:val="00042A0C"/>
    <w:rsid w:val="00055628"/>
    <w:rsid w:val="00060665"/>
    <w:rsid w:val="00070F09"/>
    <w:rsid w:val="0009091C"/>
    <w:rsid w:val="00092707"/>
    <w:rsid w:val="000A41C1"/>
    <w:rsid w:val="000B161E"/>
    <w:rsid w:val="000C317E"/>
    <w:rsid w:val="000D0626"/>
    <w:rsid w:val="000E5AFA"/>
    <w:rsid w:val="000F4F86"/>
    <w:rsid w:val="001070BC"/>
    <w:rsid w:val="001201EC"/>
    <w:rsid w:val="001203A3"/>
    <w:rsid w:val="00123755"/>
    <w:rsid w:val="001246AE"/>
    <w:rsid w:val="0014127B"/>
    <w:rsid w:val="00145119"/>
    <w:rsid w:val="001452F5"/>
    <w:rsid w:val="00152774"/>
    <w:rsid w:val="00152AA4"/>
    <w:rsid w:val="00154A87"/>
    <w:rsid w:val="001A0494"/>
    <w:rsid w:val="001D31B1"/>
    <w:rsid w:val="001E08C9"/>
    <w:rsid w:val="001E3B87"/>
    <w:rsid w:val="001F2ADC"/>
    <w:rsid w:val="001F6632"/>
    <w:rsid w:val="001F682D"/>
    <w:rsid w:val="00215D99"/>
    <w:rsid w:val="002245B2"/>
    <w:rsid w:val="002440C4"/>
    <w:rsid w:val="002557BC"/>
    <w:rsid w:val="00255F40"/>
    <w:rsid w:val="00260470"/>
    <w:rsid w:val="0026086D"/>
    <w:rsid w:val="00274F67"/>
    <w:rsid w:val="00281FCC"/>
    <w:rsid w:val="002832D3"/>
    <w:rsid w:val="00283D81"/>
    <w:rsid w:val="0029045B"/>
    <w:rsid w:val="0029136C"/>
    <w:rsid w:val="002B2807"/>
    <w:rsid w:val="002B2AA8"/>
    <w:rsid w:val="002C234F"/>
    <w:rsid w:val="002D01FD"/>
    <w:rsid w:val="002D0587"/>
    <w:rsid w:val="002D3577"/>
    <w:rsid w:val="002D5FE0"/>
    <w:rsid w:val="002E5472"/>
    <w:rsid w:val="002F0DBD"/>
    <w:rsid w:val="002F5D17"/>
    <w:rsid w:val="002F766D"/>
    <w:rsid w:val="003029EF"/>
    <w:rsid w:val="00303E1C"/>
    <w:rsid w:val="00304E2D"/>
    <w:rsid w:val="003072C3"/>
    <w:rsid w:val="003143D1"/>
    <w:rsid w:val="00320FDD"/>
    <w:rsid w:val="0033295A"/>
    <w:rsid w:val="00332C7C"/>
    <w:rsid w:val="00334F47"/>
    <w:rsid w:val="00335726"/>
    <w:rsid w:val="00335A56"/>
    <w:rsid w:val="003506BC"/>
    <w:rsid w:val="003521F5"/>
    <w:rsid w:val="00367276"/>
    <w:rsid w:val="00371770"/>
    <w:rsid w:val="003740F3"/>
    <w:rsid w:val="0038301D"/>
    <w:rsid w:val="00396F6A"/>
    <w:rsid w:val="003A2974"/>
    <w:rsid w:val="003B18C9"/>
    <w:rsid w:val="003C0149"/>
    <w:rsid w:val="003C2625"/>
    <w:rsid w:val="003C3EFB"/>
    <w:rsid w:val="003D1CF1"/>
    <w:rsid w:val="003E7AE5"/>
    <w:rsid w:val="003F305A"/>
    <w:rsid w:val="004037B4"/>
    <w:rsid w:val="004050CE"/>
    <w:rsid w:val="004065F7"/>
    <w:rsid w:val="00411694"/>
    <w:rsid w:val="00433D3C"/>
    <w:rsid w:val="004348A9"/>
    <w:rsid w:val="00453759"/>
    <w:rsid w:val="00460296"/>
    <w:rsid w:val="00464C23"/>
    <w:rsid w:val="004756AE"/>
    <w:rsid w:val="00487CB8"/>
    <w:rsid w:val="004918E1"/>
    <w:rsid w:val="0049637E"/>
    <w:rsid w:val="004A3F9A"/>
    <w:rsid w:val="004B04AC"/>
    <w:rsid w:val="004D262D"/>
    <w:rsid w:val="004D3C76"/>
    <w:rsid w:val="004E2488"/>
    <w:rsid w:val="004E5A01"/>
    <w:rsid w:val="004F0CB5"/>
    <w:rsid w:val="004F4EEA"/>
    <w:rsid w:val="0052127B"/>
    <w:rsid w:val="00525672"/>
    <w:rsid w:val="00535E2E"/>
    <w:rsid w:val="005431CF"/>
    <w:rsid w:val="0054325E"/>
    <w:rsid w:val="00554B05"/>
    <w:rsid w:val="0058493F"/>
    <w:rsid w:val="005A22E6"/>
    <w:rsid w:val="005A74B1"/>
    <w:rsid w:val="005B4BA9"/>
    <w:rsid w:val="005C0463"/>
    <w:rsid w:val="005E2824"/>
    <w:rsid w:val="005E4E14"/>
    <w:rsid w:val="005E72A9"/>
    <w:rsid w:val="005F2BDC"/>
    <w:rsid w:val="005F4680"/>
    <w:rsid w:val="0060421A"/>
    <w:rsid w:val="006124E4"/>
    <w:rsid w:val="00623503"/>
    <w:rsid w:val="00626D3E"/>
    <w:rsid w:val="00627186"/>
    <w:rsid w:val="0068253A"/>
    <w:rsid w:val="00685D1F"/>
    <w:rsid w:val="00687285"/>
    <w:rsid w:val="0069285E"/>
    <w:rsid w:val="006B4EF7"/>
    <w:rsid w:val="006B669B"/>
    <w:rsid w:val="006D0FBA"/>
    <w:rsid w:val="006D1B04"/>
    <w:rsid w:val="006E3F71"/>
    <w:rsid w:val="006E7914"/>
    <w:rsid w:val="006F5C3B"/>
    <w:rsid w:val="006F7235"/>
    <w:rsid w:val="00703EE8"/>
    <w:rsid w:val="007106EE"/>
    <w:rsid w:val="00723DDA"/>
    <w:rsid w:val="007322A5"/>
    <w:rsid w:val="00743267"/>
    <w:rsid w:val="007630A8"/>
    <w:rsid w:val="00765D50"/>
    <w:rsid w:val="00766373"/>
    <w:rsid w:val="007861B3"/>
    <w:rsid w:val="00792209"/>
    <w:rsid w:val="007A2408"/>
    <w:rsid w:val="007A2880"/>
    <w:rsid w:val="007A2920"/>
    <w:rsid w:val="007A432A"/>
    <w:rsid w:val="007A453A"/>
    <w:rsid w:val="007A6A57"/>
    <w:rsid w:val="007B1C1A"/>
    <w:rsid w:val="007B6842"/>
    <w:rsid w:val="007C17A6"/>
    <w:rsid w:val="007C293C"/>
    <w:rsid w:val="007C3021"/>
    <w:rsid w:val="007D28CB"/>
    <w:rsid w:val="007E6B11"/>
    <w:rsid w:val="007F2CAC"/>
    <w:rsid w:val="0080313E"/>
    <w:rsid w:val="0080750A"/>
    <w:rsid w:val="00811769"/>
    <w:rsid w:val="00824BDC"/>
    <w:rsid w:val="008409BD"/>
    <w:rsid w:val="008476D7"/>
    <w:rsid w:val="0085435C"/>
    <w:rsid w:val="00864D8F"/>
    <w:rsid w:val="00866109"/>
    <w:rsid w:val="0088092C"/>
    <w:rsid w:val="00881714"/>
    <w:rsid w:val="008B127A"/>
    <w:rsid w:val="008B5222"/>
    <w:rsid w:val="008B68A1"/>
    <w:rsid w:val="008B6F31"/>
    <w:rsid w:val="008D2F7D"/>
    <w:rsid w:val="008D52B8"/>
    <w:rsid w:val="008F36AC"/>
    <w:rsid w:val="008F418F"/>
    <w:rsid w:val="008F4743"/>
    <w:rsid w:val="00903500"/>
    <w:rsid w:val="00904BD8"/>
    <w:rsid w:val="00936DB6"/>
    <w:rsid w:val="009379A8"/>
    <w:rsid w:val="00943B75"/>
    <w:rsid w:val="00953DAB"/>
    <w:rsid w:val="009604D6"/>
    <w:rsid w:val="0097378A"/>
    <w:rsid w:val="00975872"/>
    <w:rsid w:val="00975A90"/>
    <w:rsid w:val="00984E3B"/>
    <w:rsid w:val="00995BA1"/>
    <w:rsid w:val="009B22BB"/>
    <w:rsid w:val="009B3827"/>
    <w:rsid w:val="009C179B"/>
    <w:rsid w:val="009D07BD"/>
    <w:rsid w:val="009E2368"/>
    <w:rsid w:val="00A00038"/>
    <w:rsid w:val="00A04AEB"/>
    <w:rsid w:val="00A06ED0"/>
    <w:rsid w:val="00A233D5"/>
    <w:rsid w:val="00A264AD"/>
    <w:rsid w:val="00A26CD4"/>
    <w:rsid w:val="00A31C28"/>
    <w:rsid w:val="00A645EE"/>
    <w:rsid w:val="00A65B70"/>
    <w:rsid w:val="00A669BC"/>
    <w:rsid w:val="00A67903"/>
    <w:rsid w:val="00A731A1"/>
    <w:rsid w:val="00A8461A"/>
    <w:rsid w:val="00A904AD"/>
    <w:rsid w:val="00A942C0"/>
    <w:rsid w:val="00AA72CD"/>
    <w:rsid w:val="00AC781C"/>
    <w:rsid w:val="00AD2463"/>
    <w:rsid w:val="00AD7083"/>
    <w:rsid w:val="00AE43CE"/>
    <w:rsid w:val="00AE73C8"/>
    <w:rsid w:val="00AF45D9"/>
    <w:rsid w:val="00B04A8C"/>
    <w:rsid w:val="00B165F9"/>
    <w:rsid w:val="00B45558"/>
    <w:rsid w:val="00B52070"/>
    <w:rsid w:val="00B552DD"/>
    <w:rsid w:val="00B95D41"/>
    <w:rsid w:val="00B95FB2"/>
    <w:rsid w:val="00B977C7"/>
    <w:rsid w:val="00BB0960"/>
    <w:rsid w:val="00BB775E"/>
    <w:rsid w:val="00BC043A"/>
    <w:rsid w:val="00BE25F6"/>
    <w:rsid w:val="00BE335E"/>
    <w:rsid w:val="00BE3EAC"/>
    <w:rsid w:val="00C000CF"/>
    <w:rsid w:val="00C00E40"/>
    <w:rsid w:val="00C0464D"/>
    <w:rsid w:val="00C051EB"/>
    <w:rsid w:val="00C059FC"/>
    <w:rsid w:val="00C129BF"/>
    <w:rsid w:val="00C2518B"/>
    <w:rsid w:val="00C26991"/>
    <w:rsid w:val="00C27767"/>
    <w:rsid w:val="00C27802"/>
    <w:rsid w:val="00C37CE2"/>
    <w:rsid w:val="00C5674C"/>
    <w:rsid w:val="00C57F12"/>
    <w:rsid w:val="00C67C46"/>
    <w:rsid w:val="00C736BC"/>
    <w:rsid w:val="00C82F1E"/>
    <w:rsid w:val="00C941C4"/>
    <w:rsid w:val="00C94C09"/>
    <w:rsid w:val="00C95932"/>
    <w:rsid w:val="00CB563F"/>
    <w:rsid w:val="00CB7B05"/>
    <w:rsid w:val="00CC224C"/>
    <w:rsid w:val="00CD068F"/>
    <w:rsid w:val="00CF3291"/>
    <w:rsid w:val="00D05E80"/>
    <w:rsid w:val="00D06D0D"/>
    <w:rsid w:val="00D077F4"/>
    <w:rsid w:val="00D157F3"/>
    <w:rsid w:val="00D20A7C"/>
    <w:rsid w:val="00D27471"/>
    <w:rsid w:val="00D369B3"/>
    <w:rsid w:val="00D41FF8"/>
    <w:rsid w:val="00D502A0"/>
    <w:rsid w:val="00D61610"/>
    <w:rsid w:val="00D753C6"/>
    <w:rsid w:val="00D8537B"/>
    <w:rsid w:val="00D860AE"/>
    <w:rsid w:val="00D92191"/>
    <w:rsid w:val="00D93D60"/>
    <w:rsid w:val="00D94BEE"/>
    <w:rsid w:val="00DA2614"/>
    <w:rsid w:val="00DA5C6B"/>
    <w:rsid w:val="00DC083A"/>
    <w:rsid w:val="00DF0B25"/>
    <w:rsid w:val="00DF4E64"/>
    <w:rsid w:val="00E00DF2"/>
    <w:rsid w:val="00E528D7"/>
    <w:rsid w:val="00E638B0"/>
    <w:rsid w:val="00E64D9D"/>
    <w:rsid w:val="00E67924"/>
    <w:rsid w:val="00E8190D"/>
    <w:rsid w:val="00E838B5"/>
    <w:rsid w:val="00E8754A"/>
    <w:rsid w:val="00EA1B24"/>
    <w:rsid w:val="00EB0809"/>
    <w:rsid w:val="00EB085F"/>
    <w:rsid w:val="00EB0DD3"/>
    <w:rsid w:val="00EB57FE"/>
    <w:rsid w:val="00ED3941"/>
    <w:rsid w:val="00EE1D8D"/>
    <w:rsid w:val="00EE7113"/>
    <w:rsid w:val="00EF4B88"/>
    <w:rsid w:val="00F35A11"/>
    <w:rsid w:val="00F40548"/>
    <w:rsid w:val="00F43429"/>
    <w:rsid w:val="00F438BD"/>
    <w:rsid w:val="00F618EF"/>
    <w:rsid w:val="00F6202E"/>
    <w:rsid w:val="00F76A68"/>
    <w:rsid w:val="00F84F91"/>
    <w:rsid w:val="00F8673A"/>
    <w:rsid w:val="00F97AA0"/>
    <w:rsid w:val="00FA7AFB"/>
    <w:rsid w:val="00FB357F"/>
    <w:rsid w:val="00FB57DC"/>
    <w:rsid w:val="00FC13A6"/>
    <w:rsid w:val="00FC35A7"/>
    <w:rsid w:val="00FE092D"/>
    <w:rsid w:val="00FE6C5C"/>
    <w:rsid w:val="00FF2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5A62B1"/>
  <w15:chartTrackingRefBased/>
  <w15:docId w15:val="{5B2FDCA4-12C2-4553-9915-612E8AB34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127B"/>
    <w:pPr>
      <w:spacing w:after="0" w:line="340" w:lineRule="atLeast"/>
      <w:jc w:val="both"/>
    </w:pPr>
    <w:rPr>
      <w:rFonts w:ascii="Times New Roman" w:eastAsia="Times New Roman" w:hAnsi="Times New Roman" w:cs="Times New Roman"/>
      <w:color w:val="000000"/>
      <w:sz w:val="24"/>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basedOn w:val="MDPI31text"/>
    <w:next w:val="MDPI12title"/>
    <w:qFormat/>
    <w:rsid w:val="0014127B"/>
    <w:pPr>
      <w:spacing w:before="240" w:line="240" w:lineRule="auto"/>
      <w:ind w:firstLine="0"/>
      <w:jc w:val="left"/>
    </w:pPr>
    <w:rPr>
      <w:i/>
    </w:rPr>
  </w:style>
  <w:style w:type="paragraph" w:customStyle="1" w:styleId="MDPI12title">
    <w:name w:val="MDPI_1.2_title"/>
    <w:next w:val="MDPI13authornames"/>
    <w:qFormat/>
    <w:rsid w:val="0014127B"/>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basedOn w:val="MDPI31text"/>
    <w:next w:val="MDPI14history"/>
    <w:qFormat/>
    <w:rsid w:val="0014127B"/>
    <w:pPr>
      <w:spacing w:after="120"/>
      <w:ind w:firstLine="0"/>
      <w:jc w:val="left"/>
    </w:pPr>
    <w:rPr>
      <w:b/>
      <w:snapToGrid/>
    </w:rPr>
  </w:style>
  <w:style w:type="paragraph" w:customStyle="1" w:styleId="MDPI14history">
    <w:name w:val="MDPI_1.4_history"/>
    <w:basedOn w:val="MDPI62Acknowledgments"/>
    <w:next w:val="Normal"/>
    <w:qFormat/>
    <w:rsid w:val="0014127B"/>
    <w:pPr>
      <w:ind w:left="113"/>
      <w:jc w:val="left"/>
    </w:pPr>
    <w:rPr>
      <w:snapToGrid/>
    </w:rPr>
  </w:style>
  <w:style w:type="paragraph" w:customStyle="1" w:styleId="MDPI16affiliation">
    <w:name w:val="MDPI_1.6_affiliation"/>
    <w:basedOn w:val="MDPI62Acknowledgments"/>
    <w:qFormat/>
    <w:rsid w:val="0014127B"/>
    <w:pPr>
      <w:spacing w:before="0"/>
      <w:ind w:left="311" w:hanging="198"/>
      <w:jc w:val="left"/>
    </w:pPr>
    <w:rPr>
      <w:snapToGrid/>
      <w:szCs w:val="18"/>
    </w:rPr>
  </w:style>
  <w:style w:type="paragraph" w:customStyle="1" w:styleId="MDPI17abstract">
    <w:name w:val="MDPI_1.7_abstract"/>
    <w:basedOn w:val="MDPI31text"/>
    <w:next w:val="MDPI18keywords"/>
    <w:qFormat/>
    <w:rsid w:val="0014127B"/>
    <w:pPr>
      <w:spacing w:before="240"/>
      <w:ind w:left="113" w:firstLine="0"/>
    </w:pPr>
    <w:rPr>
      <w:snapToGrid/>
    </w:rPr>
  </w:style>
  <w:style w:type="paragraph" w:customStyle="1" w:styleId="MDPI18keywords">
    <w:name w:val="MDPI_1.8_keywords"/>
    <w:basedOn w:val="MDPI31text"/>
    <w:next w:val="Normal"/>
    <w:qFormat/>
    <w:rsid w:val="0014127B"/>
    <w:pPr>
      <w:spacing w:before="240"/>
      <w:ind w:left="113" w:firstLine="0"/>
    </w:pPr>
  </w:style>
  <w:style w:type="paragraph" w:customStyle="1" w:styleId="MDPI19line">
    <w:name w:val="MDPI_1.9_line"/>
    <w:basedOn w:val="MDPI31text"/>
    <w:qFormat/>
    <w:rsid w:val="0014127B"/>
    <w:pPr>
      <w:pBdr>
        <w:bottom w:val="single" w:sz="6" w:space="1" w:color="auto"/>
      </w:pBdr>
      <w:ind w:firstLine="0"/>
    </w:pPr>
    <w:rPr>
      <w:snapToGrid/>
      <w:szCs w:val="24"/>
    </w:rPr>
  </w:style>
  <w:style w:type="table" w:customStyle="1" w:styleId="Mdeck5tablebodythreelines">
    <w:name w:val="M_deck_5_table_body_three_lines"/>
    <w:basedOn w:val="TableNormal"/>
    <w:uiPriority w:val="99"/>
    <w:rsid w:val="0014127B"/>
    <w:pPr>
      <w:adjustRightInd w:val="0"/>
      <w:snapToGrid w:val="0"/>
      <w:spacing w:after="0" w:line="300" w:lineRule="exact"/>
      <w:jc w:val="center"/>
    </w:pPr>
    <w:rPr>
      <w:rFonts w:ascii="Times New Roman" w:eastAsia="SimSun" w:hAnsi="Times New Roman" w:cs="Times New Roman"/>
      <w:sz w:val="20"/>
      <w:szCs w:val="20"/>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rsid w:val="0014127B"/>
    <w:pPr>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14127B"/>
    <w:pPr>
      <w:tabs>
        <w:tab w:val="center" w:pos="4153"/>
        <w:tab w:val="right" w:pos="8306"/>
      </w:tabs>
      <w:snapToGrid w:val="0"/>
      <w:spacing w:line="240" w:lineRule="atLeast"/>
    </w:pPr>
    <w:rPr>
      <w:sz w:val="18"/>
      <w:szCs w:val="18"/>
    </w:rPr>
  </w:style>
  <w:style w:type="character" w:customStyle="1" w:styleId="FooterChar">
    <w:name w:val="Footer Char"/>
    <w:link w:val="Footer"/>
    <w:uiPriority w:val="99"/>
    <w:rsid w:val="0014127B"/>
    <w:rPr>
      <w:rFonts w:ascii="Times New Roman" w:eastAsia="Times New Roman" w:hAnsi="Times New Roman" w:cs="Times New Roman"/>
      <w:color w:val="000000"/>
      <w:sz w:val="18"/>
      <w:szCs w:val="18"/>
      <w:lang w:eastAsia="de-DE"/>
    </w:rPr>
  </w:style>
  <w:style w:type="paragraph" w:styleId="Header">
    <w:name w:val="header"/>
    <w:basedOn w:val="Normal"/>
    <w:link w:val="HeaderChar"/>
    <w:uiPriority w:val="99"/>
    <w:rsid w:val="0014127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link w:val="Header"/>
    <w:uiPriority w:val="99"/>
    <w:rsid w:val="0014127B"/>
    <w:rPr>
      <w:rFonts w:ascii="Times New Roman" w:eastAsia="Times New Roman" w:hAnsi="Times New Roman" w:cs="Times New Roman"/>
      <w:color w:val="000000"/>
      <w:sz w:val="18"/>
      <w:szCs w:val="18"/>
      <w:lang w:eastAsia="de-DE"/>
    </w:rPr>
  </w:style>
  <w:style w:type="paragraph" w:customStyle="1" w:styleId="MDPIheaderjournallogo">
    <w:name w:val="MDPI_header_journal_logo"/>
    <w:qFormat/>
    <w:rsid w:val="0014127B"/>
    <w:pPr>
      <w:adjustRightInd w:val="0"/>
      <w:snapToGrid w:val="0"/>
      <w:spacing w:after="0" w:line="240" w:lineRule="auto"/>
    </w:pPr>
    <w:rPr>
      <w:rFonts w:ascii="Palatino Linotype" w:eastAsia="Times New Roman" w:hAnsi="Palatino Linotype" w:cs="Times New Roman"/>
      <w:i/>
      <w:color w:val="000000"/>
      <w:sz w:val="24"/>
      <w:lang w:eastAsia="de-CH"/>
    </w:rPr>
  </w:style>
  <w:style w:type="paragraph" w:customStyle="1" w:styleId="MDPI32textnoindent">
    <w:name w:val="MDPI_3.2_text_no_indent"/>
    <w:basedOn w:val="MDPI31text"/>
    <w:qFormat/>
    <w:rsid w:val="0014127B"/>
    <w:pPr>
      <w:ind w:firstLine="0"/>
    </w:pPr>
  </w:style>
  <w:style w:type="paragraph" w:customStyle="1" w:styleId="MDPI33textspaceafter">
    <w:name w:val="MDPI_3.3_text_space_after"/>
    <w:basedOn w:val="MDPI31text"/>
    <w:qFormat/>
    <w:rsid w:val="0014127B"/>
    <w:pPr>
      <w:spacing w:after="240"/>
    </w:pPr>
  </w:style>
  <w:style w:type="paragraph" w:customStyle="1" w:styleId="MDPI35textbeforelist">
    <w:name w:val="MDPI_3.5_text_before_list"/>
    <w:basedOn w:val="MDPI31text"/>
    <w:qFormat/>
    <w:rsid w:val="0014127B"/>
    <w:pPr>
      <w:spacing w:after="120"/>
    </w:pPr>
  </w:style>
  <w:style w:type="paragraph" w:customStyle="1" w:styleId="MDPI36textafterlist">
    <w:name w:val="MDPI_3.6_text_after_list"/>
    <w:basedOn w:val="MDPI31text"/>
    <w:qFormat/>
    <w:rsid w:val="0014127B"/>
    <w:pPr>
      <w:spacing w:before="120"/>
    </w:pPr>
  </w:style>
  <w:style w:type="paragraph" w:customStyle="1" w:styleId="MDPI37itemize">
    <w:name w:val="MDPI_3.7_itemize"/>
    <w:basedOn w:val="MDPI31text"/>
    <w:qFormat/>
    <w:rsid w:val="0014127B"/>
    <w:pPr>
      <w:numPr>
        <w:numId w:val="1"/>
      </w:numPr>
      <w:ind w:left="425" w:hanging="425"/>
    </w:pPr>
  </w:style>
  <w:style w:type="paragraph" w:customStyle="1" w:styleId="MDPI38bullet">
    <w:name w:val="MDPI_3.8_bullet"/>
    <w:basedOn w:val="MDPI31text"/>
    <w:qFormat/>
    <w:rsid w:val="0014127B"/>
    <w:pPr>
      <w:numPr>
        <w:numId w:val="2"/>
      </w:numPr>
      <w:ind w:left="425" w:hanging="425"/>
    </w:pPr>
  </w:style>
  <w:style w:type="paragraph" w:customStyle="1" w:styleId="MDPI39equation">
    <w:name w:val="MDPI_3.9_equation"/>
    <w:basedOn w:val="MDPI31text"/>
    <w:qFormat/>
    <w:rsid w:val="0014127B"/>
    <w:pPr>
      <w:spacing w:before="120" w:after="120"/>
      <w:ind w:left="709" w:firstLine="0"/>
      <w:jc w:val="center"/>
    </w:pPr>
  </w:style>
  <w:style w:type="paragraph" w:customStyle="1" w:styleId="MDPI3aequationnumber">
    <w:name w:val="MDPI_3.a_equation_number"/>
    <w:basedOn w:val="MDPI31text"/>
    <w:qFormat/>
    <w:rsid w:val="0014127B"/>
    <w:pPr>
      <w:spacing w:before="120" w:after="120" w:line="240" w:lineRule="auto"/>
      <w:ind w:firstLine="0"/>
      <w:jc w:val="right"/>
    </w:pPr>
  </w:style>
  <w:style w:type="paragraph" w:customStyle="1" w:styleId="MDPI62Acknowledgments">
    <w:name w:val="MDPI_6.2_Acknowledgments"/>
    <w:qFormat/>
    <w:rsid w:val="0014127B"/>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41tablecaption">
    <w:name w:val="MDPI_4.1_table_caption"/>
    <w:basedOn w:val="MDPI62Acknowledgments"/>
    <w:qFormat/>
    <w:rsid w:val="0014127B"/>
    <w:pPr>
      <w:spacing w:before="240" w:after="120" w:line="260" w:lineRule="atLeast"/>
      <w:ind w:left="425" w:right="425"/>
    </w:pPr>
    <w:rPr>
      <w:snapToGrid/>
      <w:szCs w:val="22"/>
    </w:rPr>
  </w:style>
  <w:style w:type="paragraph" w:customStyle="1" w:styleId="MDPI42tablebody">
    <w:name w:val="MDPI_4.2_table_body"/>
    <w:qFormat/>
    <w:rsid w:val="0014127B"/>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43tablefooter">
    <w:name w:val="MDPI_4.3_table_footer"/>
    <w:basedOn w:val="MDPI41tablecaption"/>
    <w:next w:val="MDPI31text"/>
    <w:qFormat/>
    <w:rsid w:val="0014127B"/>
    <w:pPr>
      <w:spacing w:before="0"/>
      <w:ind w:left="0" w:right="0"/>
    </w:pPr>
  </w:style>
  <w:style w:type="paragraph" w:customStyle="1" w:styleId="MDPI51figurecaption">
    <w:name w:val="MDPI_5.1_figure_caption"/>
    <w:basedOn w:val="MDPI62Acknowledgments"/>
    <w:qFormat/>
    <w:rsid w:val="0014127B"/>
    <w:pPr>
      <w:spacing w:after="240" w:line="260" w:lineRule="atLeast"/>
      <w:ind w:left="425" w:right="425"/>
    </w:pPr>
    <w:rPr>
      <w:snapToGrid/>
    </w:rPr>
  </w:style>
  <w:style w:type="paragraph" w:customStyle="1" w:styleId="MDPI52figure">
    <w:name w:val="MDPI_5.2_figure"/>
    <w:qFormat/>
    <w:rsid w:val="0014127B"/>
    <w:pPr>
      <w:spacing w:after="0" w:line="240" w:lineRule="auto"/>
      <w:jc w:val="center"/>
    </w:pPr>
    <w:rPr>
      <w:rFonts w:ascii="Palatino Linotype" w:eastAsia="Times New Roman" w:hAnsi="Palatino Linotype" w:cs="Times New Roman"/>
      <w:snapToGrid w:val="0"/>
      <w:color w:val="000000"/>
      <w:sz w:val="24"/>
      <w:szCs w:val="20"/>
      <w:lang w:eastAsia="de-DE" w:bidi="en-US"/>
    </w:rPr>
  </w:style>
  <w:style w:type="paragraph" w:customStyle="1" w:styleId="MDPI61Supplementary">
    <w:name w:val="MDPI_6.1_Supplementary"/>
    <w:basedOn w:val="MDPI62Acknowledgments"/>
    <w:qFormat/>
    <w:rsid w:val="0014127B"/>
    <w:pPr>
      <w:spacing w:before="240"/>
    </w:pPr>
    <w:rPr>
      <w:lang w:eastAsia="en-US"/>
    </w:rPr>
  </w:style>
  <w:style w:type="paragraph" w:customStyle="1" w:styleId="MDPI63AuthorContributions">
    <w:name w:val="MDPI_6.3_AuthorContributions"/>
    <w:basedOn w:val="MDPI62Acknowledgments"/>
    <w:qFormat/>
    <w:rsid w:val="0014127B"/>
    <w:rPr>
      <w:rFonts w:eastAsia="SimSun"/>
      <w:color w:val="auto"/>
      <w:lang w:eastAsia="en-US"/>
    </w:rPr>
  </w:style>
  <w:style w:type="paragraph" w:customStyle="1" w:styleId="MDPI64CoI">
    <w:name w:val="MDPI_6.4_CoI"/>
    <w:basedOn w:val="MDPI62Acknowledgments"/>
    <w:qFormat/>
    <w:rsid w:val="0014127B"/>
  </w:style>
  <w:style w:type="paragraph" w:customStyle="1" w:styleId="MDPIfooterfirstpage">
    <w:name w:val="MDPI_footer_firstpage"/>
    <w:basedOn w:val="Normal"/>
    <w:qFormat/>
    <w:rsid w:val="0014127B"/>
    <w:pPr>
      <w:tabs>
        <w:tab w:val="right" w:pos="8845"/>
      </w:tabs>
      <w:adjustRightInd w:val="0"/>
      <w:snapToGrid w:val="0"/>
      <w:spacing w:before="120" w:line="160" w:lineRule="exact"/>
      <w:jc w:val="left"/>
    </w:pPr>
    <w:rPr>
      <w:rFonts w:ascii="Palatino Linotype" w:hAnsi="Palatino Linotype"/>
      <w:color w:val="auto"/>
      <w:sz w:val="16"/>
    </w:rPr>
  </w:style>
  <w:style w:type="paragraph" w:customStyle="1" w:styleId="MDPI31text">
    <w:name w:val="MDPI_3.1_text"/>
    <w:link w:val="MDPI31textChar"/>
    <w:qFormat/>
    <w:rsid w:val="0014127B"/>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customStyle="1" w:styleId="MDPI23heading3">
    <w:name w:val="MDPI_2.3_heading3"/>
    <w:basedOn w:val="MDPI31text"/>
    <w:qFormat/>
    <w:rsid w:val="0014127B"/>
    <w:pPr>
      <w:spacing w:before="240" w:after="120"/>
      <w:ind w:firstLine="0"/>
      <w:jc w:val="left"/>
      <w:outlineLvl w:val="2"/>
    </w:pPr>
  </w:style>
  <w:style w:type="paragraph" w:customStyle="1" w:styleId="MDPI21heading1">
    <w:name w:val="MDPI_2.1_heading1"/>
    <w:basedOn w:val="MDPI23heading3"/>
    <w:qFormat/>
    <w:rsid w:val="0014127B"/>
    <w:pPr>
      <w:outlineLvl w:val="0"/>
    </w:pPr>
    <w:rPr>
      <w:b/>
    </w:rPr>
  </w:style>
  <w:style w:type="paragraph" w:customStyle="1" w:styleId="MDPI22heading2">
    <w:name w:val="MDPI_2.2_heading2"/>
    <w:basedOn w:val="Normal"/>
    <w:qFormat/>
    <w:rsid w:val="0014127B"/>
    <w:pPr>
      <w:kinsoku w:val="0"/>
      <w:overflowPunct w:val="0"/>
      <w:autoSpaceDE w:val="0"/>
      <w:autoSpaceDN w:val="0"/>
      <w:adjustRightInd w:val="0"/>
      <w:snapToGrid w:val="0"/>
      <w:spacing w:before="240" w:after="120" w:line="260" w:lineRule="atLeast"/>
      <w:jc w:val="left"/>
      <w:outlineLvl w:val="1"/>
    </w:pPr>
    <w:rPr>
      <w:rFonts w:ascii="Palatino Linotype" w:hAnsi="Palatino Linotype"/>
      <w:i/>
      <w:noProof/>
      <w:snapToGrid w:val="0"/>
      <w:sz w:val="20"/>
      <w:szCs w:val="22"/>
      <w:lang w:bidi="en-US"/>
    </w:rPr>
  </w:style>
  <w:style w:type="paragraph" w:customStyle="1" w:styleId="MDPI71References">
    <w:name w:val="MDPI_7.1_References"/>
    <w:basedOn w:val="MDPI62Acknowledgments"/>
    <w:qFormat/>
    <w:rsid w:val="0014127B"/>
    <w:pPr>
      <w:numPr>
        <w:numId w:val="3"/>
      </w:numPr>
      <w:spacing w:before="0" w:line="260" w:lineRule="atLeast"/>
      <w:ind w:left="425" w:hanging="425"/>
    </w:pPr>
  </w:style>
  <w:style w:type="paragraph" w:styleId="BalloonText">
    <w:name w:val="Balloon Text"/>
    <w:basedOn w:val="Normal"/>
    <w:link w:val="BalloonTextChar"/>
    <w:uiPriority w:val="99"/>
    <w:semiHidden/>
    <w:unhideWhenUsed/>
    <w:rsid w:val="0014127B"/>
    <w:pPr>
      <w:spacing w:line="240" w:lineRule="auto"/>
    </w:pPr>
    <w:rPr>
      <w:sz w:val="18"/>
      <w:szCs w:val="18"/>
    </w:rPr>
  </w:style>
  <w:style w:type="character" w:customStyle="1" w:styleId="BalloonTextChar">
    <w:name w:val="Balloon Text Char"/>
    <w:link w:val="BalloonText"/>
    <w:uiPriority w:val="99"/>
    <w:semiHidden/>
    <w:rsid w:val="0014127B"/>
    <w:rPr>
      <w:rFonts w:ascii="Times New Roman" w:eastAsia="Times New Roman" w:hAnsi="Times New Roman" w:cs="Times New Roman"/>
      <w:color w:val="000000"/>
      <w:sz w:val="18"/>
      <w:szCs w:val="18"/>
      <w:lang w:eastAsia="de-DE"/>
    </w:rPr>
  </w:style>
  <w:style w:type="character" w:styleId="LineNumber">
    <w:name w:val="line number"/>
    <w:basedOn w:val="DefaultParagraphFont"/>
    <w:uiPriority w:val="99"/>
    <w:semiHidden/>
    <w:unhideWhenUsed/>
    <w:rsid w:val="0014127B"/>
  </w:style>
  <w:style w:type="table" w:customStyle="1" w:styleId="MDPI41threelinetable">
    <w:name w:val="MDPI_4.1_three_line_table"/>
    <w:basedOn w:val="TableNormal"/>
    <w:uiPriority w:val="99"/>
    <w:rsid w:val="0014127B"/>
    <w:pPr>
      <w:adjustRightInd w:val="0"/>
      <w:snapToGrid w:val="0"/>
      <w:spacing w:after="0" w:line="240" w:lineRule="auto"/>
      <w:jc w:val="center"/>
    </w:pPr>
    <w:rPr>
      <w:rFonts w:ascii="Palatino Linotype" w:eastAsia="SimSun" w:hAnsi="Palatino Linotype" w:cs="Times New Roman"/>
      <w:color w:val="000000"/>
      <w:sz w:val="20"/>
      <w:szCs w:val="20"/>
    </w:rPr>
    <w:tblPr>
      <w:jc w:val="center"/>
      <w:tblInd w:w="0" w:type="dxa"/>
      <w:tblBorders>
        <w:top w:val="single" w:sz="8" w:space="0" w:color="auto"/>
        <w:bottom w:val="single" w:sz="8" w:space="0" w:color="auto"/>
      </w:tblBorders>
      <w:tblCellMar>
        <w:top w:w="0" w:type="dxa"/>
        <w:left w:w="108" w:type="dxa"/>
        <w:bottom w:w="0" w:type="dxa"/>
        <w:right w:w="108" w:type="dxa"/>
      </w:tblCellMar>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character" w:styleId="Hyperlink">
    <w:name w:val="Hyperlink"/>
    <w:uiPriority w:val="99"/>
    <w:unhideWhenUsed/>
    <w:rsid w:val="002440C4"/>
    <w:rPr>
      <w:rFonts w:ascii="Times New Roman" w:hAnsi="Times New Roman"/>
      <w:color w:val="0719BF"/>
      <w:sz w:val="22"/>
      <w:u w:val="none"/>
      <w:vertAlign w:val="superscript"/>
    </w:rPr>
  </w:style>
  <w:style w:type="character" w:customStyle="1" w:styleId="UnresolvedMention1">
    <w:name w:val="Unresolved Mention1"/>
    <w:uiPriority w:val="99"/>
    <w:semiHidden/>
    <w:unhideWhenUsed/>
    <w:rsid w:val="0014127B"/>
    <w:rPr>
      <w:color w:val="605E5C"/>
      <w:shd w:val="clear" w:color="auto" w:fill="E1DFDD"/>
    </w:rPr>
  </w:style>
  <w:style w:type="table" w:styleId="PlainTable4">
    <w:name w:val="Plain Table 4"/>
    <w:basedOn w:val="TableNormal"/>
    <w:uiPriority w:val="44"/>
    <w:rsid w:val="0014127B"/>
    <w:pPr>
      <w:spacing w:after="0" w:line="240" w:lineRule="auto"/>
    </w:pPr>
    <w:rPr>
      <w:rFonts w:ascii="Calibri" w:eastAsia="SimSun"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CommentText">
    <w:name w:val="annotation text"/>
    <w:basedOn w:val="Normal"/>
    <w:link w:val="CommentTextChar"/>
    <w:uiPriority w:val="99"/>
    <w:semiHidden/>
    <w:unhideWhenUsed/>
    <w:rsid w:val="0014127B"/>
    <w:pPr>
      <w:spacing w:line="240" w:lineRule="auto"/>
    </w:pPr>
    <w:rPr>
      <w:sz w:val="20"/>
    </w:rPr>
  </w:style>
  <w:style w:type="character" w:customStyle="1" w:styleId="CommentTextChar">
    <w:name w:val="Comment Text Char"/>
    <w:basedOn w:val="DefaultParagraphFont"/>
    <w:link w:val="CommentText"/>
    <w:uiPriority w:val="99"/>
    <w:semiHidden/>
    <w:rsid w:val="0014127B"/>
    <w:rPr>
      <w:rFonts w:ascii="Times New Roman" w:eastAsia="Times New Roman" w:hAnsi="Times New Roman" w:cs="Times New Roman"/>
      <w:color w:val="000000"/>
      <w:sz w:val="20"/>
      <w:szCs w:val="20"/>
      <w:lang w:eastAsia="de-DE"/>
    </w:rPr>
  </w:style>
  <w:style w:type="character" w:styleId="CommentReference">
    <w:name w:val="annotation reference"/>
    <w:uiPriority w:val="99"/>
    <w:semiHidden/>
    <w:unhideWhenUsed/>
    <w:rsid w:val="0014127B"/>
    <w:rPr>
      <w:sz w:val="16"/>
      <w:szCs w:val="16"/>
    </w:rPr>
  </w:style>
  <w:style w:type="table" w:styleId="GridTable1Light">
    <w:name w:val="Grid Table 1 Light"/>
    <w:basedOn w:val="TableNormal"/>
    <w:uiPriority w:val="46"/>
    <w:rsid w:val="0014127B"/>
    <w:pPr>
      <w:spacing w:after="0" w:line="240" w:lineRule="auto"/>
    </w:pPr>
    <w:rPr>
      <w:rFonts w:ascii="Calibri" w:eastAsia="SimSun" w:hAnsi="Calibri" w:cs="Times New Roman"/>
      <w:sz w:val="20"/>
      <w:szCs w:val="20"/>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14127B"/>
    <w:pPr>
      <w:spacing w:after="0" w:line="240" w:lineRule="auto"/>
    </w:pPr>
    <w:rPr>
      <w:rFonts w:ascii="Calibri" w:eastAsia="SimSun" w:hAnsi="Calibri" w:cs="Times New Roman"/>
      <w:sz w:val="20"/>
      <w:szCs w:val="20"/>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Normal"/>
    <w:link w:val="EndNoteBibliographyTitleChar"/>
    <w:autoRedefine/>
    <w:rsid w:val="001246AE"/>
    <w:pPr>
      <w:jc w:val="left"/>
    </w:pPr>
    <w:rPr>
      <w:rFonts w:ascii="Palatino Linotype" w:hAnsi="Palatino Linotype"/>
      <w:b/>
      <w:noProof/>
      <w:sz w:val="18"/>
      <w:lang w:val="de-DE" w:bidi="en-US"/>
    </w:rPr>
  </w:style>
  <w:style w:type="character" w:customStyle="1" w:styleId="MDPI31textChar">
    <w:name w:val="MDPI_3.1_text Char"/>
    <w:basedOn w:val="DefaultParagraphFont"/>
    <w:link w:val="MDPI31text"/>
    <w:rsid w:val="0014127B"/>
    <w:rPr>
      <w:rFonts w:ascii="Palatino Linotype" w:eastAsia="Times New Roman" w:hAnsi="Palatino Linotype" w:cs="Times New Roman"/>
      <w:snapToGrid w:val="0"/>
      <w:color w:val="000000"/>
      <w:sz w:val="20"/>
      <w:lang w:eastAsia="de-DE" w:bidi="en-US"/>
    </w:rPr>
  </w:style>
  <w:style w:type="character" w:customStyle="1" w:styleId="EndNoteBibliographyTitleChar">
    <w:name w:val="EndNote Bibliography Title Char"/>
    <w:basedOn w:val="MDPI31textChar"/>
    <w:link w:val="EndNoteBibliographyTitle"/>
    <w:rsid w:val="001246AE"/>
    <w:rPr>
      <w:rFonts w:ascii="Palatino Linotype" w:eastAsia="Times New Roman" w:hAnsi="Palatino Linotype" w:cs="Times New Roman"/>
      <w:b/>
      <w:noProof/>
      <w:snapToGrid/>
      <w:color w:val="000000"/>
      <w:sz w:val="18"/>
      <w:szCs w:val="20"/>
      <w:lang w:val="de-DE" w:eastAsia="de-DE" w:bidi="en-US"/>
    </w:rPr>
  </w:style>
  <w:style w:type="paragraph" w:customStyle="1" w:styleId="EndNoteBibliography">
    <w:name w:val="EndNote Bibliography"/>
    <w:basedOn w:val="Normal"/>
    <w:link w:val="EndNoteBibliographyChar"/>
    <w:rsid w:val="0014127B"/>
    <w:pPr>
      <w:spacing w:line="240" w:lineRule="atLeast"/>
    </w:pPr>
    <w:rPr>
      <w:rFonts w:ascii="Palatino Linotype" w:hAnsi="Palatino Linotype"/>
      <w:noProof/>
      <w:sz w:val="18"/>
      <w:lang w:val="de-DE" w:bidi="en-US"/>
    </w:rPr>
  </w:style>
  <w:style w:type="character" w:customStyle="1" w:styleId="EndNoteBibliographyChar">
    <w:name w:val="EndNote Bibliography Char"/>
    <w:basedOn w:val="MDPI31textChar"/>
    <w:link w:val="EndNoteBibliography"/>
    <w:rsid w:val="0014127B"/>
    <w:rPr>
      <w:rFonts w:ascii="Palatino Linotype" w:eastAsia="Times New Roman" w:hAnsi="Palatino Linotype" w:cs="Times New Roman"/>
      <w:noProof/>
      <w:snapToGrid/>
      <w:color w:val="000000"/>
      <w:sz w:val="18"/>
      <w:szCs w:val="20"/>
      <w:lang w:val="de-DE" w:eastAsia="de-DE" w:bidi="en-US"/>
    </w:rPr>
  </w:style>
  <w:style w:type="character" w:customStyle="1" w:styleId="UnresolvedMention2">
    <w:name w:val="Unresolved Mention2"/>
    <w:basedOn w:val="DefaultParagraphFont"/>
    <w:uiPriority w:val="99"/>
    <w:semiHidden/>
    <w:unhideWhenUsed/>
    <w:rsid w:val="0014127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4127B"/>
    <w:rPr>
      <w:b/>
      <w:bCs/>
    </w:rPr>
  </w:style>
  <w:style w:type="character" w:customStyle="1" w:styleId="CommentSubjectChar">
    <w:name w:val="Comment Subject Char"/>
    <w:basedOn w:val="CommentTextChar"/>
    <w:link w:val="CommentSubject"/>
    <w:uiPriority w:val="99"/>
    <w:semiHidden/>
    <w:rsid w:val="0014127B"/>
    <w:rPr>
      <w:rFonts w:ascii="Times New Roman" w:eastAsia="Times New Roman" w:hAnsi="Times New Roman" w:cs="Times New Roman"/>
      <w:b/>
      <w:bCs/>
      <w:color w:val="000000"/>
      <w:sz w:val="20"/>
      <w:szCs w:val="20"/>
      <w:lang w:eastAsia="de-DE"/>
    </w:rPr>
  </w:style>
  <w:style w:type="paragraph" w:styleId="Revision">
    <w:name w:val="Revision"/>
    <w:hidden/>
    <w:uiPriority w:val="99"/>
    <w:semiHidden/>
    <w:rsid w:val="0014127B"/>
    <w:pPr>
      <w:spacing w:after="0" w:line="240" w:lineRule="auto"/>
    </w:pPr>
    <w:rPr>
      <w:rFonts w:ascii="Times New Roman" w:eastAsia="Times New Roman" w:hAnsi="Times New Roman" w:cs="Times New Roman"/>
      <w:color w:val="000000"/>
      <w:sz w:val="24"/>
      <w:szCs w:val="20"/>
      <w:lang w:eastAsia="de-DE"/>
    </w:rPr>
  </w:style>
  <w:style w:type="character" w:customStyle="1" w:styleId="UnresolvedMention3">
    <w:name w:val="Unresolved Mention3"/>
    <w:basedOn w:val="DefaultParagraphFont"/>
    <w:uiPriority w:val="99"/>
    <w:semiHidden/>
    <w:unhideWhenUsed/>
    <w:rsid w:val="00904BD8"/>
    <w:rPr>
      <w:color w:val="605E5C"/>
      <w:shd w:val="clear" w:color="auto" w:fill="E1DFDD"/>
    </w:rPr>
  </w:style>
  <w:style w:type="character" w:customStyle="1" w:styleId="UnresolvedMention4">
    <w:name w:val="Unresolved Mention4"/>
    <w:basedOn w:val="DefaultParagraphFont"/>
    <w:uiPriority w:val="99"/>
    <w:semiHidden/>
    <w:unhideWhenUsed/>
    <w:rsid w:val="005A22E6"/>
    <w:rPr>
      <w:color w:val="605E5C"/>
      <w:shd w:val="clear" w:color="auto" w:fill="E1DFDD"/>
    </w:rPr>
  </w:style>
  <w:style w:type="character" w:customStyle="1" w:styleId="UnresolvedMention5">
    <w:name w:val="Unresolved Mention5"/>
    <w:basedOn w:val="DefaultParagraphFont"/>
    <w:uiPriority w:val="99"/>
    <w:semiHidden/>
    <w:unhideWhenUsed/>
    <w:rsid w:val="002440C4"/>
    <w:rPr>
      <w:color w:val="605E5C"/>
      <w:shd w:val="clear" w:color="auto" w:fill="E1DFDD"/>
    </w:rPr>
  </w:style>
  <w:style w:type="character" w:customStyle="1" w:styleId="UnresolvedMention">
    <w:name w:val="Unresolved Mention"/>
    <w:basedOn w:val="DefaultParagraphFont"/>
    <w:uiPriority w:val="99"/>
    <w:semiHidden/>
    <w:unhideWhenUsed/>
    <w:rsid w:val="00B95F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16/j.jag.2013.05.01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16/j.wace.2019.10022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7CBBF4A-B77A-4A57-A980-7422FE6A5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2306</Words>
  <Characters>13148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Lecturer</dc:creator>
  <cp:keywords/>
  <dc:description/>
  <cp:lastModifiedBy>Artan Hysa</cp:lastModifiedBy>
  <cp:revision>6</cp:revision>
  <cp:lastPrinted>2021-02-21T06:10:00Z</cp:lastPrinted>
  <dcterms:created xsi:type="dcterms:W3CDTF">2021-02-21T06:09:00Z</dcterms:created>
  <dcterms:modified xsi:type="dcterms:W3CDTF">2021-02-21T07:55:00Z</dcterms:modified>
</cp:coreProperties>
</file>