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E4B47" w14:textId="24131F85" w:rsidR="00944221" w:rsidRPr="00944221" w:rsidRDefault="00B27D98" w:rsidP="00944221">
      <w:pPr>
        <w:rPr>
          <w:rFonts w:asciiTheme="minorHAnsi" w:hAnsiTheme="minorHAnsi"/>
          <w:color w:val="000000" w:themeColor="text1"/>
          <w:lang w:val="en-US"/>
        </w:rPr>
      </w:pPr>
      <w:r>
        <w:rPr>
          <w:rFonts w:asciiTheme="minorHAnsi" w:hAnsiTheme="minorHAnsi"/>
          <w:color w:val="000000" w:themeColor="text1"/>
          <w:lang w:val="en-US"/>
        </w:rPr>
        <w:t xml:space="preserve">Supplementary Material - </w:t>
      </w:r>
      <w:r w:rsidR="00944221" w:rsidRPr="00944221">
        <w:rPr>
          <w:rFonts w:asciiTheme="minorHAnsi" w:hAnsiTheme="minorHAnsi"/>
          <w:color w:val="000000" w:themeColor="text1"/>
          <w:lang w:val="en-US"/>
        </w:rPr>
        <w:t xml:space="preserve">Case report: </w:t>
      </w:r>
    </w:p>
    <w:p w14:paraId="470AC4B9" w14:textId="77777777" w:rsidR="00944221" w:rsidRPr="00944221" w:rsidRDefault="00944221" w:rsidP="00944221">
      <w:pPr>
        <w:rPr>
          <w:rFonts w:asciiTheme="minorHAnsi" w:hAnsiTheme="minorHAnsi"/>
          <w:color w:val="000000" w:themeColor="text1"/>
          <w:lang w:val="en-US"/>
        </w:rPr>
      </w:pPr>
    </w:p>
    <w:p w14:paraId="0329D6A3" w14:textId="7B7D14C6" w:rsidR="00944221" w:rsidRDefault="00944221" w:rsidP="00944221">
      <w:pPr>
        <w:rPr>
          <w:rFonts w:asciiTheme="minorHAnsi" w:hAnsiTheme="minorHAnsi"/>
          <w:color w:val="000000" w:themeColor="text1"/>
          <w:lang w:val="en-US"/>
        </w:rPr>
      </w:pPr>
      <w:r w:rsidRPr="00944221">
        <w:rPr>
          <w:rFonts w:asciiTheme="minorHAnsi" w:hAnsiTheme="minorHAnsi"/>
          <w:color w:val="000000" w:themeColor="text1"/>
          <w:lang w:val="en-US"/>
        </w:rPr>
        <w:t xml:space="preserve">The intention of this case report is to show the general possibility to reveal malformations of ganglionic eminence causal for </w:t>
      </w:r>
      <w:proofErr w:type="spellStart"/>
      <w:r w:rsidRPr="00944221">
        <w:rPr>
          <w:rFonts w:asciiTheme="minorHAnsi" w:hAnsiTheme="minorHAnsi"/>
          <w:color w:val="000000" w:themeColor="text1"/>
          <w:lang w:val="en-US"/>
        </w:rPr>
        <w:t>migrational</w:t>
      </w:r>
      <w:proofErr w:type="spellEnd"/>
      <w:r w:rsidRPr="00944221">
        <w:rPr>
          <w:rFonts w:asciiTheme="minorHAnsi" w:hAnsiTheme="minorHAnsi"/>
          <w:color w:val="000000" w:themeColor="text1"/>
          <w:lang w:val="en-US"/>
        </w:rPr>
        <w:t xml:space="preserve"> disorders on ultrasound in GW 12 – 14, in this case accompanied by a dysplasia of the basal ganglia and the thalamus/hypothalamus at a CRL of 78 mm (fig.</w:t>
      </w:r>
      <w:r w:rsidR="007D3727">
        <w:rPr>
          <w:rFonts w:asciiTheme="minorHAnsi" w:hAnsiTheme="minorHAnsi"/>
          <w:color w:val="000000" w:themeColor="text1"/>
          <w:lang w:val="en-US"/>
        </w:rPr>
        <w:t>12</w:t>
      </w:r>
      <w:r w:rsidRPr="00944221">
        <w:rPr>
          <w:rFonts w:asciiTheme="minorHAnsi" w:hAnsiTheme="minorHAnsi"/>
          <w:color w:val="000000" w:themeColor="text1"/>
          <w:lang w:val="en-US"/>
        </w:rPr>
        <w:t xml:space="preserve">). The sum of the brain malformations presents as a typical cobblestone lissencephaly (lissencephaly type 2), resembling the Walker-Warburg syndrome well described by </w:t>
      </w:r>
      <w:proofErr w:type="spellStart"/>
      <w:r w:rsidRPr="00944221">
        <w:rPr>
          <w:rFonts w:asciiTheme="minorHAnsi" w:hAnsiTheme="minorHAnsi"/>
          <w:color w:val="000000" w:themeColor="text1"/>
          <w:lang w:val="en-US"/>
        </w:rPr>
        <w:t>Lacolm</w:t>
      </w:r>
      <w:proofErr w:type="spellEnd"/>
      <w:r w:rsidRPr="00944221">
        <w:rPr>
          <w:rFonts w:asciiTheme="minorHAnsi" w:hAnsiTheme="minorHAnsi"/>
          <w:color w:val="000000" w:themeColor="text1"/>
          <w:lang w:val="en-US"/>
        </w:rPr>
        <w:t xml:space="preserve"> A. with a large number of brain malformations, but also differing in some details. Especially the loss of the subarachnoid space associated with the "discrete band of </w:t>
      </w:r>
      <w:proofErr w:type="spellStart"/>
      <w:r w:rsidRPr="00944221">
        <w:rPr>
          <w:rFonts w:asciiTheme="minorHAnsi" w:hAnsiTheme="minorHAnsi"/>
          <w:color w:val="000000" w:themeColor="text1"/>
          <w:lang w:val="en-US"/>
        </w:rPr>
        <w:t>hyperechogenicity</w:t>
      </w:r>
      <w:proofErr w:type="spellEnd"/>
      <w:r w:rsidRPr="00944221">
        <w:rPr>
          <w:rFonts w:asciiTheme="minorHAnsi" w:hAnsiTheme="minorHAnsi"/>
          <w:color w:val="000000" w:themeColor="text1"/>
          <w:lang w:val="en-US"/>
        </w:rPr>
        <w:t xml:space="preserve">" can prove the diagnosis of cobblestone lissencephaly. The ultrasound changes were confirmed by targeted </w:t>
      </w:r>
      <w:proofErr w:type="spellStart"/>
      <w:r w:rsidRPr="00944221">
        <w:rPr>
          <w:rFonts w:asciiTheme="minorHAnsi" w:hAnsiTheme="minorHAnsi"/>
          <w:color w:val="000000" w:themeColor="text1"/>
          <w:lang w:val="en-US"/>
        </w:rPr>
        <w:t>neurosonography</w:t>
      </w:r>
      <w:proofErr w:type="spellEnd"/>
      <w:r w:rsidRPr="00944221">
        <w:rPr>
          <w:rFonts w:asciiTheme="minorHAnsi" w:hAnsiTheme="minorHAnsi"/>
          <w:color w:val="000000" w:themeColor="text1"/>
          <w:lang w:val="en-US"/>
        </w:rPr>
        <w:t xml:space="preserve"> at GW 16+3 after which the woman requested termination of the pregnancy (fig. </w:t>
      </w:r>
      <w:r w:rsidR="007D3727">
        <w:rPr>
          <w:rFonts w:asciiTheme="minorHAnsi" w:hAnsiTheme="minorHAnsi"/>
          <w:color w:val="000000" w:themeColor="text1"/>
          <w:lang w:val="en-US"/>
        </w:rPr>
        <w:t>13</w:t>
      </w:r>
      <w:r w:rsidRPr="00944221">
        <w:rPr>
          <w:rFonts w:asciiTheme="minorHAnsi" w:hAnsiTheme="minorHAnsi"/>
          <w:color w:val="000000" w:themeColor="text1"/>
          <w:lang w:val="en-US"/>
        </w:rPr>
        <w:t xml:space="preserve">). Genetic testing did not reveal any changes, in particular changes corresponding to the specific phenotype (including microarray, the panel </w:t>
      </w:r>
      <w:proofErr w:type="spellStart"/>
      <w:r w:rsidRPr="00944221">
        <w:rPr>
          <w:rFonts w:asciiTheme="minorHAnsi" w:hAnsiTheme="minorHAnsi"/>
          <w:color w:val="000000" w:themeColor="text1"/>
          <w:lang w:val="en-US"/>
        </w:rPr>
        <w:t>tubolinopathies</w:t>
      </w:r>
      <w:proofErr w:type="spellEnd"/>
      <w:r w:rsidRPr="00944221">
        <w:rPr>
          <w:rFonts w:asciiTheme="minorHAnsi" w:hAnsiTheme="minorHAnsi"/>
          <w:color w:val="000000" w:themeColor="text1"/>
          <w:lang w:val="en-US"/>
        </w:rPr>
        <w:t xml:space="preserve">, polymicrogyria, and the HPO term "basal ganglia abnormality"). </w:t>
      </w:r>
    </w:p>
    <w:p w14:paraId="73F88989" w14:textId="77777777" w:rsidR="000925B7" w:rsidRDefault="000925B7" w:rsidP="00944221">
      <w:pPr>
        <w:rPr>
          <w:rFonts w:asciiTheme="minorHAnsi" w:hAnsiTheme="minorHAnsi"/>
          <w:color w:val="000000" w:themeColor="text1"/>
          <w:lang w:val="en-US"/>
        </w:rPr>
      </w:pPr>
    </w:p>
    <w:p w14:paraId="4F457DA2" w14:textId="20C12F9A" w:rsidR="000925B7" w:rsidRDefault="000925B7" w:rsidP="00944221">
      <w:pPr>
        <w:rPr>
          <w:rFonts w:asciiTheme="minorHAnsi" w:hAnsiTheme="minorHAnsi"/>
          <w:b/>
          <w:bCs/>
          <w:color w:val="000000" w:themeColor="text1"/>
          <w:lang w:val="en-US"/>
        </w:rPr>
      </w:pPr>
      <w:r w:rsidRPr="000925B7">
        <w:rPr>
          <w:rFonts w:asciiTheme="minorHAnsi" w:hAnsiTheme="minorHAnsi"/>
          <w:b/>
          <w:bCs/>
          <w:color w:val="000000" w:themeColor="text1"/>
          <w:lang w:val="en-US"/>
        </w:rPr>
        <w:t>Description</w:t>
      </w:r>
    </w:p>
    <w:p w14:paraId="2E4BF0E7" w14:textId="77777777" w:rsidR="000925B7" w:rsidRPr="000925B7" w:rsidRDefault="000925B7" w:rsidP="00944221">
      <w:pPr>
        <w:rPr>
          <w:rFonts w:asciiTheme="minorHAnsi" w:hAnsiTheme="minorHAnsi"/>
          <w:b/>
          <w:bCs/>
          <w:color w:val="000000" w:themeColor="text1"/>
          <w:lang w:val="en-US"/>
        </w:rPr>
      </w:pPr>
    </w:p>
    <w:p w14:paraId="771BCE21" w14:textId="78DA9035" w:rsidR="00944221" w:rsidRPr="00944221" w:rsidRDefault="007D3727" w:rsidP="0094422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olor w:val="000000" w:themeColor="text1"/>
          <w:lang w:val="en-US"/>
        </w:rPr>
      </w:pPr>
      <w:r w:rsidRPr="007D3727">
        <w:rPr>
          <w:rFonts w:asciiTheme="minorHAnsi" w:hAnsiTheme="minorHAnsi"/>
          <w:b/>
          <w:bCs/>
          <w:color w:val="000000" w:themeColor="text1"/>
          <w:lang w:val="en-US"/>
        </w:rPr>
        <w:t>Fig12:</w:t>
      </w:r>
      <w:r>
        <w:rPr>
          <w:rFonts w:asciiTheme="minorHAnsi" w:hAnsiTheme="minorHAnsi"/>
          <w:color w:val="000000" w:themeColor="text1"/>
          <w:lang w:val="en-US"/>
        </w:rPr>
        <w:t xml:space="preserve"> </w:t>
      </w:r>
      <w:r w:rsidR="00944221" w:rsidRPr="00944221">
        <w:rPr>
          <w:rFonts w:asciiTheme="minorHAnsi" w:hAnsiTheme="minorHAnsi"/>
          <w:color w:val="000000" w:themeColor="text1"/>
          <w:lang w:val="en-US"/>
        </w:rPr>
        <w:t xml:space="preserve">In the </w:t>
      </w:r>
      <w:proofErr w:type="spellStart"/>
      <w:r w:rsidR="00944221" w:rsidRPr="00944221">
        <w:rPr>
          <w:rFonts w:asciiTheme="minorHAnsi" w:hAnsiTheme="minorHAnsi"/>
          <w:color w:val="000000" w:themeColor="text1"/>
          <w:lang w:val="en-US"/>
        </w:rPr>
        <w:t>transcaudate</w:t>
      </w:r>
      <w:proofErr w:type="spellEnd"/>
      <w:r w:rsidR="00944221" w:rsidRPr="00944221">
        <w:rPr>
          <w:rFonts w:asciiTheme="minorHAnsi" w:hAnsiTheme="minorHAnsi"/>
          <w:color w:val="000000" w:themeColor="text1"/>
          <w:lang w:val="en-US"/>
        </w:rPr>
        <w:t xml:space="preserve"> coronal plane, ganglionic eminence and the basal ganglia are absent on the right side, while on the left side a dysplastic structure of moderate echogenicity is visible at the level of the thalamus. In the </w:t>
      </w:r>
      <w:proofErr w:type="spellStart"/>
      <w:r w:rsidR="00944221" w:rsidRPr="00944221">
        <w:rPr>
          <w:rFonts w:asciiTheme="minorHAnsi" w:hAnsiTheme="minorHAnsi"/>
          <w:color w:val="000000" w:themeColor="text1"/>
          <w:lang w:val="en-US"/>
        </w:rPr>
        <w:t>transchoroidal</w:t>
      </w:r>
      <w:proofErr w:type="spellEnd"/>
      <w:r w:rsidR="00944221" w:rsidRPr="00944221">
        <w:rPr>
          <w:rFonts w:asciiTheme="minorHAnsi" w:hAnsiTheme="minorHAnsi"/>
          <w:color w:val="000000" w:themeColor="text1"/>
          <w:lang w:val="en-US"/>
        </w:rPr>
        <w:t xml:space="preserve"> axial plane the picture is mirrored analogously, the dysplastic choroid plexus is surrounded solely by cerebrospinal fluid.  The slight indentation of the cerebral wall usually well presentable in this plane as an expression of the developing Sylvian fissure is also not depictable. In the </w:t>
      </w:r>
      <w:proofErr w:type="spellStart"/>
      <w:r w:rsidR="00944221" w:rsidRPr="00944221">
        <w:rPr>
          <w:rFonts w:asciiTheme="minorHAnsi" w:hAnsiTheme="minorHAnsi"/>
          <w:color w:val="000000" w:themeColor="text1"/>
          <w:lang w:val="en-US"/>
        </w:rPr>
        <w:t>transthalamic</w:t>
      </w:r>
      <w:proofErr w:type="spellEnd"/>
      <w:r w:rsidR="00944221" w:rsidRPr="00944221">
        <w:rPr>
          <w:rFonts w:asciiTheme="minorHAnsi" w:hAnsiTheme="minorHAnsi"/>
          <w:color w:val="000000" w:themeColor="text1"/>
          <w:lang w:val="en-US"/>
        </w:rPr>
        <w:t xml:space="preserve"> coronal plane, next to the thalamus, the upon described dysplastic structure can be identified as </w:t>
      </w:r>
      <w:proofErr w:type="spellStart"/>
      <w:r w:rsidR="00944221" w:rsidRPr="00944221">
        <w:rPr>
          <w:rFonts w:asciiTheme="minorHAnsi" w:hAnsiTheme="minorHAnsi"/>
          <w:color w:val="000000" w:themeColor="text1"/>
          <w:lang w:val="en-US"/>
        </w:rPr>
        <w:t>dysplatic</w:t>
      </w:r>
      <w:proofErr w:type="spellEnd"/>
      <w:r w:rsidR="00944221" w:rsidRPr="00944221">
        <w:rPr>
          <w:rFonts w:asciiTheme="minorHAnsi" w:hAnsiTheme="minorHAnsi"/>
          <w:color w:val="000000" w:themeColor="text1"/>
          <w:lang w:val="en-US"/>
        </w:rPr>
        <w:t xml:space="preserve"> basal ganglia, while on the right side between the thalamus and the cerebral mantle only cerebrospinal fluid can be visualized. Remarkable in this plane is the extended width of the 3rd ventricle (2.9 mm), while cvi is in the norm (1.3 mm). Also noteworthy is the marked increase of thalamus width (11.1 mm) with concomitant narrowing of the craniocaudal extent of thalamus/hypothalamus (6.7 mm). In </w:t>
      </w:r>
      <w:proofErr w:type="gramStart"/>
      <w:r w:rsidR="00944221" w:rsidRPr="00944221">
        <w:rPr>
          <w:rFonts w:asciiTheme="minorHAnsi" w:hAnsiTheme="minorHAnsi"/>
          <w:color w:val="000000" w:themeColor="text1"/>
          <w:lang w:val="en-US"/>
        </w:rPr>
        <w:t>addition</w:t>
      </w:r>
      <w:proofErr w:type="gramEnd"/>
      <w:r w:rsidR="00944221" w:rsidRPr="00944221">
        <w:rPr>
          <w:rFonts w:asciiTheme="minorHAnsi" w:hAnsiTheme="minorHAnsi"/>
          <w:color w:val="000000" w:themeColor="text1"/>
          <w:lang w:val="en-US"/>
        </w:rPr>
        <w:t xml:space="preserve"> a hypoplasia of future cavum septum pellucidum (0,9 mm ap, 1.1 mm cc), an elongation of cavum velum </w:t>
      </w:r>
      <w:proofErr w:type="spellStart"/>
      <w:r w:rsidR="00944221" w:rsidRPr="00944221">
        <w:rPr>
          <w:rFonts w:asciiTheme="minorHAnsi" w:hAnsiTheme="minorHAnsi"/>
          <w:color w:val="000000" w:themeColor="text1"/>
          <w:lang w:val="en-US"/>
        </w:rPr>
        <w:t>interpositum</w:t>
      </w:r>
      <w:proofErr w:type="spellEnd"/>
      <w:r w:rsidR="00944221" w:rsidRPr="00944221">
        <w:rPr>
          <w:rFonts w:asciiTheme="minorHAnsi" w:hAnsiTheme="minorHAnsi"/>
          <w:color w:val="000000" w:themeColor="text1"/>
          <w:lang w:val="en-US"/>
        </w:rPr>
        <w:t xml:space="preserve"> (6.6 mm), and an infratentorial hypoplasia of the vermis and cerebellum is part of the complex cerebral changes. A discrete band of echogenicity surrounding the surface of the brain reducing the subarachnoid space representing neuroglial </w:t>
      </w:r>
      <w:proofErr w:type="spellStart"/>
      <w:r w:rsidR="00944221" w:rsidRPr="00944221">
        <w:rPr>
          <w:rFonts w:asciiTheme="minorHAnsi" w:hAnsiTheme="minorHAnsi"/>
          <w:color w:val="000000" w:themeColor="text1"/>
          <w:lang w:val="en-US"/>
        </w:rPr>
        <w:t>overmigration</w:t>
      </w:r>
      <w:proofErr w:type="spellEnd"/>
      <w:r w:rsidR="00944221" w:rsidRPr="00944221">
        <w:rPr>
          <w:rFonts w:asciiTheme="minorHAnsi" w:hAnsiTheme="minorHAnsi"/>
          <w:color w:val="000000" w:themeColor="text1"/>
          <w:lang w:val="en-US"/>
        </w:rPr>
        <w:t xml:space="preserve"> into the arachnoid space is presentable in all 3D planes, in contrast the ‘Z’-shape of the brainstem as a typical sign for Walker-Warburg syndrome is missed. </w:t>
      </w:r>
    </w:p>
    <w:p w14:paraId="5F298B32" w14:textId="3C14E171" w:rsidR="005B771A" w:rsidRPr="00944221" w:rsidRDefault="007D3727" w:rsidP="0094422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olor w:val="000000" w:themeColor="text1"/>
          <w:lang w:val="en-US"/>
        </w:rPr>
      </w:pPr>
      <w:r w:rsidRPr="007D3727">
        <w:rPr>
          <w:rFonts w:asciiTheme="minorHAnsi" w:hAnsiTheme="minorHAnsi"/>
          <w:b/>
          <w:bCs/>
          <w:color w:val="000000" w:themeColor="text1"/>
          <w:lang w:val="en-US"/>
        </w:rPr>
        <w:t>Fig 13:</w:t>
      </w:r>
      <w:r>
        <w:rPr>
          <w:rFonts w:asciiTheme="minorHAnsi" w:hAnsiTheme="minorHAnsi"/>
          <w:color w:val="000000" w:themeColor="text1"/>
          <w:lang w:val="en-US"/>
        </w:rPr>
        <w:t xml:space="preserve"> </w:t>
      </w:r>
      <w:r w:rsidR="00944221" w:rsidRPr="00944221">
        <w:rPr>
          <w:rFonts w:asciiTheme="minorHAnsi" w:hAnsiTheme="minorHAnsi"/>
          <w:color w:val="000000" w:themeColor="text1"/>
          <w:lang w:val="en-US"/>
        </w:rPr>
        <w:t xml:space="preserve">At week 16+3, the following diagnoses could be confirmed: severe dysplasia of the ganglionic eminences and the basal ganglia and a lack of the development of </w:t>
      </w:r>
      <w:proofErr w:type="spellStart"/>
      <w:r w:rsidR="00944221" w:rsidRPr="00944221">
        <w:rPr>
          <w:rFonts w:asciiTheme="minorHAnsi" w:hAnsiTheme="minorHAnsi"/>
          <w:color w:val="000000" w:themeColor="text1"/>
          <w:lang w:val="en-US"/>
        </w:rPr>
        <w:t>fissura</w:t>
      </w:r>
      <w:proofErr w:type="spellEnd"/>
      <w:r w:rsidR="00944221" w:rsidRPr="00944221">
        <w:rPr>
          <w:rFonts w:asciiTheme="minorHAnsi" w:hAnsiTheme="minorHAnsi"/>
          <w:color w:val="000000" w:themeColor="text1"/>
          <w:lang w:val="en-US"/>
        </w:rPr>
        <w:t xml:space="preserve"> </w:t>
      </w:r>
      <w:proofErr w:type="spellStart"/>
      <w:r w:rsidR="00944221" w:rsidRPr="00944221">
        <w:rPr>
          <w:rFonts w:asciiTheme="minorHAnsi" w:hAnsiTheme="minorHAnsi"/>
          <w:color w:val="000000" w:themeColor="text1"/>
          <w:lang w:val="en-US"/>
        </w:rPr>
        <w:t>Sylvii</w:t>
      </w:r>
      <w:proofErr w:type="spellEnd"/>
      <w:r w:rsidR="00944221" w:rsidRPr="00944221">
        <w:rPr>
          <w:rFonts w:asciiTheme="minorHAnsi" w:hAnsiTheme="minorHAnsi"/>
          <w:color w:val="000000" w:themeColor="text1"/>
          <w:lang w:val="en-US"/>
        </w:rPr>
        <w:t xml:space="preserve">, both reflecting </w:t>
      </w:r>
      <w:proofErr w:type="spellStart"/>
      <w:r w:rsidR="00944221" w:rsidRPr="00944221">
        <w:rPr>
          <w:rFonts w:asciiTheme="minorHAnsi" w:hAnsiTheme="minorHAnsi"/>
          <w:color w:val="000000" w:themeColor="text1"/>
          <w:lang w:val="en-US"/>
        </w:rPr>
        <w:t>migrational</w:t>
      </w:r>
      <w:proofErr w:type="spellEnd"/>
      <w:r w:rsidR="00944221" w:rsidRPr="00944221">
        <w:rPr>
          <w:rFonts w:asciiTheme="minorHAnsi" w:hAnsiTheme="minorHAnsi"/>
          <w:color w:val="000000" w:themeColor="text1"/>
          <w:lang w:val="en-US"/>
        </w:rPr>
        <w:t xml:space="preserve"> disorder, ventriculomegaly on </w:t>
      </w:r>
      <w:proofErr w:type="spellStart"/>
      <w:r w:rsidR="00944221" w:rsidRPr="00944221">
        <w:rPr>
          <w:rFonts w:asciiTheme="minorHAnsi" w:hAnsiTheme="minorHAnsi"/>
          <w:color w:val="000000" w:themeColor="text1"/>
          <w:lang w:val="en-US"/>
        </w:rPr>
        <w:t>bothsides</w:t>
      </w:r>
      <w:proofErr w:type="spellEnd"/>
      <w:r w:rsidR="00944221" w:rsidRPr="00944221">
        <w:rPr>
          <w:rFonts w:asciiTheme="minorHAnsi" w:hAnsiTheme="minorHAnsi"/>
          <w:color w:val="000000" w:themeColor="text1"/>
          <w:lang w:val="en-US"/>
        </w:rPr>
        <w:t xml:space="preserve">, dilated 3rd ventricle, no </w:t>
      </w:r>
      <w:proofErr w:type="spellStart"/>
      <w:r w:rsidR="00944221" w:rsidRPr="00944221">
        <w:rPr>
          <w:rFonts w:asciiTheme="minorHAnsi" w:hAnsiTheme="minorHAnsi"/>
          <w:color w:val="000000" w:themeColor="text1"/>
          <w:lang w:val="en-US"/>
        </w:rPr>
        <w:t>adhesio</w:t>
      </w:r>
      <w:proofErr w:type="spellEnd"/>
      <w:r w:rsidR="00944221" w:rsidRPr="00944221">
        <w:rPr>
          <w:rFonts w:asciiTheme="minorHAnsi" w:hAnsiTheme="minorHAnsi"/>
          <w:color w:val="000000" w:themeColor="text1"/>
          <w:lang w:val="en-US"/>
        </w:rPr>
        <w:t xml:space="preserve"> </w:t>
      </w:r>
      <w:proofErr w:type="spellStart"/>
      <w:r w:rsidR="00944221" w:rsidRPr="00944221">
        <w:rPr>
          <w:rFonts w:asciiTheme="minorHAnsi" w:hAnsiTheme="minorHAnsi"/>
          <w:color w:val="000000" w:themeColor="text1"/>
          <w:lang w:val="en-US"/>
        </w:rPr>
        <w:t>interthalamica</w:t>
      </w:r>
      <w:proofErr w:type="spellEnd"/>
      <w:r w:rsidR="00944221" w:rsidRPr="00944221">
        <w:rPr>
          <w:rFonts w:asciiTheme="minorHAnsi" w:hAnsiTheme="minorHAnsi"/>
          <w:color w:val="000000" w:themeColor="text1"/>
          <w:lang w:val="en-US"/>
        </w:rPr>
        <w:t xml:space="preserve">, </w:t>
      </w:r>
      <w:r w:rsidR="008E3198" w:rsidRPr="00944221">
        <w:rPr>
          <w:rFonts w:asciiTheme="minorHAnsi" w:hAnsiTheme="minorHAnsi"/>
          <w:color w:val="000000" w:themeColor="text1"/>
          <w:lang w:val="en-US"/>
        </w:rPr>
        <w:t>hypoplasia of the corpus callosum</w:t>
      </w:r>
      <w:r w:rsidR="00515315" w:rsidRPr="00944221">
        <w:rPr>
          <w:rFonts w:asciiTheme="minorHAnsi" w:hAnsiTheme="minorHAnsi"/>
          <w:color w:val="000000" w:themeColor="text1"/>
          <w:lang w:val="en-US"/>
        </w:rPr>
        <w:t xml:space="preserve"> and an outer band of echogenicity leading to the reduced subarachnoid space complete the </w:t>
      </w:r>
      <w:proofErr w:type="spellStart"/>
      <w:r w:rsidR="00515315" w:rsidRPr="00944221">
        <w:rPr>
          <w:rFonts w:asciiTheme="minorHAnsi" w:hAnsiTheme="minorHAnsi"/>
          <w:color w:val="000000" w:themeColor="text1"/>
          <w:lang w:val="en-US"/>
        </w:rPr>
        <w:t>supratenorial</w:t>
      </w:r>
      <w:proofErr w:type="spellEnd"/>
      <w:r w:rsidR="00515315" w:rsidRPr="00944221">
        <w:rPr>
          <w:rFonts w:asciiTheme="minorHAnsi" w:hAnsiTheme="minorHAnsi"/>
          <w:color w:val="000000" w:themeColor="text1"/>
          <w:lang w:val="en-US"/>
        </w:rPr>
        <w:t xml:space="preserve"> alterations. </w:t>
      </w:r>
      <w:proofErr w:type="spellStart"/>
      <w:r w:rsidR="008E3198" w:rsidRPr="00944221">
        <w:rPr>
          <w:rFonts w:asciiTheme="minorHAnsi" w:hAnsiTheme="minorHAnsi"/>
          <w:color w:val="000000" w:themeColor="text1"/>
          <w:lang w:val="en-US"/>
        </w:rPr>
        <w:t>Infratentorial</w:t>
      </w:r>
      <w:r w:rsidR="00515315" w:rsidRPr="00944221">
        <w:rPr>
          <w:rFonts w:asciiTheme="minorHAnsi" w:hAnsiTheme="minorHAnsi"/>
          <w:color w:val="000000" w:themeColor="text1"/>
          <w:lang w:val="en-US"/>
        </w:rPr>
        <w:t>ly</w:t>
      </w:r>
      <w:proofErr w:type="spellEnd"/>
      <w:r w:rsidR="008E3198" w:rsidRPr="00944221">
        <w:rPr>
          <w:rFonts w:asciiTheme="minorHAnsi" w:hAnsiTheme="minorHAnsi"/>
          <w:color w:val="000000" w:themeColor="text1"/>
          <w:lang w:val="en-US"/>
        </w:rPr>
        <w:t xml:space="preserve"> the </w:t>
      </w:r>
      <w:r w:rsidR="00944221" w:rsidRPr="00944221">
        <w:rPr>
          <w:rFonts w:asciiTheme="minorHAnsi" w:hAnsiTheme="minorHAnsi"/>
          <w:color w:val="000000" w:themeColor="text1"/>
          <w:lang w:val="en-US"/>
        </w:rPr>
        <w:t>hypoplasia</w:t>
      </w:r>
      <w:r w:rsidR="00AE5A5D" w:rsidRPr="00944221">
        <w:rPr>
          <w:rFonts w:asciiTheme="minorHAnsi" w:hAnsiTheme="minorHAnsi"/>
          <w:color w:val="000000" w:themeColor="text1"/>
          <w:lang w:val="en-US"/>
        </w:rPr>
        <w:t xml:space="preserve"> </w:t>
      </w:r>
      <w:r w:rsidR="00944221" w:rsidRPr="00944221">
        <w:rPr>
          <w:rFonts w:asciiTheme="minorHAnsi" w:hAnsiTheme="minorHAnsi"/>
          <w:color w:val="000000" w:themeColor="text1"/>
          <w:lang w:val="en-US"/>
        </w:rPr>
        <w:t xml:space="preserve">of </w:t>
      </w:r>
      <w:r w:rsidR="00AE5A5D" w:rsidRPr="00944221">
        <w:rPr>
          <w:rFonts w:asciiTheme="minorHAnsi" w:hAnsiTheme="minorHAnsi"/>
          <w:color w:val="000000" w:themeColor="text1"/>
          <w:lang w:val="en-US"/>
        </w:rPr>
        <w:t xml:space="preserve">the </w:t>
      </w:r>
      <w:r w:rsidR="00944221" w:rsidRPr="00944221">
        <w:rPr>
          <w:rFonts w:asciiTheme="minorHAnsi" w:hAnsiTheme="minorHAnsi"/>
          <w:color w:val="000000" w:themeColor="text1"/>
          <w:lang w:val="en-US"/>
        </w:rPr>
        <w:t xml:space="preserve">vermis and </w:t>
      </w:r>
      <w:proofErr w:type="spellStart"/>
      <w:r w:rsidR="00944221" w:rsidRPr="00944221">
        <w:rPr>
          <w:rFonts w:asciiTheme="minorHAnsi" w:hAnsiTheme="minorHAnsi"/>
          <w:color w:val="000000" w:themeColor="text1"/>
          <w:lang w:val="en-US"/>
        </w:rPr>
        <w:t>transcerebellar</w:t>
      </w:r>
      <w:proofErr w:type="spellEnd"/>
      <w:r w:rsidR="00944221" w:rsidRPr="00944221">
        <w:rPr>
          <w:rFonts w:asciiTheme="minorHAnsi" w:hAnsiTheme="minorHAnsi"/>
          <w:color w:val="000000" w:themeColor="text1"/>
          <w:lang w:val="en-US"/>
        </w:rPr>
        <w:t xml:space="preserve"> diameter</w:t>
      </w:r>
      <w:r w:rsidR="00515315" w:rsidRPr="00944221">
        <w:rPr>
          <w:rFonts w:asciiTheme="minorHAnsi" w:hAnsiTheme="minorHAnsi"/>
          <w:color w:val="000000" w:themeColor="text1"/>
          <w:lang w:val="en-US"/>
        </w:rPr>
        <w:t xml:space="preserve"> complete the total number of cerebral changes</w:t>
      </w:r>
      <w:r w:rsidR="00512278" w:rsidRPr="00944221">
        <w:rPr>
          <w:rFonts w:asciiTheme="minorHAnsi" w:hAnsiTheme="minorHAnsi"/>
          <w:color w:val="000000" w:themeColor="text1"/>
          <w:lang w:val="en-US"/>
        </w:rPr>
        <w:t>.</w:t>
      </w:r>
    </w:p>
    <w:p w14:paraId="2346CB10" w14:textId="2B0864EF" w:rsidR="00705704" w:rsidRPr="00944221" w:rsidRDefault="007057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olor w:val="FF0000"/>
          <w:lang w:val="en-US"/>
        </w:rPr>
      </w:pPr>
    </w:p>
    <w:sectPr w:rsidR="00705704" w:rsidRPr="00944221">
      <w:headerReference w:type="default" r:id="rId6"/>
      <w:footerReference w:type="default" r:id="rId7"/>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716C7" w14:textId="77777777" w:rsidR="002616E6" w:rsidRDefault="002616E6">
      <w:r>
        <w:separator/>
      </w:r>
    </w:p>
  </w:endnote>
  <w:endnote w:type="continuationSeparator" w:id="0">
    <w:p w14:paraId="3F8A88BC" w14:textId="77777777" w:rsidR="002616E6" w:rsidRDefault="00261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F0412" w14:textId="77777777" w:rsidR="005B771A" w:rsidRDefault="005B771A">
    <w:pPr>
      <w:pStyle w:val="Kopf-undFuzeile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4FE276" w14:textId="77777777" w:rsidR="002616E6" w:rsidRDefault="002616E6">
      <w:r>
        <w:separator/>
      </w:r>
    </w:p>
  </w:footnote>
  <w:footnote w:type="continuationSeparator" w:id="0">
    <w:p w14:paraId="278C1C3D" w14:textId="77777777" w:rsidR="002616E6" w:rsidRDefault="002616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E11CF6" w14:textId="77777777" w:rsidR="005B771A" w:rsidRDefault="005B771A">
    <w:pPr>
      <w:pStyle w:val="Kopf-undFuzeilen"/>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6"/>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71A"/>
    <w:rsid w:val="00084582"/>
    <w:rsid w:val="000925B7"/>
    <w:rsid w:val="000E786C"/>
    <w:rsid w:val="002616E6"/>
    <w:rsid w:val="002C4D05"/>
    <w:rsid w:val="003541D7"/>
    <w:rsid w:val="003752ED"/>
    <w:rsid w:val="003A1922"/>
    <w:rsid w:val="004C1B49"/>
    <w:rsid w:val="00512278"/>
    <w:rsid w:val="00515315"/>
    <w:rsid w:val="005448A2"/>
    <w:rsid w:val="005B771A"/>
    <w:rsid w:val="006943BA"/>
    <w:rsid w:val="006B7751"/>
    <w:rsid w:val="006C7226"/>
    <w:rsid w:val="00705704"/>
    <w:rsid w:val="007C67E1"/>
    <w:rsid w:val="007D3727"/>
    <w:rsid w:val="008E3198"/>
    <w:rsid w:val="008E5EC4"/>
    <w:rsid w:val="00921A19"/>
    <w:rsid w:val="00944221"/>
    <w:rsid w:val="009B6058"/>
    <w:rsid w:val="00A30D10"/>
    <w:rsid w:val="00AE4F7A"/>
    <w:rsid w:val="00AE5A5D"/>
    <w:rsid w:val="00B27D98"/>
    <w:rsid w:val="00B8363C"/>
    <w:rsid w:val="00BA2F11"/>
    <w:rsid w:val="00C61CD2"/>
    <w:rsid w:val="00EF04AC"/>
    <w:rsid w:val="00EF629F"/>
    <w:rsid w:val="00F102EC"/>
    <w:rsid w:val="00F9060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7E316442"/>
  <w15:docId w15:val="{7F151B49-E9F1-4A43-82BD-9D4CFC16A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de-AT"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Calibri" w:hAnsi="Calibri" w:cs="Arial Unicode MS"/>
      <w:color w:val="000000"/>
      <w:sz w:val="24"/>
      <w:szCs w:val="24"/>
      <w:u w:color="000000"/>
      <w:lang w:val="de-DE"/>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f-undFuzeilen">
    <w:name w:val="Kopf- und Fußzeilen"/>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451</Words>
  <Characters>2847</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Reinhard Altmann</cp:lastModifiedBy>
  <cp:revision>2</cp:revision>
  <dcterms:created xsi:type="dcterms:W3CDTF">2023-02-04T14:13:00Z</dcterms:created>
  <dcterms:modified xsi:type="dcterms:W3CDTF">2023-02-04T14:13:00Z</dcterms:modified>
</cp:coreProperties>
</file>