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6C7EB" w14:textId="77777777" w:rsidR="006C3F32" w:rsidRDefault="006C3F32" w:rsidP="006C3F32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Arial" w:hAnsi="Arial" w:cs="Arial"/>
          <w:b/>
          <w:color w:val="000000" w:themeColor="text1"/>
          <w:sz w:val="22"/>
        </w:rPr>
      </w:pPr>
      <w:r>
        <w:rPr>
          <w:rFonts w:ascii="Arial" w:hAnsi="Arial" w:cs="Arial"/>
          <w:b/>
          <w:color w:val="000000" w:themeColor="text1"/>
          <w:sz w:val="22"/>
        </w:rPr>
        <w:t xml:space="preserve">Supplementary </w:t>
      </w:r>
      <w:r w:rsidRPr="00277041">
        <w:rPr>
          <w:rFonts w:ascii="Arial" w:hAnsi="Arial" w:cs="Arial"/>
          <w:b/>
          <w:color w:val="000000" w:themeColor="text1"/>
          <w:sz w:val="22"/>
        </w:rPr>
        <w:t>Materials and Methods</w:t>
      </w:r>
    </w:p>
    <w:p w14:paraId="01E05EFD" w14:textId="77777777" w:rsidR="006C3F32" w:rsidRDefault="006C3F32" w:rsidP="006C3F32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Arial" w:hAnsi="Arial" w:cs="Arial"/>
          <w:b/>
          <w:color w:val="000000" w:themeColor="text1"/>
          <w:sz w:val="22"/>
        </w:rPr>
      </w:pPr>
    </w:p>
    <w:p w14:paraId="17A8B082" w14:textId="77777777" w:rsidR="006C3F32" w:rsidRPr="00277041" w:rsidRDefault="006C3F32" w:rsidP="006C3F32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Arial" w:hAnsi="Arial" w:cs="Arial"/>
          <w:b/>
          <w:color w:val="000000" w:themeColor="text1"/>
          <w:sz w:val="22"/>
        </w:rPr>
      </w:pPr>
      <w:r w:rsidRPr="00277041">
        <w:rPr>
          <w:rFonts w:ascii="Arial" w:hAnsi="Arial" w:cs="Arial"/>
          <w:b/>
          <w:color w:val="000000" w:themeColor="text1"/>
          <w:sz w:val="22"/>
        </w:rPr>
        <w:t xml:space="preserve">Western blot analysis </w:t>
      </w:r>
    </w:p>
    <w:p w14:paraId="3D881F3B" w14:textId="77777777" w:rsidR="006C3F32" w:rsidRPr="00B82A18" w:rsidRDefault="006C3F32" w:rsidP="006C3F32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Arial" w:eastAsia="굴림" w:hAnsi="Arial" w:cs="Arial"/>
          <w:color w:val="000000"/>
          <w:kern w:val="0"/>
          <w:sz w:val="22"/>
        </w:rPr>
      </w:pPr>
      <w:r w:rsidRPr="002872AD">
        <w:rPr>
          <w:rFonts w:ascii="Arial" w:eastAsia="굴림" w:hAnsi="Arial" w:cs="Arial"/>
          <w:color w:val="000000"/>
          <w:kern w:val="0"/>
          <w:sz w:val="22"/>
        </w:rPr>
        <w:t>Total protein w</w:t>
      </w:r>
      <w:r>
        <w:rPr>
          <w:rFonts w:ascii="Arial" w:eastAsia="굴림" w:hAnsi="Arial" w:cs="Arial"/>
          <w:color w:val="000000"/>
          <w:kern w:val="0"/>
          <w:sz w:val="22"/>
        </w:rPr>
        <w:t>as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>
        <w:rPr>
          <w:rFonts w:ascii="Arial" w:eastAsia="굴림" w:hAnsi="Arial" w:cs="Arial"/>
          <w:color w:val="000000"/>
          <w:kern w:val="0"/>
          <w:sz w:val="22"/>
        </w:rPr>
        <w:t>isolated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 from cells using RIPA lysis buffer (</w:t>
      </w:r>
      <w:proofErr w:type="spellStart"/>
      <w:r w:rsidRPr="002872AD">
        <w:rPr>
          <w:rFonts w:ascii="Arial" w:eastAsia="굴림" w:hAnsi="Arial" w:cs="Arial"/>
          <w:color w:val="000000"/>
          <w:kern w:val="0"/>
          <w:sz w:val="22"/>
        </w:rPr>
        <w:t>Milliipore</w:t>
      </w:r>
      <w:proofErr w:type="spellEnd"/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, Billerica, MA, USA) 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containing 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>1% phosphatase inhibitor (</w:t>
      </w:r>
      <w:proofErr w:type="spellStart"/>
      <w:r w:rsidRPr="002872AD">
        <w:rPr>
          <w:rFonts w:ascii="Arial" w:eastAsia="굴림" w:hAnsi="Arial" w:cs="Arial"/>
          <w:color w:val="000000"/>
          <w:kern w:val="0"/>
          <w:sz w:val="22"/>
        </w:rPr>
        <w:t>Thermo</w:t>
      </w:r>
      <w:proofErr w:type="spellEnd"/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 Fisher Scientific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>Inc.) and protease inhibitor cocktails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(Roche). The protein concentration </w:t>
      </w:r>
      <w:r>
        <w:rPr>
          <w:rFonts w:ascii="Arial" w:eastAsia="굴림" w:hAnsi="Arial" w:cs="Arial"/>
          <w:color w:val="000000"/>
          <w:kern w:val="0"/>
          <w:sz w:val="22"/>
        </w:rPr>
        <w:t>of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 each sample was measured using a DC Protein Assay Kit (BIO-RAD Laboratories, Madison, WI, USA). </w:t>
      </w:r>
      <w:r w:rsidRPr="00D67F0D">
        <w:rPr>
          <w:rFonts w:ascii="Arial" w:eastAsia="굴림" w:hAnsi="Arial" w:cs="Arial"/>
          <w:color w:val="000000"/>
          <w:kern w:val="0"/>
          <w:sz w:val="22"/>
        </w:rPr>
        <w:t xml:space="preserve">The protein lysates, containing around 30 to 50 μg of protein, were normalized and then mixed with 5X protein sample buffer. The mixture was heated at 95°C for 5 minutes, separated on polyacrylamide gels of 8, 12, or 15% sodium dodecyl sulfate, and then transferred to Immuno-Blot polyvinylidene fluoride membranes (from </w:t>
      </w:r>
      <w:proofErr w:type="spellStart"/>
      <w:r w:rsidRPr="00D67F0D">
        <w:rPr>
          <w:rFonts w:ascii="Arial" w:eastAsia="굴림" w:hAnsi="Arial" w:cs="Arial"/>
          <w:color w:val="000000"/>
          <w:kern w:val="0"/>
          <w:sz w:val="22"/>
        </w:rPr>
        <w:t>Milliipore</w:t>
      </w:r>
      <w:proofErr w:type="spellEnd"/>
      <w:r w:rsidRPr="00D67F0D">
        <w:rPr>
          <w:rFonts w:ascii="Arial" w:eastAsia="굴림" w:hAnsi="Arial" w:cs="Arial"/>
          <w:color w:val="000000"/>
          <w:kern w:val="0"/>
          <w:sz w:val="22"/>
        </w:rPr>
        <w:t>, Billerica, Massachusetts, USA).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 xml:space="preserve"> The membranes were blocked with 5% skim milk in </w:t>
      </w:r>
      <w:r>
        <w:rPr>
          <w:rFonts w:ascii="Arial" w:eastAsia="굴림" w:hAnsi="Arial" w:cs="Arial"/>
          <w:color w:val="000000"/>
          <w:kern w:val="0"/>
          <w:sz w:val="22"/>
        </w:rPr>
        <w:t>T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>ris-buffered saline with Tween20 at RT for 2 h and incubated with primary antibodies overnight at 4</w:t>
      </w:r>
      <w:r>
        <w:rPr>
          <w:rFonts w:ascii="Arial" w:eastAsia="굴림" w:hAnsi="Arial" w:cs="Arial"/>
          <w:color w:val="000000"/>
          <w:kern w:val="0"/>
          <w:sz w:val="22"/>
        </w:rPr>
        <w:t>°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>C. The membranes were incubated with horseradish peroxidase-conjugated secondary antibodies for 2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2872AD">
        <w:rPr>
          <w:rFonts w:ascii="Arial" w:eastAsia="굴림" w:hAnsi="Arial" w:cs="Arial"/>
          <w:color w:val="000000"/>
          <w:kern w:val="0"/>
          <w:sz w:val="22"/>
        </w:rPr>
        <w:t>h and</w:t>
      </w:r>
      <w:r>
        <w:rPr>
          <w:rFonts w:ascii="Arial" w:hAnsi="Arial" w:cs="Arial"/>
          <w:color w:val="000000" w:themeColor="text1"/>
          <w:sz w:val="22"/>
        </w:rPr>
        <w:t xml:space="preserve"> developed using a </w:t>
      </w:r>
      <w:proofErr w:type="spellStart"/>
      <w:r w:rsidRPr="00E24FB0">
        <w:rPr>
          <w:rFonts w:ascii="Arial" w:hAnsi="Arial" w:cs="Arial"/>
          <w:color w:val="000000" w:themeColor="text1"/>
          <w:sz w:val="22"/>
        </w:rPr>
        <w:t>WestGlow</w:t>
      </w:r>
      <w:proofErr w:type="spellEnd"/>
      <w:r w:rsidRPr="00E24FB0">
        <w:rPr>
          <w:rFonts w:ascii="Arial" w:hAnsi="Arial" w:cs="Arial"/>
          <w:color w:val="000000" w:themeColor="text1"/>
          <w:sz w:val="22"/>
        </w:rPr>
        <w:t>™ PICO PLUS Chemiluminescent substrate</w:t>
      </w:r>
      <w:r w:rsidRPr="00982583">
        <w:rPr>
          <w:rFonts w:ascii="Arial" w:hAnsi="Arial" w:cs="Arial"/>
          <w:color w:val="000000" w:themeColor="text1"/>
          <w:sz w:val="22"/>
        </w:rPr>
        <w:t>.</w:t>
      </w:r>
      <w:r w:rsidRPr="00E24FB0"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The immunoreactive bands were visualized by </w:t>
      </w:r>
      <w:proofErr w:type="spellStart"/>
      <w:r w:rsidRPr="00982583">
        <w:rPr>
          <w:rFonts w:ascii="Arial" w:eastAsia="굴림" w:hAnsi="Arial" w:cs="Arial"/>
          <w:color w:val="000000"/>
          <w:kern w:val="0"/>
          <w:sz w:val="22"/>
        </w:rPr>
        <w:t>ImageQuantTM</w:t>
      </w:r>
      <w:proofErr w:type="spellEnd"/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LAS 500 (GE Healthcare Life Sciences, Piscataway, NJ, USA)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or x-ray film. </w:t>
      </w:r>
      <w:r w:rsidRPr="00B62E9C">
        <w:rPr>
          <w:rFonts w:ascii="Arial" w:eastAsia="굴림" w:hAnsi="Arial" w:cs="Arial"/>
          <w:color w:val="000000"/>
          <w:kern w:val="0"/>
          <w:sz w:val="22"/>
        </w:rPr>
        <w:t>The densitometric analys</w:t>
      </w:r>
      <w:r>
        <w:rPr>
          <w:rFonts w:ascii="Arial" w:eastAsia="굴림" w:hAnsi="Arial" w:cs="Arial"/>
          <w:color w:val="000000"/>
          <w:kern w:val="0"/>
          <w:sz w:val="22"/>
        </w:rPr>
        <w:t>e</w:t>
      </w:r>
      <w:r w:rsidRPr="00B62E9C">
        <w:rPr>
          <w:rFonts w:ascii="Arial" w:eastAsia="굴림" w:hAnsi="Arial" w:cs="Arial"/>
          <w:color w:val="000000"/>
          <w:kern w:val="0"/>
          <w:sz w:val="22"/>
        </w:rPr>
        <w:t>s of the western blots w</w:t>
      </w:r>
      <w:r>
        <w:rPr>
          <w:rFonts w:ascii="Arial" w:eastAsia="굴림" w:hAnsi="Arial" w:cs="Arial"/>
          <w:color w:val="000000"/>
          <w:kern w:val="0"/>
          <w:sz w:val="22"/>
        </w:rPr>
        <w:t>ere</w:t>
      </w:r>
      <w:r w:rsidRPr="00B62E9C">
        <w:rPr>
          <w:rFonts w:ascii="Arial" w:eastAsia="굴림" w:hAnsi="Arial" w:cs="Arial"/>
          <w:color w:val="000000"/>
          <w:kern w:val="0"/>
          <w:sz w:val="22"/>
        </w:rPr>
        <w:t xml:space="preserve"> performed using Image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B62E9C">
        <w:rPr>
          <w:rFonts w:ascii="Arial" w:eastAsia="굴림" w:hAnsi="Arial" w:cs="Arial"/>
          <w:color w:val="000000"/>
          <w:kern w:val="0"/>
          <w:sz w:val="22"/>
        </w:rPr>
        <w:t xml:space="preserve">J software (version 1.51k, NIH). </w:t>
      </w:r>
      <w:r w:rsidRPr="00982583">
        <w:rPr>
          <w:rFonts w:ascii="Arial" w:hAnsi="Arial" w:cs="Arial"/>
          <w:color w:val="000000" w:themeColor="text1"/>
          <w:sz w:val="22"/>
        </w:rPr>
        <w:t xml:space="preserve">The primary antibodies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used to detect cleaved </w:t>
      </w:r>
      <w:r>
        <w:rPr>
          <w:rFonts w:ascii="Arial" w:eastAsia="굴림" w:hAnsi="Arial" w:cs="Arial"/>
          <w:color w:val="000000"/>
          <w:kern w:val="0"/>
          <w:sz w:val="22"/>
        </w:rPr>
        <w:t>p</w:t>
      </w:r>
      <w:r w:rsidRPr="00081708">
        <w:rPr>
          <w:rFonts w:ascii="Arial" w:eastAsia="굴림" w:hAnsi="Arial" w:cs="Arial"/>
          <w:color w:val="000000"/>
          <w:kern w:val="0"/>
          <w:sz w:val="22"/>
        </w:rPr>
        <w:t xml:space="preserve">oly (ADP-ribose) polymerase </w:t>
      </w:r>
      <w:r>
        <w:rPr>
          <w:rFonts w:ascii="Arial" w:eastAsia="굴림" w:hAnsi="Arial" w:cs="Arial"/>
          <w:color w:val="000000"/>
          <w:kern w:val="0"/>
          <w:sz w:val="22"/>
        </w:rPr>
        <w:t>(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PARP</w:t>
      </w:r>
      <w:r>
        <w:rPr>
          <w:rFonts w:ascii="Arial" w:eastAsia="굴림" w:hAnsi="Arial" w:cs="Arial"/>
          <w:color w:val="000000"/>
          <w:kern w:val="0"/>
          <w:sz w:val="22"/>
        </w:rPr>
        <w:t>)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(cat. no. 9541, 1:1000), Mcl</w:t>
      </w:r>
      <w:r w:rsidRPr="00982583">
        <w:rPr>
          <w:rFonts w:ascii="MS Gothic" w:eastAsia="MS Gothic" w:hAnsi="MS Gothic" w:cs="MS Gothic" w:hint="eastAsia"/>
          <w:color w:val="000000"/>
          <w:kern w:val="0"/>
          <w:sz w:val="22"/>
        </w:rPr>
        <w:t>‑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1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(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cat. no. 5453, 1:1000), Bcl</w:t>
      </w:r>
      <w:r w:rsidRPr="00982583">
        <w:rPr>
          <w:rFonts w:ascii="MS Gothic" w:eastAsia="MS Gothic" w:hAnsi="MS Gothic" w:cs="MS Gothic" w:hint="eastAsia"/>
          <w:color w:val="000000"/>
          <w:kern w:val="0"/>
          <w:sz w:val="22"/>
        </w:rPr>
        <w:t>‑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2 (cat. no. 2870, 1:1000)</w:t>
      </w:r>
      <w:r>
        <w:rPr>
          <w:rFonts w:ascii="Arial" w:eastAsia="굴림" w:hAnsi="Arial" w:cs="Arial"/>
          <w:color w:val="000000"/>
          <w:kern w:val="0"/>
          <w:sz w:val="22"/>
        </w:rPr>
        <w:t>,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and </w:t>
      </w:r>
      <w:proofErr w:type="spellStart"/>
      <w:r w:rsidRPr="00982583">
        <w:rPr>
          <w:rFonts w:ascii="Arial" w:eastAsia="굴림" w:hAnsi="Arial" w:cs="Arial"/>
          <w:color w:val="000000"/>
          <w:kern w:val="0"/>
          <w:sz w:val="22"/>
        </w:rPr>
        <w:t>Bcl</w:t>
      </w:r>
      <w:proofErr w:type="spellEnd"/>
      <w:r w:rsidRPr="00982583">
        <w:rPr>
          <w:rFonts w:ascii="MS Gothic" w:eastAsia="MS Gothic" w:hAnsi="MS Gothic" w:cs="MS Gothic" w:hint="eastAsia"/>
          <w:color w:val="000000"/>
          <w:kern w:val="0"/>
          <w:sz w:val="22"/>
        </w:rPr>
        <w:t>‑</w:t>
      </w:r>
      <w:proofErr w:type="spellStart"/>
      <w:r w:rsidRPr="00982583">
        <w:rPr>
          <w:rFonts w:ascii="Arial" w:eastAsia="굴림" w:hAnsi="Arial" w:cs="Arial"/>
          <w:color w:val="000000"/>
          <w:kern w:val="0"/>
          <w:sz w:val="22"/>
        </w:rPr>
        <w:t>xL</w:t>
      </w:r>
      <w:proofErr w:type="spellEnd"/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(cat. no. 2764, 1:1000) were purchased from Cell Signaling Technology (Charlottesville). </w:t>
      </w:r>
      <w:r w:rsidRPr="00F559D4">
        <w:rPr>
          <w:rFonts w:ascii="Times New Roman" w:hAnsi="Times New Roman"/>
          <w:sz w:val="24"/>
          <w:szCs w:val="24"/>
        </w:rPr>
        <w:t>β</w:t>
      </w:r>
      <w:r w:rsidRPr="00982583">
        <w:rPr>
          <w:rFonts w:ascii="MS Gothic" w:eastAsia="MS Gothic" w:hAnsi="MS Gothic" w:cs="MS Gothic" w:hint="eastAsia"/>
          <w:color w:val="000000"/>
          <w:kern w:val="0"/>
          <w:sz w:val="22"/>
        </w:rPr>
        <w:t>‑</w:t>
      </w:r>
      <w:r>
        <w:rPr>
          <w:rFonts w:ascii="Arial" w:eastAsia="굴림" w:hAnsi="Arial" w:cs="Arial"/>
          <w:color w:val="000000"/>
          <w:kern w:val="0"/>
          <w:sz w:val="22"/>
        </w:rPr>
        <w:t>A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ctin (cat. no. </w:t>
      </w:r>
      <w:proofErr w:type="spellStart"/>
      <w:r w:rsidRPr="00982583">
        <w:rPr>
          <w:rFonts w:ascii="Arial" w:eastAsia="굴림" w:hAnsi="Arial" w:cs="Arial"/>
          <w:color w:val="000000"/>
          <w:kern w:val="0"/>
          <w:sz w:val="22"/>
        </w:rPr>
        <w:t>sc</w:t>
      </w:r>
      <w:proofErr w:type="spellEnd"/>
      <w:r w:rsidRPr="00982583">
        <w:rPr>
          <w:rFonts w:ascii="MS Gothic" w:eastAsia="MS Gothic" w:hAnsi="MS Gothic" w:cs="MS Gothic" w:hint="eastAsia"/>
          <w:color w:val="000000"/>
          <w:kern w:val="0"/>
          <w:sz w:val="22"/>
        </w:rPr>
        <w:t>‑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47778, 1:3000)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>
        <w:rPr>
          <w:rFonts w:ascii="Arial" w:eastAsia="굴림" w:hAnsi="Arial" w:cs="Arial" w:hint="eastAsia"/>
          <w:color w:val="000000"/>
          <w:kern w:val="0"/>
          <w:sz w:val="22"/>
        </w:rPr>
        <w:t>a</w:t>
      </w:r>
      <w:r>
        <w:rPr>
          <w:rFonts w:ascii="Arial" w:eastAsia="굴림" w:hAnsi="Arial" w:cs="Arial"/>
          <w:color w:val="000000"/>
          <w:kern w:val="0"/>
          <w:sz w:val="22"/>
        </w:rPr>
        <w:t>nd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F559D4">
        <w:rPr>
          <w:rFonts w:ascii="Times New Roman" w:hAnsi="Times New Roman"/>
          <w:sz w:val="24"/>
          <w:szCs w:val="24"/>
        </w:rPr>
        <w:t>α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Arial" w:eastAsia="굴림" w:hAnsi="Arial" w:cs="Arial"/>
          <w:color w:val="000000"/>
          <w:kern w:val="0"/>
          <w:sz w:val="22"/>
        </w:rPr>
        <w:t>Tubulin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(cat. no. </w:t>
      </w:r>
      <w:proofErr w:type="spellStart"/>
      <w:r w:rsidRPr="00982583">
        <w:rPr>
          <w:rFonts w:ascii="Arial" w:eastAsia="굴림" w:hAnsi="Arial" w:cs="Arial"/>
          <w:color w:val="000000"/>
          <w:kern w:val="0"/>
          <w:sz w:val="22"/>
        </w:rPr>
        <w:t>sc</w:t>
      </w:r>
      <w:proofErr w:type="spellEnd"/>
      <w:r w:rsidRPr="00982583">
        <w:rPr>
          <w:rFonts w:ascii="MS Gothic" w:eastAsia="MS Gothic" w:hAnsi="MS Gothic" w:cs="MS Gothic" w:hint="eastAsia"/>
          <w:color w:val="000000"/>
          <w:kern w:val="0"/>
          <w:sz w:val="22"/>
        </w:rPr>
        <w:t>‑</w:t>
      </w:r>
      <w:r>
        <w:rPr>
          <w:rFonts w:ascii="Arial" w:eastAsia="굴림" w:hAnsi="Arial" w:cs="Arial"/>
          <w:color w:val="000000"/>
          <w:kern w:val="0"/>
          <w:sz w:val="22"/>
        </w:rPr>
        <w:t>5286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, 1:3000)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antibodies w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ere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obtained from 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 xml:space="preserve">Santa Cruz Biotechnology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Inc. (Santa Cruz, CA, USA). </w:t>
      </w:r>
      <w:r>
        <w:rPr>
          <w:rFonts w:ascii="Arial" w:eastAsia="굴림" w:hAnsi="Arial" w:cs="Arial"/>
          <w:color w:val="000000"/>
          <w:kern w:val="0"/>
          <w:sz w:val="22"/>
        </w:rPr>
        <w:t>C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>ycloheximide (CHX) w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as 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>purchased from Sigma- Aldrich (St Louis, MO, USA)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and 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 xml:space="preserve">MG132 was </w:t>
      </w:r>
      <w:r>
        <w:rPr>
          <w:rFonts w:ascii="Arial" w:eastAsia="굴림" w:hAnsi="Arial" w:cs="Arial"/>
          <w:color w:val="000000"/>
          <w:kern w:val="0"/>
          <w:sz w:val="22"/>
        </w:rPr>
        <w:t>obtain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 xml:space="preserve">ed from Santa Cruz Biotechnology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Inc.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 xml:space="preserve"> (Santa Cruz, CA, USA). </w:t>
      </w:r>
      <w:r>
        <w:rPr>
          <w:rFonts w:ascii="Arial" w:eastAsia="굴림" w:hAnsi="Arial" w:cs="Arial"/>
          <w:color w:val="000000"/>
          <w:kern w:val="0"/>
          <w:sz w:val="22"/>
        </w:rPr>
        <w:t>Cytochrome C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 (cat. No. </w:t>
      </w:r>
      <w:r>
        <w:rPr>
          <w:rFonts w:ascii="Arial" w:eastAsia="굴림" w:hAnsi="Arial" w:cs="Arial"/>
          <w:color w:val="000000"/>
          <w:kern w:val="0"/>
          <w:sz w:val="22"/>
        </w:rPr>
        <w:t>BD556433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, 1:3000)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and </w:t>
      </w:r>
      <w:proofErr w:type="spellStart"/>
      <w:r>
        <w:rPr>
          <w:rFonts w:ascii="Arial" w:eastAsia="굴림" w:hAnsi="Arial" w:cs="Arial"/>
          <w:color w:val="000000"/>
          <w:kern w:val="0"/>
          <w:sz w:val="22"/>
        </w:rPr>
        <w:t>CoxVI</w:t>
      </w:r>
      <w:proofErr w:type="spellEnd"/>
      <w:r>
        <w:rPr>
          <w:rFonts w:ascii="Arial" w:eastAsia="굴림" w:hAnsi="Arial" w:cs="Arial"/>
          <w:color w:val="000000"/>
          <w:kern w:val="0"/>
          <w:sz w:val="22"/>
        </w:rPr>
        <w:t xml:space="preserve"> 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 xml:space="preserve">(cat. No. </w:t>
      </w:r>
      <w:r>
        <w:rPr>
          <w:rFonts w:ascii="Arial" w:eastAsia="굴림" w:hAnsi="Arial" w:cs="Arial"/>
          <w:color w:val="000000"/>
          <w:kern w:val="0"/>
          <w:sz w:val="22"/>
        </w:rPr>
        <w:t>ab16056</w:t>
      </w:r>
      <w:r w:rsidRPr="00982583">
        <w:rPr>
          <w:rFonts w:ascii="Arial" w:eastAsia="굴림" w:hAnsi="Arial" w:cs="Arial"/>
          <w:color w:val="000000"/>
          <w:kern w:val="0"/>
          <w:sz w:val="22"/>
        </w:rPr>
        <w:t>, 1:3000)</w:t>
      </w:r>
      <w:r>
        <w:rPr>
          <w:rFonts w:ascii="Arial" w:eastAsia="굴림" w:hAnsi="Arial" w:cs="Arial"/>
          <w:color w:val="000000"/>
          <w:kern w:val="0"/>
          <w:sz w:val="22"/>
        </w:rPr>
        <w:t xml:space="preserve"> were obtained from BD (Franklin Lakes, NJ, USA), and Abcam (Cambridge, UK), respectively. 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 xml:space="preserve">All chemicals were dissolved in </w:t>
      </w:r>
      <w:r>
        <w:rPr>
          <w:rFonts w:ascii="Arial" w:eastAsia="굴림" w:hAnsi="Arial" w:cs="Arial"/>
          <w:color w:val="000000"/>
          <w:kern w:val="0"/>
          <w:sz w:val="22"/>
        </w:rPr>
        <w:t>DMSO</w:t>
      </w:r>
      <w:r w:rsidRPr="00B82A18">
        <w:rPr>
          <w:rFonts w:ascii="Arial" w:eastAsia="굴림" w:hAnsi="Arial" w:cs="Arial"/>
          <w:color w:val="000000"/>
          <w:kern w:val="0"/>
          <w:sz w:val="22"/>
        </w:rPr>
        <w:t xml:space="preserve"> and stored at −20°C.</w:t>
      </w:r>
    </w:p>
    <w:p w14:paraId="2A22E729" w14:textId="77777777" w:rsidR="006C3F32" w:rsidRPr="00277041" w:rsidRDefault="006C3F32" w:rsidP="006C3F32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Arial" w:eastAsia="굴림" w:hAnsi="Arial" w:cs="Arial"/>
          <w:kern w:val="0"/>
          <w:sz w:val="22"/>
        </w:rPr>
      </w:pPr>
      <w:r w:rsidRPr="00277041">
        <w:rPr>
          <w:rFonts w:ascii="Arial" w:eastAsia="굴림" w:hAnsi="Arial" w:cs="Arial"/>
          <w:b/>
          <w:bCs/>
          <w:color w:val="000000"/>
          <w:kern w:val="0"/>
          <w:sz w:val="22"/>
        </w:rPr>
        <w:lastRenderedPageBreak/>
        <w:t>Quantitative real-Time PCR (qPCR) </w:t>
      </w:r>
    </w:p>
    <w:p w14:paraId="75B5A2F7" w14:textId="0140FB8B" w:rsidR="009528CD" w:rsidRPr="00C92B2A" w:rsidRDefault="006C3F32" w:rsidP="00C92B2A">
      <w:pPr>
        <w:widowControl/>
        <w:wordWrap/>
        <w:autoSpaceDE/>
        <w:autoSpaceDN/>
        <w:adjustRightInd w:val="0"/>
        <w:snapToGrid w:val="0"/>
        <w:spacing w:after="0" w:line="480" w:lineRule="auto"/>
      </w:pPr>
      <w:r w:rsidRPr="00D67F0D">
        <w:rPr>
          <w:rFonts w:ascii="Arial" w:hAnsi="Arial" w:cs="Arial"/>
          <w:color w:val="000000" w:themeColor="text1"/>
          <w:sz w:val="22"/>
        </w:rPr>
        <w:t xml:space="preserve">The total RNA was extracted using Trizol Reagent. Then, 1 </w:t>
      </w:r>
      <w:r w:rsidRPr="00D67F0D">
        <w:rPr>
          <w:rFonts w:ascii="Arial" w:eastAsia="굴림" w:hAnsi="Arial" w:cs="Arial"/>
          <w:color w:val="000000"/>
          <w:kern w:val="0"/>
          <w:sz w:val="22"/>
        </w:rPr>
        <w:t>μg</w:t>
      </w:r>
      <w:r w:rsidRPr="00D67F0D">
        <w:rPr>
          <w:rFonts w:ascii="Arial" w:hAnsi="Arial" w:cs="Arial"/>
          <w:color w:val="000000" w:themeColor="text1"/>
          <w:sz w:val="22"/>
        </w:rPr>
        <w:t xml:space="preserve"> of the extracted RNA was reverse-transcribed using the AMPIGENE cDNA Synthesis Kit and the resulting cDNA was subjected to PCR using AMPIGENE qPCR Green Mix Hi-</w:t>
      </w:r>
      <w:proofErr w:type="spellStart"/>
      <w:r w:rsidRPr="00D67F0D">
        <w:rPr>
          <w:rFonts w:ascii="Arial" w:hAnsi="Arial" w:cs="Arial"/>
          <w:color w:val="000000" w:themeColor="text1"/>
          <w:sz w:val="22"/>
        </w:rPr>
        <w:t>Rox</w:t>
      </w:r>
      <w:proofErr w:type="spellEnd"/>
      <w:r w:rsidRPr="00D67F0D">
        <w:rPr>
          <w:rFonts w:ascii="Arial" w:hAnsi="Arial" w:cs="Arial"/>
          <w:color w:val="000000" w:themeColor="text1"/>
          <w:sz w:val="22"/>
        </w:rPr>
        <w:t xml:space="preserve">. The quantitative PCR was performed using the Applied Biosystems </w:t>
      </w:r>
      <w:proofErr w:type="spellStart"/>
      <w:r w:rsidRPr="00D67F0D">
        <w:rPr>
          <w:rFonts w:ascii="Arial" w:hAnsi="Arial" w:cs="Arial"/>
          <w:color w:val="000000" w:themeColor="text1"/>
          <w:sz w:val="22"/>
        </w:rPr>
        <w:t>StepOnePlus</w:t>
      </w:r>
      <w:proofErr w:type="spellEnd"/>
      <w:r w:rsidRPr="00D67F0D">
        <w:rPr>
          <w:rFonts w:ascii="Arial" w:hAnsi="Arial" w:cs="Arial"/>
          <w:color w:val="000000" w:themeColor="text1"/>
          <w:sz w:val="22"/>
        </w:rPr>
        <w:t xml:space="preserve"> Real-Time PCR System with PCR conditions that included a 95°C temperature for 2 minutes, followed by 40 cycles of 95°C for 10 seconds and 60°C for 30 seconds. The relative expression levels of each gene were normalized to GAPDH and calculated using the 2^-Delta </w:t>
      </w:r>
      <w:proofErr w:type="spellStart"/>
      <w:r w:rsidRPr="00D67F0D">
        <w:rPr>
          <w:rFonts w:ascii="Arial" w:hAnsi="Arial" w:cs="Arial"/>
          <w:color w:val="000000" w:themeColor="text1"/>
          <w:sz w:val="22"/>
        </w:rPr>
        <w:t>Delta</w:t>
      </w:r>
      <w:proofErr w:type="spellEnd"/>
      <w:r w:rsidRPr="00D67F0D">
        <w:rPr>
          <w:rFonts w:ascii="Arial" w:hAnsi="Arial" w:cs="Arial"/>
          <w:color w:val="000000" w:themeColor="text1"/>
          <w:sz w:val="22"/>
        </w:rPr>
        <w:t xml:space="preserve"> CT method.</w:t>
      </w:r>
      <w:r>
        <w:rPr>
          <w:rFonts w:ascii="Arial" w:hAnsi="Arial" w:cs="Arial"/>
          <w:color w:val="000000" w:themeColor="text1"/>
          <w:sz w:val="22"/>
        </w:rPr>
        <w:t xml:space="preserve"> </w:t>
      </w:r>
      <w:r w:rsidRPr="00D67F0D">
        <w:rPr>
          <w:rFonts w:ascii="Arial" w:hAnsi="Arial" w:cs="Arial"/>
          <w:color w:val="000000" w:themeColor="text1"/>
          <w:sz w:val="22"/>
        </w:rPr>
        <w:t>The</w:t>
      </w:r>
      <w:r w:rsidRPr="00666829">
        <w:rPr>
          <w:rFonts w:ascii="Arial" w:eastAsia="굴림" w:hAnsi="Arial" w:cs="Arial"/>
          <w:color w:val="000000"/>
          <w:kern w:val="0"/>
          <w:sz w:val="22"/>
        </w:rPr>
        <w:t xml:space="preserve"> qPCR primers were as follows:</w:t>
      </w:r>
      <w:r w:rsidRPr="00666829">
        <w:rPr>
          <w:rFonts w:ascii="Arial" w:eastAsia="굴림" w:hAnsi="Arial" w:cs="Arial"/>
          <w:color w:val="000000"/>
          <w:w w:val="90"/>
          <w:kern w:val="0"/>
          <w:sz w:val="22"/>
        </w:rPr>
        <w:t xml:space="preserve"> Mcl-1 sense, 5’- GTATCACAGACGTTCTCG-3’, Mcl-1 anti-sense 5’- AGAGGACCTAGAAGGTGG-3’, </w:t>
      </w:r>
      <w:r w:rsidRPr="00666829">
        <w:rPr>
          <w:rFonts w:ascii="Arial" w:eastAsia="굴림" w:hAnsi="Arial" w:cs="Arial"/>
          <w:color w:val="000000"/>
          <w:w w:val="80"/>
          <w:kern w:val="0"/>
          <w:sz w:val="22"/>
        </w:rPr>
        <w:t>GAPDH sense, 5’-GTGGTCTCCTCTGACTTCAAC-3’, GAPDH anti-sense, 5’-CCTGTTGCTGTAGCCAAATTC-3</w:t>
      </w:r>
      <w:r>
        <w:rPr>
          <w:rFonts w:ascii="Arial" w:eastAsia="굴림" w:hAnsi="Arial" w:cs="Arial"/>
          <w:color w:val="000000"/>
          <w:w w:val="80"/>
          <w:kern w:val="0"/>
          <w:sz w:val="22"/>
        </w:rPr>
        <w:t>’</w:t>
      </w:r>
      <w:r w:rsidRPr="00666829">
        <w:rPr>
          <w:rFonts w:ascii="Arial" w:eastAsia="굴림" w:hAnsi="Arial" w:cs="Arial"/>
          <w:color w:val="000000"/>
          <w:w w:val="90"/>
          <w:kern w:val="0"/>
          <w:sz w:val="22"/>
        </w:rPr>
        <w:t>.</w:t>
      </w:r>
    </w:p>
    <w:sectPr w:rsidR="009528CD" w:rsidRPr="00C92B2A" w:rsidSect="00C92B2A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3ED5C" w14:textId="77777777" w:rsidR="00C92B2A" w:rsidRDefault="00C92B2A" w:rsidP="00C92B2A">
      <w:pPr>
        <w:spacing w:after="0" w:line="240" w:lineRule="auto"/>
      </w:pPr>
      <w:r>
        <w:separator/>
      </w:r>
    </w:p>
  </w:endnote>
  <w:endnote w:type="continuationSeparator" w:id="0">
    <w:p w14:paraId="68C41BEE" w14:textId="77777777" w:rsidR="00C92B2A" w:rsidRDefault="00C92B2A" w:rsidP="00C92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A49DF" w14:textId="77777777" w:rsidR="00C92B2A" w:rsidRDefault="00C92B2A" w:rsidP="00C92B2A">
      <w:pPr>
        <w:spacing w:after="0" w:line="240" w:lineRule="auto"/>
      </w:pPr>
      <w:r>
        <w:separator/>
      </w:r>
    </w:p>
  </w:footnote>
  <w:footnote w:type="continuationSeparator" w:id="0">
    <w:p w14:paraId="1D43A54D" w14:textId="77777777" w:rsidR="00C92B2A" w:rsidRDefault="00C92B2A" w:rsidP="00C92B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F32"/>
    <w:rsid w:val="006C3F32"/>
    <w:rsid w:val="009528CD"/>
    <w:rsid w:val="00C9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5D79A"/>
  <w15:chartTrackingRefBased/>
  <w15:docId w15:val="{53C6443B-32BF-44DA-A884-D9B2292FC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3F32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2B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92B2A"/>
  </w:style>
  <w:style w:type="paragraph" w:styleId="a4">
    <w:name w:val="footer"/>
    <w:basedOn w:val="a"/>
    <w:link w:val="Char0"/>
    <w:uiPriority w:val="99"/>
    <w:unhideWhenUsed/>
    <w:rsid w:val="00C92B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92B2A"/>
  </w:style>
  <w:style w:type="character" w:styleId="a5">
    <w:name w:val="line number"/>
    <w:basedOn w:val="a0"/>
    <w:uiPriority w:val="99"/>
    <w:semiHidden/>
    <w:unhideWhenUsed/>
    <w:rsid w:val="00C92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 joyanddelight</dc:creator>
  <cp:keywords/>
  <dc:description/>
  <cp:lastModifiedBy>Super joyanddelight</cp:lastModifiedBy>
  <cp:revision>2</cp:revision>
  <dcterms:created xsi:type="dcterms:W3CDTF">2023-02-10T08:48:00Z</dcterms:created>
  <dcterms:modified xsi:type="dcterms:W3CDTF">2023-03-01T10:09:00Z</dcterms:modified>
</cp:coreProperties>
</file>