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FA898" w14:textId="6E25FA25" w:rsidR="00B405BB" w:rsidRDefault="00475934" w:rsidP="00475934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S</w:t>
      </w:r>
      <w:r w:rsidR="00804CA0">
        <w:rPr>
          <w:rFonts w:ascii="Times New Roman" w:eastAsia="微软雅黑" w:hAnsi="Times New Roman" w:cs="Times New Roman"/>
          <w:b/>
          <w:kern w:val="0"/>
          <w:sz w:val="24"/>
          <w:szCs w:val="24"/>
        </w:rPr>
        <w:t>upplementary Figure Legends</w:t>
      </w:r>
    </w:p>
    <w:p w14:paraId="7A33AFA6" w14:textId="0330A06B" w:rsidR="00B405BB" w:rsidRDefault="00B405BB" w:rsidP="00B405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47593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Differential expression of FZD7 in </w:t>
      </w:r>
      <w:r w:rsidR="00475934">
        <w:rPr>
          <w:rFonts w:ascii="Times New Roman" w:hAnsi="Times New Roman" w:cs="Times New Roman" w:hint="eastAsia"/>
          <w:b/>
          <w:bCs/>
          <w:sz w:val="24"/>
          <w:szCs w:val="24"/>
        </w:rPr>
        <w:t>PAAD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475934">
        <w:rPr>
          <w:rFonts w:ascii="Times New Roman" w:hAnsi="Times New Roman" w:cs="Times New Roman" w:hint="eastAsia"/>
          <w:b/>
          <w:bCs/>
          <w:sz w:val="24"/>
          <w:szCs w:val="24"/>
        </w:rPr>
        <w:t>READ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F3109">
        <w:rPr>
          <w:rFonts w:ascii="Times New Roman" w:hAnsi="Times New Roman" w:cs="Times New Roman"/>
          <w:sz w:val="24"/>
          <w:szCs w:val="24"/>
        </w:rPr>
        <w:t xml:space="preserve"> (A</w:t>
      </w:r>
      <w:r w:rsidR="00475934">
        <w:rPr>
          <w:rFonts w:ascii="Times New Roman" w:hAnsi="Times New Roman" w:cs="Times New Roman"/>
          <w:sz w:val="24"/>
          <w:szCs w:val="24"/>
        </w:rPr>
        <w:t>-</w:t>
      </w:r>
      <w:r w:rsidR="00475934">
        <w:rPr>
          <w:rFonts w:ascii="Times New Roman" w:hAnsi="Times New Roman" w:cs="Times New Roman" w:hint="eastAsia"/>
          <w:sz w:val="24"/>
          <w:szCs w:val="24"/>
        </w:rPr>
        <w:t>B</w:t>
      </w:r>
      <w:r w:rsidRPr="002F3109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Violin plot of c</w:t>
      </w:r>
      <w:r w:rsidRPr="002F3109">
        <w:rPr>
          <w:rFonts w:ascii="Times New Roman" w:hAnsi="Times New Roman" w:cs="Times New Roman"/>
          <w:sz w:val="24"/>
          <w:szCs w:val="24"/>
        </w:rPr>
        <w:t xml:space="preserve">orrelation analysis between expression levels of FZD7 and </w:t>
      </w:r>
      <w:r>
        <w:rPr>
          <w:rFonts w:ascii="Times New Roman" w:hAnsi="Times New Roman" w:cs="Times New Roman"/>
          <w:sz w:val="24"/>
          <w:szCs w:val="24"/>
        </w:rPr>
        <w:t xml:space="preserve">tumor </w:t>
      </w:r>
      <w:r w:rsidRPr="002F3109">
        <w:rPr>
          <w:rFonts w:ascii="Times New Roman" w:hAnsi="Times New Roman" w:cs="Times New Roman"/>
          <w:sz w:val="24"/>
          <w:szCs w:val="24"/>
        </w:rPr>
        <w:t>pathologic s</w:t>
      </w:r>
      <w:r w:rsidRPr="00CC0A85">
        <w:rPr>
          <w:rFonts w:ascii="Times New Roman" w:hAnsi="Times New Roman" w:cs="Times New Roman"/>
          <w:sz w:val="24"/>
          <w:szCs w:val="24"/>
        </w:rPr>
        <w:t>tages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="00475934">
        <w:rPr>
          <w:rFonts w:ascii="Times New Roman" w:hAnsi="Times New Roman" w:cs="Times New Roman" w:hint="eastAsia"/>
          <w:sz w:val="24"/>
          <w:szCs w:val="24"/>
        </w:rPr>
        <w:t>PAAD</w:t>
      </w:r>
      <w:r w:rsidR="00475934">
        <w:rPr>
          <w:rFonts w:ascii="Times New Roman" w:hAnsi="Times New Roman" w:cs="Times New Roman"/>
          <w:sz w:val="24"/>
          <w:szCs w:val="24"/>
        </w:rPr>
        <w:t xml:space="preserve"> </w:t>
      </w:r>
      <w:r w:rsidR="00475934">
        <w:rPr>
          <w:rFonts w:ascii="Times New Roman" w:hAnsi="Times New Roman" w:cs="Times New Roman" w:hint="eastAsia"/>
          <w:sz w:val="24"/>
          <w:szCs w:val="24"/>
        </w:rPr>
        <w:t>and</w:t>
      </w:r>
      <w:r w:rsidR="00475934">
        <w:rPr>
          <w:rFonts w:ascii="Times New Roman" w:hAnsi="Times New Roman" w:cs="Times New Roman"/>
          <w:sz w:val="24"/>
          <w:szCs w:val="24"/>
        </w:rPr>
        <w:t xml:space="preserve"> </w:t>
      </w:r>
      <w:r w:rsidR="00475934">
        <w:rPr>
          <w:rFonts w:ascii="Times New Roman" w:hAnsi="Times New Roman" w:cs="Times New Roman" w:hint="eastAsia"/>
          <w:sz w:val="24"/>
          <w:szCs w:val="24"/>
        </w:rPr>
        <w:t>READ</w:t>
      </w:r>
      <w:r w:rsidRPr="00CC0A85">
        <w:rPr>
          <w:rFonts w:ascii="Times New Roman" w:hAnsi="Times New Roman" w:cs="Times New Roman"/>
          <w:sz w:val="24"/>
          <w:szCs w:val="24"/>
        </w:rPr>
        <w:t>.</w:t>
      </w:r>
    </w:p>
    <w:p w14:paraId="2BE66ABE" w14:textId="77777777" w:rsidR="00B405BB" w:rsidRDefault="00B405BB" w:rsidP="00B405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7C3D60" w14:textId="4264EDF5" w:rsidR="00B405BB" w:rsidRDefault="00B405BB" w:rsidP="004759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47593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7593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47593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47593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0CB1" w:rsidRPr="00DA0CB1">
        <w:rPr>
          <w:rFonts w:ascii="Times New Roman" w:hAnsi="Times New Roman" w:cs="Times New Roman"/>
          <w:b/>
          <w:bCs/>
          <w:sz w:val="24"/>
          <w:szCs w:val="24"/>
        </w:rPr>
        <w:t>FZD7 expression and immune infiltration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759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475934">
        <w:rPr>
          <w:rFonts w:ascii="Times New Roman" w:hAnsi="Times New Roman" w:cs="Times New Roman" w:hint="eastAsia"/>
          <w:sz w:val="24"/>
          <w:szCs w:val="24"/>
        </w:rPr>
        <w:t>S</w:t>
      </w:r>
      <w:r w:rsidR="00475934">
        <w:rPr>
          <w:rFonts w:ascii="Times New Roman" w:hAnsi="Times New Roman" w:cs="Times New Roman"/>
          <w:sz w:val="24"/>
          <w:szCs w:val="24"/>
        </w:rPr>
        <w:t xml:space="preserve">2 </w:t>
      </w:r>
      <w:r w:rsidR="00475934"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="009B2999" w:rsidRPr="009B2999">
        <w:t xml:space="preserve"> </w:t>
      </w:r>
      <w:r w:rsidR="009B2999" w:rsidRPr="009B2999">
        <w:rPr>
          <w:rFonts w:ascii="Times New Roman" w:hAnsi="Times New Roman" w:cs="Times New Roman"/>
          <w:sz w:val="24"/>
          <w:szCs w:val="24"/>
        </w:rPr>
        <w:t>Scatter plots of immune infiltration levels of MDSCs, (</w:t>
      </w:r>
      <w:r w:rsidR="00475934">
        <w:rPr>
          <w:rFonts w:ascii="Times New Roman" w:hAnsi="Times New Roman" w:cs="Times New Roman" w:hint="eastAsia"/>
          <w:sz w:val="24"/>
          <w:szCs w:val="24"/>
        </w:rPr>
        <w:t>S</w:t>
      </w:r>
      <w:r w:rsidR="00475934">
        <w:rPr>
          <w:rFonts w:ascii="Times New Roman" w:hAnsi="Times New Roman" w:cs="Times New Roman"/>
          <w:sz w:val="24"/>
          <w:szCs w:val="24"/>
        </w:rPr>
        <w:t xml:space="preserve">2 </w:t>
      </w:r>
      <w:r w:rsidR="00475934">
        <w:rPr>
          <w:rFonts w:ascii="Times New Roman" w:hAnsi="Times New Roman" w:cs="Times New Roman" w:hint="eastAsia"/>
          <w:sz w:val="24"/>
          <w:szCs w:val="24"/>
        </w:rPr>
        <w:t>B</w:t>
      </w:r>
      <w:r w:rsidR="009B2999" w:rsidRPr="009B2999">
        <w:rPr>
          <w:rFonts w:ascii="Times New Roman" w:hAnsi="Times New Roman" w:cs="Times New Roman"/>
          <w:sz w:val="24"/>
          <w:szCs w:val="24"/>
        </w:rPr>
        <w:t>) TAM cells, and (</w:t>
      </w:r>
      <w:r w:rsidR="00475934">
        <w:rPr>
          <w:rFonts w:ascii="Times New Roman" w:hAnsi="Times New Roman" w:cs="Times New Roman" w:hint="eastAsia"/>
          <w:sz w:val="24"/>
          <w:szCs w:val="24"/>
        </w:rPr>
        <w:t>S</w:t>
      </w:r>
      <w:r w:rsidR="00475934">
        <w:rPr>
          <w:rFonts w:ascii="Times New Roman" w:hAnsi="Times New Roman" w:cs="Times New Roman"/>
          <w:sz w:val="24"/>
          <w:szCs w:val="24"/>
        </w:rPr>
        <w:t xml:space="preserve">3 </w:t>
      </w:r>
      <w:r w:rsidR="00475934">
        <w:rPr>
          <w:rFonts w:ascii="Times New Roman" w:hAnsi="Times New Roman" w:cs="Times New Roman" w:hint="eastAsia"/>
          <w:sz w:val="24"/>
          <w:szCs w:val="24"/>
        </w:rPr>
        <w:t>A</w:t>
      </w:r>
      <w:r w:rsidR="009B2999" w:rsidRPr="009B2999">
        <w:rPr>
          <w:rFonts w:ascii="Times New Roman" w:hAnsi="Times New Roman" w:cs="Times New Roman"/>
          <w:sz w:val="24"/>
          <w:szCs w:val="24"/>
        </w:rPr>
        <w:t>) Tregs cells and FZD7 expression in several tumors.</w:t>
      </w:r>
    </w:p>
    <w:p w14:paraId="554B6CAE" w14:textId="77777777" w:rsidR="00B405BB" w:rsidRDefault="00B405BB" w:rsidP="00B405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954320" w14:textId="17C1D020" w:rsidR="00B405BB" w:rsidRDefault="00B405BB" w:rsidP="00B405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47593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475934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0CB1" w:rsidRPr="00DA0CB1">
        <w:rPr>
          <w:rFonts w:ascii="Times New Roman" w:hAnsi="Times New Roman" w:cs="Times New Roman"/>
          <w:b/>
          <w:bCs/>
          <w:sz w:val="24"/>
          <w:szCs w:val="24"/>
        </w:rPr>
        <w:t>Enrichment analysis associated with the FZD7 gene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475934"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Gene Ontology (GO)</w:t>
      </w:r>
      <w:r w:rsidRPr="002054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ana</w:t>
      </w:r>
      <w:r>
        <w:rPr>
          <w:rFonts w:ascii="Times New Roman" w:hAnsi="Times New Roman" w:cs="Times New Roman"/>
          <w:sz w:val="24"/>
          <w:szCs w:val="24"/>
        </w:rPr>
        <w:t xml:space="preserve">lysis </w:t>
      </w:r>
      <w:r w:rsidRPr="002054A3">
        <w:rPr>
          <w:rFonts w:ascii="Times New Roman" w:hAnsi="Times New Roman" w:cs="Times New Roman"/>
          <w:sz w:val="24"/>
          <w:szCs w:val="24"/>
        </w:rPr>
        <w:t xml:space="preserve">based </w:t>
      </w:r>
      <w:r>
        <w:rPr>
          <w:rFonts w:ascii="Times New Roman" w:hAnsi="Times New Roman" w:cs="Times New Roman"/>
          <w:sz w:val="24"/>
          <w:szCs w:val="24"/>
        </w:rPr>
        <w:t>on FZD7. (</w:t>
      </w:r>
      <w:r w:rsidR="00475934"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A26C3F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A26C3F">
        <w:rPr>
          <w:rFonts w:ascii="Times New Roman" w:hAnsi="Times New Roman" w:cs="Times New Roman"/>
          <w:sz w:val="24"/>
          <w:szCs w:val="24"/>
        </w:rPr>
        <w:t>CancerSEA</w:t>
      </w:r>
      <w:proofErr w:type="spellEnd"/>
      <w:r w:rsidRPr="00A26C3F">
        <w:rPr>
          <w:rFonts w:ascii="Times New Roman" w:hAnsi="Times New Roman" w:cs="Times New Roman"/>
          <w:sz w:val="24"/>
          <w:szCs w:val="24"/>
        </w:rPr>
        <w:t xml:space="preserve"> database was used to perform single-cell analysis to determine the function of</w:t>
      </w:r>
      <w:r w:rsidRPr="002561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FZD</w:t>
      </w:r>
      <w:r w:rsidRPr="0025613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(</w:t>
      </w:r>
      <w:r w:rsidR="00475934"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BE5797">
        <w:rPr>
          <w:rFonts w:ascii="Times New Roman" w:hAnsi="Times New Roman" w:cs="Times New Roman"/>
          <w:sz w:val="24"/>
          <w:szCs w:val="24"/>
        </w:rPr>
        <w:t xml:space="preserve">Gene set enrichment analysis </w:t>
      </w:r>
      <w:r>
        <w:rPr>
          <w:rFonts w:ascii="Times New Roman" w:hAnsi="Times New Roman" w:cs="Times New Roman"/>
          <w:sz w:val="24"/>
          <w:szCs w:val="24"/>
        </w:rPr>
        <w:t xml:space="preserve">(GSEA) </w:t>
      </w:r>
      <w:r w:rsidRPr="00BE5797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FZD7-</w:t>
      </w:r>
      <w:r w:rsidRPr="00BE5797">
        <w:rPr>
          <w:rFonts w:ascii="Times New Roman" w:hAnsi="Times New Roman" w:cs="Times New Roman"/>
          <w:sz w:val="24"/>
          <w:szCs w:val="24"/>
        </w:rPr>
        <w:t>related signaling pathways based on TCGA HCC data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E3CFC63" w14:textId="77777777" w:rsidR="00B405BB" w:rsidRDefault="00B405BB" w:rsidP="00B405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9D377E" w14:textId="34DF39D8" w:rsidR="00B405BB" w:rsidRDefault="00B405BB" w:rsidP="00083F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47593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47593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0CB1" w:rsidRPr="00DA0CB1">
        <w:rPr>
          <w:rFonts w:ascii="Times New Roman" w:hAnsi="Times New Roman" w:cs="Times New Roman"/>
          <w:b/>
          <w:bCs/>
          <w:sz w:val="24"/>
          <w:szCs w:val="24"/>
        </w:rPr>
        <w:t>Somatic mutation landscape and function analysis in FZD7-high and low groups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3F54">
        <w:rPr>
          <w:rFonts w:ascii="Times New Roman" w:hAnsi="Times New Roman" w:cs="Times New Roman"/>
          <w:sz w:val="24"/>
          <w:szCs w:val="24"/>
        </w:rPr>
        <w:t>(</w:t>
      </w:r>
      <w:r w:rsidR="00475934">
        <w:rPr>
          <w:rFonts w:ascii="Times New Roman" w:hAnsi="Times New Roman" w:cs="Times New Roman" w:hint="eastAsia"/>
          <w:sz w:val="24"/>
          <w:szCs w:val="24"/>
        </w:rPr>
        <w:t>A</w:t>
      </w:r>
      <w:r w:rsidR="00083F54">
        <w:rPr>
          <w:rFonts w:ascii="Times New Roman" w:hAnsi="Times New Roman" w:cs="Times New Roman"/>
          <w:sz w:val="24"/>
          <w:szCs w:val="24"/>
        </w:rPr>
        <w:t>)</w:t>
      </w:r>
      <w:r w:rsidR="00083F54" w:rsidRPr="00083F54">
        <w:t xml:space="preserve"> </w:t>
      </w:r>
      <w:r w:rsidR="00475934">
        <w:rPr>
          <w:rFonts w:ascii="Times New Roman" w:hAnsi="Times New Roman" w:cs="Times New Roman" w:hint="eastAsia"/>
          <w:sz w:val="24"/>
          <w:szCs w:val="24"/>
        </w:rPr>
        <w:t>T</w:t>
      </w:r>
      <w:r w:rsidR="00083F54">
        <w:rPr>
          <w:rFonts w:ascii="Times New Roman" w:hAnsi="Times New Roman" w:cs="Times New Roman"/>
          <w:sz w:val="24"/>
          <w:szCs w:val="24"/>
        </w:rPr>
        <w:t>wo subtypes were identified in TCGA</w:t>
      </w:r>
      <w:r w:rsidR="002816DC">
        <w:rPr>
          <w:rFonts w:ascii="Times New Roman" w:hAnsi="Times New Roman" w:cs="Times New Roman"/>
          <w:sz w:val="24"/>
          <w:szCs w:val="24"/>
        </w:rPr>
        <w:t xml:space="preserve"> according the results Figure 7A</w:t>
      </w:r>
      <w:r w:rsidR="00083F54">
        <w:rPr>
          <w:rFonts w:ascii="Times New Roman" w:hAnsi="Times New Roman" w:cs="Times New Roman"/>
          <w:sz w:val="24"/>
          <w:szCs w:val="24"/>
        </w:rPr>
        <w:t>. (</w:t>
      </w:r>
      <w:r w:rsidR="00475934">
        <w:rPr>
          <w:rFonts w:ascii="Times New Roman" w:hAnsi="Times New Roman" w:cs="Times New Roman" w:hint="eastAsia"/>
          <w:sz w:val="24"/>
          <w:szCs w:val="24"/>
        </w:rPr>
        <w:t>B</w:t>
      </w:r>
      <w:r w:rsidR="00083F54">
        <w:rPr>
          <w:rFonts w:ascii="Times New Roman" w:hAnsi="Times New Roman" w:cs="Times New Roman"/>
          <w:sz w:val="24"/>
          <w:szCs w:val="24"/>
        </w:rPr>
        <w:t>)</w:t>
      </w:r>
      <w:r w:rsidR="005B45A5" w:rsidRPr="005B45A5">
        <w:t xml:space="preserve"> </w:t>
      </w:r>
      <w:r w:rsidR="005B45A5" w:rsidRPr="005B45A5">
        <w:rPr>
          <w:rFonts w:ascii="Times New Roman" w:hAnsi="Times New Roman" w:cs="Times New Roman"/>
          <w:sz w:val="24"/>
          <w:szCs w:val="24"/>
        </w:rPr>
        <w:t>Kaplan-Meier curves</w:t>
      </w:r>
      <w:r w:rsidR="005B45A5">
        <w:rPr>
          <w:rFonts w:ascii="Times New Roman" w:hAnsi="Times New Roman" w:cs="Times New Roman"/>
          <w:sz w:val="24"/>
          <w:szCs w:val="24"/>
        </w:rPr>
        <w:t xml:space="preserve"> were performed in C1 </w:t>
      </w:r>
      <w:r w:rsidR="005B45A5" w:rsidRPr="001B796F">
        <w:rPr>
          <w:rFonts w:ascii="Times New Roman" w:hAnsi="Times New Roman" w:cs="Times New Roman"/>
          <w:sz w:val="24"/>
          <w:szCs w:val="24"/>
        </w:rPr>
        <w:t>subtype</w:t>
      </w:r>
      <w:r w:rsidR="005B45A5">
        <w:rPr>
          <w:rFonts w:ascii="Times New Roman" w:hAnsi="Times New Roman" w:cs="Times New Roman"/>
          <w:sz w:val="24"/>
          <w:szCs w:val="24"/>
        </w:rPr>
        <w:t xml:space="preserve"> and C2 </w:t>
      </w:r>
      <w:r w:rsidR="005B45A5" w:rsidRPr="001B796F">
        <w:rPr>
          <w:rFonts w:ascii="Times New Roman" w:hAnsi="Times New Roman" w:cs="Times New Roman"/>
          <w:sz w:val="24"/>
          <w:szCs w:val="24"/>
        </w:rPr>
        <w:t>subtype</w:t>
      </w:r>
      <w:r w:rsidR="005B45A5">
        <w:rPr>
          <w:rFonts w:ascii="Times New Roman" w:hAnsi="Times New Roman" w:cs="Times New Roman"/>
          <w:sz w:val="24"/>
          <w:szCs w:val="24"/>
        </w:rPr>
        <w:t>. (</w:t>
      </w:r>
      <w:r w:rsidR="00475934">
        <w:rPr>
          <w:rFonts w:ascii="Times New Roman" w:hAnsi="Times New Roman" w:cs="Times New Roman" w:hint="eastAsia"/>
          <w:sz w:val="24"/>
          <w:szCs w:val="24"/>
        </w:rPr>
        <w:t>C</w:t>
      </w:r>
      <w:r w:rsidR="005B45A5">
        <w:rPr>
          <w:rFonts w:ascii="Times New Roman" w:hAnsi="Times New Roman" w:cs="Times New Roman"/>
          <w:sz w:val="24"/>
          <w:szCs w:val="24"/>
        </w:rPr>
        <w:t>)</w:t>
      </w:r>
      <w:r w:rsidR="005B45A5" w:rsidRPr="005B45A5">
        <w:t xml:space="preserve"> </w:t>
      </w:r>
      <w:r w:rsidR="005B45A5">
        <w:rPr>
          <w:rFonts w:ascii="Times New Roman" w:hAnsi="Times New Roman" w:cs="Times New Roman"/>
          <w:sz w:val="24"/>
          <w:szCs w:val="24"/>
        </w:rPr>
        <w:t>I</w:t>
      </w:r>
      <w:r w:rsidR="005B45A5" w:rsidRPr="005B45A5">
        <w:rPr>
          <w:rFonts w:ascii="Times New Roman" w:hAnsi="Times New Roman" w:cs="Times New Roman"/>
          <w:sz w:val="24"/>
          <w:szCs w:val="24"/>
        </w:rPr>
        <w:t>mmune infiltration analysis</w:t>
      </w:r>
      <w:r w:rsidR="005B45A5">
        <w:rPr>
          <w:rFonts w:ascii="Times New Roman" w:hAnsi="Times New Roman" w:cs="Times New Roman"/>
          <w:sz w:val="24"/>
          <w:szCs w:val="24"/>
        </w:rPr>
        <w:t xml:space="preserve"> </w:t>
      </w:r>
      <w:r w:rsidR="002816DC">
        <w:rPr>
          <w:rFonts w:ascii="Times New Roman" w:hAnsi="Times New Roman" w:cs="Times New Roman"/>
          <w:sz w:val="24"/>
          <w:szCs w:val="24"/>
        </w:rPr>
        <w:t>was</w:t>
      </w:r>
      <w:r w:rsidR="005B45A5">
        <w:rPr>
          <w:rFonts w:ascii="Times New Roman" w:hAnsi="Times New Roman" w:cs="Times New Roman"/>
          <w:sz w:val="24"/>
          <w:szCs w:val="24"/>
        </w:rPr>
        <w:t xml:space="preserve"> performed.</w:t>
      </w:r>
    </w:p>
    <w:p w14:paraId="65237AAA" w14:textId="77777777" w:rsidR="005B45A5" w:rsidRDefault="005B45A5" w:rsidP="00083F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627273" w14:textId="77777777" w:rsidR="005A49F1" w:rsidRDefault="00B405BB" w:rsidP="00B405B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A49F1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5A49F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0CB1" w:rsidRPr="00DA0CB1">
        <w:rPr>
          <w:rFonts w:ascii="Times New Roman" w:hAnsi="Times New Roman" w:cs="Times New Roman"/>
          <w:b/>
          <w:bCs/>
          <w:sz w:val="24"/>
          <w:szCs w:val="24"/>
        </w:rPr>
        <w:t>Differentially expressed genes (DEGs) analysis and construction the prognostic model</w:t>
      </w:r>
      <w:r w:rsidRPr="00480B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A49F1"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5B45A5" w:rsidRPr="005B45A5">
        <w:rPr>
          <w:rFonts w:ascii="Times New Roman" w:hAnsi="Times New Roman" w:cs="Times New Roman"/>
          <w:kern w:val="0"/>
          <w:sz w:val="24"/>
          <w:szCs w:val="24"/>
        </w:rPr>
        <w:t xml:space="preserve">HCC patients in TCGA and ICGC-JP were divided into high-risk and low-risk groups based on the median values of the risk score formula. 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A49F1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5B45A5" w:rsidRPr="005B45A5">
        <w:rPr>
          <w:rFonts w:ascii="Times New Roman" w:hAnsi="Times New Roman" w:cs="Times New Roman"/>
          <w:kern w:val="0"/>
          <w:sz w:val="24"/>
          <w:szCs w:val="24"/>
        </w:rPr>
        <w:lastRenderedPageBreak/>
        <w:t>Kaplan-Meier curves indicated that the low-risk group had a significantly superior prognosis compared with the high-risk group of HCC patients (P=3.44e-07)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>. (</w:t>
      </w:r>
      <w:r w:rsidR="005A49F1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5B45A5" w:rsidRPr="005B45A5">
        <w:rPr>
          <w:rFonts w:ascii="Times New Roman" w:hAnsi="Times New Roman" w:cs="Times New Roman"/>
          <w:kern w:val="0"/>
          <w:sz w:val="24"/>
          <w:szCs w:val="24"/>
        </w:rPr>
        <w:t>In TCGA HCC, the values of area under the curve (AUC) in receiver operating characteristic (ROC) at 1, 2 and 3 years were 0.766, 0.705 and 0.702, respectively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>. (</w:t>
      </w:r>
      <w:r w:rsidR="005A49F1">
        <w:rPr>
          <w:rFonts w:ascii="Times New Roman" w:hAnsi="Times New Roman" w:cs="Times New Roman" w:hint="eastAsia"/>
          <w:kern w:val="0"/>
          <w:sz w:val="24"/>
          <w:szCs w:val="24"/>
        </w:rPr>
        <w:t>D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>)</w:t>
      </w:r>
      <w:r w:rsidR="005B45A5" w:rsidRPr="005B45A5">
        <w:t xml:space="preserve"> </w:t>
      </w:r>
      <w:proofErr w:type="gramStart"/>
      <w:r w:rsidR="005B45A5" w:rsidRPr="005B45A5">
        <w:rPr>
          <w:rFonts w:ascii="Times New Roman" w:hAnsi="Times New Roman" w:cs="Times New Roman"/>
          <w:kern w:val="0"/>
          <w:sz w:val="24"/>
          <w:szCs w:val="24"/>
        </w:rPr>
        <w:t>he</w:t>
      </w:r>
      <w:proofErr w:type="gramEnd"/>
      <w:r w:rsidR="005B45A5" w:rsidRPr="005B45A5">
        <w:rPr>
          <w:rFonts w:ascii="Times New Roman" w:hAnsi="Times New Roman" w:cs="Times New Roman"/>
          <w:kern w:val="0"/>
          <w:sz w:val="24"/>
          <w:szCs w:val="24"/>
        </w:rPr>
        <w:t xml:space="preserve"> proportion of patients with HCC in the high-risk group and the proportion of patients who died of HCC both increased as the risk score increased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>. (</w:t>
      </w:r>
      <w:r w:rsidR="005A49F1"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5B45A5" w:rsidRPr="005B45A5">
        <w:rPr>
          <w:rFonts w:ascii="Times New Roman" w:hAnsi="Times New Roman" w:cs="Times New Roman"/>
          <w:kern w:val="0"/>
          <w:sz w:val="24"/>
          <w:szCs w:val="24"/>
        </w:rPr>
        <w:t xml:space="preserve">Kaplan-Meier curves 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 xml:space="preserve">were performed </w:t>
      </w:r>
      <w:r w:rsidR="005B45A5" w:rsidRPr="005B45A5">
        <w:rPr>
          <w:rFonts w:ascii="Times New Roman" w:hAnsi="Times New Roman" w:cs="Times New Roman"/>
          <w:kern w:val="0"/>
          <w:sz w:val="24"/>
          <w:szCs w:val="24"/>
        </w:rPr>
        <w:t xml:space="preserve">in the low-risk group </w:t>
      </w:r>
      <w:r w:rsidR="005B45A5">
        <w:rPr>
          <w:rFonts w:ascii="Times New Roman" w:hAnsi="Times New Roman" w:cs="Times New Roman"/>
          <w:kern w:val="0"/>
          <w:sz w:val="24"/>
          <w:szCs w:val="24"/>
        </w:rPr>
        <w:t>and</w:t>
      </w:r>
      <w:r w:rsidR="005B45A5" w:rsidRPr="005B45A5">
        <w:rPr>
          <w:rFonts w:ascii="Times New Roman" w:hAnsi="Times New Roman" w:cs="Times New Roman"/>
          <w:kern w:val="0"/>
          <w:sz w:val="24"/>
          <w:szCs w:val="24"/>
        </w:rPr>
        <w:t xml:space="preserve"> the high-risk group (P&lt;0.001)</w:t>
      </w:r>
      <w:r w:rsidR="00DA0CB1">
        <w:rPr>
          <w:rFonts w:ascii="Times New Roman" w:hAnsi="Times New Roman" w:cs="Times New Roman"/>
          <w:kern w:val="0"/>
          <w:sz w:val="24"/>
          <w:szCs w:val="24"/>
        </w:rPr>
        <w:t xml:space="preserve">. (J) The curves of ROC were performed in </w:t>
      </w:r>
      <w:r w:rsidR="00DA0CB1">
        <w:rPr>
          <w:rFonts w:ascii="Times New Roman" w:hAnsi="Times New Roman" w:cs="Times New Roman"/>
          <w:sz w:val="24"/>
          <w:szCs w:val="24"/>
        </w:rPr>
        <w:t xml:space="preserve">ICGC-JP. </w:t>
      </w:r>
    </w:p>
    <w:p w14:paraId="601584DD" w14:textId="77777777" w:rsidR="005A49F1" w:rsidRDefault="005A49F1" w:rsidP="00B405B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0012079" w14:textId="5E756EF8" w:rsidR="00B405BB" w:rsidRDefault="005A49F1" w:rsidP="00B405B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49F1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5A49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A49F1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5A49F1">
        <w:rPr>
          <w:rFonts w:ascii="Times New Roman" w:hAnsi="Times New Roman" w:cs="Times New Roman"/>
          <w:b/>
          <w:bCs/>
          <w:sz w:val="24"/>
          <w:szCs w:val="24"/>
        </w:rPr>
        <w:t xml:space="preserve">7 </w:t>
      </w:r>
      <w:r w:rsidR="00DA0CB1" w:rsidRPr="005A49F1">
        <w:rPr>
          <w:rFonts w:ascii="Times New Roman" w:hAnsi="Times New Roman" w:cs="Times New Roman"/>
          <w:sz w:val="24"/>
          <w:szCs w:val="24"/>
        </w:rPr>
        <w:t>(</w:t>
      </w:r>
      <w:r w:rsidRPr="005A49F1">
        <w:rPr>
          <w:rFonts w:ascii="Times New Roman" w:hAnsi="Times New Roman" w:cs="Times New Roman" w:hint="eastAsia"/>
          <w:sz w:val="24"/>
          <w:szCs w:val="24"/>
        </w:rPr>
        <w:t>A</w:t>
      </w:r>
      <w:r w:rsidR="00DA0CB1" w:rsidRPr="005A49F1">
        <w:rPr>
          <w:rFonts w:ascii="Times New Roman" w:hAnsi="Times New Roman" w:cs="Times New Roman"/>
          <w:sz w:val="24"/>
          <w:szCs w:val="24"/>
        </w:rPr>
        <w:t>-</w:t>
      </w:r>
      <w:r w:rsidRPr="005A49F1">
        <w:rPr>
          <w:rFonts w:ascii="Times New Roman" w:hAnsi="Times New Roman" w:cs="Times New Roman" w:hint="eastAsia"/>
          <w:sz w:val="24"/>
          <w:szCs w:val="24"/>
        </w:rPr>
        <w:t>C</w:t>
      </w:r>
      <w:r w:rsidR="00DA0CB1" w:rsidRPr="005A49F1">
        <w:rPr>
          <w:rFonts w:ascii="Times New Roman" w:hAnsi="Times New Roman" w:cs="Times New Roman"/>
          <w:sz w:val="24"/>
          <w:szCs w:val="24"/>
        </w:rPr>
        <w:t>)</w:t>
      </w:r>
      <w:r w:rsidR="00DA0CB1" w:rsidRPr="005A49F1">
        <w:t xml:space="preserve"> </w:t>
      </w:r>
      <w:r w:rsidR="00DA0CB1">
        <w:rPr>
          <w:rFonts w:ascii="Times New Roman" w:hAnsi="Times New Roman" w:cs="Times New Roman"/>
          <w:sz w:val="24"/>
          <w:szCs w:val="24"/>
        </w:rPr>
        <w:t>W</w:t>
      </w:r>
      <w:r w:rsidR="00DA0CB1" w:rsidRPr="00DA0CB1">
        <w:rPr>
          <w:rFonts w:ascii="Times New Roman" w:hAnsi="Times New Roman" w:cs="Times New Roman"/>
          <w:sz w:val="24"/>
          <w:szCs w:val="24"/>
        </w:rPr>
        <w:t>e included clinical variables and risk</w:t>
      </w:r>
      <w:r w:rsidR="00DA0CB1">
        <w:rPr>
          <w:rFonts w:ascii="Times New Roman" w:hAnsi="Times New Roman" w:cs="Times New Roman"/>
          <w:sz w:val="24"/>
          <w:szCs w:val="24"/>
        </w:rPr>
        <w:t xml:space="preserve"> </w:t>
      </w:r>
      <w:r w:rsidR="00DA0CB1" w:rsidRPr="00DA0CB1">
        <w:rPr>
          <w:rFonts w:ascii="Times New Roman" w:hAnsi="Times New Roman" w:cs="Times New Roman"/>
          <w:sz w:val="24"/>
          <w:szCs w:val="24"/>
        </w:rPr>
        <w:t xml:space="preserve">Score in the univariate and multivariate Cox regression analyses in the TCGA HCC sets. </w:t>
      </w:r>
    </w:p>
    <w:p w14:paraId="6B66ADB7" w14:textId="77777777" w:rsidR="00DA0CB1" w:rsidRPr="003A530C" w:rsidRDefault="00DA0CB1" w:rsidP="00B405B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A0CB1" w:rsidRPr="003A53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3BCEC" w14:textId="77777777" w:rsidR="00A1431B" w:rsidRDefault="00A1431B" w:rsidP="00B405BB">
      <w:r>
        <w:separator/>
      </w:r>
    </w:p>
  </w:endnote>
  <w:endnote w:type="continuationSeparator" w:id="0">
    <w:p w14:paraId="20FEE308" w14:textId="77777777" w:rsidR="00A1431B" w:rsidRDefault="00A1431B" w:rsidP="00B40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54745" w14:textId="77777777" w:rsidR="00A1431B" w:rsidRDefault="00A1431B" w:rsidP="00B405BB">
      <w:r>
        <w:separator/>
      </w:r>
    </w:p>
  </w:footnote>
  <w:footnote w:type="continuationSeparator" w:id="0">
    <w:p w14:paraId="63BFB449" w14:textId="77777777" w:rsidR="00A1431B" w:rsidRDefault="00A1431B" w:rsidP="00B405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Q1NjYwtDQ0sDQ1NbRU0lEKTi0uzszPAykwqQUAaooghCwAAAA="/>
  </w:docVars>
  <w:rsids>
    <w:rsidRoot w:val="009724F2"/>
    <w:rsid w:val="00083F54"/>
    <w:rsid w:val="0009147D"/>
    <w:rsid w:val="00175371"/>
    <w:rsid w:val="0024526A"/>
    <w:rsid w:val="002816DC"/>
    <w:rsid w:val="002F6C3A"/>
    <w:rsid w:val="003A530C"/>
    <w:rsid w:val="004205BB"/>
    <w:rsid w:val="00475934"/>
    <w:rsid w:val="005A49F1"/>
    <w:rsid w:val="005B45A5"/>
    <w:rsid w:val="006B222B"/>
    <w:rsid w:val="00804CA0"/>
    <w:rsid w:val="009724F2"/>
    <w:rsid w:val="009B2999"/>
    <w:rsid w:val="00A1431B"/>
    <w:rsid w:val="00B405BB"/>
    <w:rsid w:val="00C62EBD"/>
    <w:rsid w:val="00CF1FC1"/>
    <w:rsid w:val="00D14876"/>
    <w:rsid w:val="00D76B02"/>
    <w:rsid w:val="00DA0CB1"/>
    <w:rsid w:val="00EE5868"/>
    <w:rsid w:val="00FD5567"/>
    <w:rsid w:val="00FF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FCF0B6"/>
  <w15:chartTrackingRefBased/>
  <w15:docId w15:val="{59B56B08-6ED6-4FFF-A012-F599F8000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5BB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5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05BB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B405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05BB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 CJ</dc:creator>
  <cp:keywords/>
  <dc:description/>
  <cp:lastModifiedBy>Guan CJ</cp:lastModifiedBy>
  <cp:revision>14</cp:revision>
  <dcterms:created xsi:type="dcterms:W3CDTF">2023-01-30T06:16:00Z</dcterms:created>
  <dcterms:modified xsi:type="dcterms:W3CDTF">2023-03-13T10:41:00Z</dcterms:modified>
</cp:coreProperties>
</file>