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519F2A" w14:textId="40CC17D3" w:rsidR="009108EE" w:rsidRDefault="009108EE" w:rsidP="005E35F7">
      <w:pPr>
        <w:spacing w:after="0" w:line="240" w:lineRule="auto"/>
        <w:jc w:val="left"/>
        <w:rPr>
          <w:b/>
          <w:sz w:val="24"/>
          <w:szCs w:val="24"/>
          <w:lang w:val="en-US"/>
        </w:rPr>
      </w:pPr>
      <w:r w:rsidRPr="009108EE">
        <w:rPr>
          <w:b/>
          <w:sz w:val="24"/>
          <w:szCs w:val="24"/>
          <w:lang w:val="en-US"/>
        </w:rPr>
        <w:t>Extended Data Figures</w:t>
      </w:r>
    </w:p>
    <w:p w14:paraId="70BAD164" w14:textId="77777777" w:rsidR="009108EE" w:rsidRPr="009108EE" w:rsidRDefault="009108EE" w:rsidP="005E35F7">
      <w:pPr>
        <w:spacing w:after="0" w:line="240" w:lineRule="auto"/>
        <w:jc w:val="left"/>
        <w:rPr>
          <w:b/>
          <w:sz w:val="24"/>
          <w:szCs w:val="24"/>
          <w:lang w:val="en-US"/>
        </w:rPr>
      </w:pPr>
    </w:p>
    <w:p w14:paraId="1ADA7714" w14:textId="5241AB33" w:rsidR="00D63963" w:rsidRDefault="00D63963" w:rsidP="005E35F7">
      <w:pPr>
        <w:spacing w:after="0" w:line="240" w:lineRule="auto"/>
        <w:jc w:val="left"/>
        <w:rPr>
          <w:b/>
          <w:lang w:val="en-US"/>
        </w:rPr>
      </w:pPr>
      <w:r>
        <w:rPr>
          <w:b/>
          <w:noProof/>
          <w:lang w:val="en-US"/>
        </w:rPr>
        <w:drawing>
          <wp:anchor distT="0" distB="0" distL="114300" distR="114300" simplePos="0" relativeHeight="251656192" behindDoc="0" locked="0" layoutInCell="1" allowOverlap="1" wp14:anchorId="7EAD678D" wp14:editId="349CD2E7">
            <wp:simplePos x="0" y="0"/>
            <wp:positionH relativeFrom="column">
              <wp:posOffset>-69850</wp:posOffset>
            </wp:positionH>
            <wp:positionV relativeFrom="paragraph">
              <wp:posOffset>404</wp:posOffset>
            </wp:positionV>
            <wp:extent cx="5759240" cy="4270938"/>
            <wp:effectExtent l="0" t="0" r="0" b="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referRelativeResize="0">
                      <a:picLocks noChangeAspect="1"/>
                    </pic:cNvPicPr>
                  </pic:nvPicPr>
                  <pic:blipFill>
                    <a:blip r:embed="rId7" cstate="print">
                      <a:extLst>
                        <a:ext uri="{28A0092B-C50C-407E-A947-70E740481C1C}">
                          <a14:useLocalDpi xmlns:a14="http://schemas.microsoft.com/office/drawing/2010/main"/>
                        </a:ext>
                      </a:extLst>
                    </a:blip>
                    <a:srcRect/>
                    <a:stretch/>
                  </pic:blipFill>
                  <pic:spPr>
                    <a:xfrm>
                      <a:off x="0" y="0"/>
                      <a:ext cx="5759240" cy="4270938"/>
                    </a:xfrm>
                    <a:prstGeom prst="rect">
                      <a:avLst/>
                    </a:prstGeom>
                  </pic:spPr>
                </pic:pic>
              </a:graphicData>
            </a:graphic>
          </wp:anchor>
        </w:drawing>
      </w:r>
    </w:p>
    <w:p w14:paraId="30AF86A8" w14:textId="3183D5F7" w:rsidR="00D63963" w:rsidRPr="00221536" w:rsidRDefault="00D63963" w:rsidP="00D63963">
      <w:pPr>
        <w:spacing w:line="276" w:lineRule="auto"/>
        <w:rPr>
          <w:b/>
          <w:bCs/>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1</w:t>
      </w:r>
      <w:r w:rsidRPr="00192CBD">
        <w:rPr>
          <w:b/>
          <w:bCs/>
          <w:i/>
          <w:iCs/>
          <w:sz w:val="20"/>
          <w:szCs w:val="20"/>
          <w:lang w:val="en-US"/>
        </w:rPr>
        <w:t xml:space="preserve">. </w:t>
      </w:r>
      <w:r>
        <w:rPr>
          <w:b/>
          <w:bCs/>
          <w:i/>
          <w:iCs/>
          <w:sz w:val="20"/>
          <w:szCs w:val="20"/>
          <w:lang w:val="en-US"/>
        </w:rPr>
        <w:t>Determination of the reaction constants and binding affinities.</w:t>
      </w:r>
      <w:r>
        <w:rPr>
          <w:b/>
          <w:bCs/>
          <w:i/>
          <w:iCs/>
          <w:sz w:val="20"/>
          <w:szCs w:val="20"/>
          <w:lang w:val="en-US"/>
        </w:rPr>
        <w:br/>
        <w:t>A.</w:t>
      </w:r>
      <w:r>
        <w:rPr>
          <w:i/>
          <w:iCs/>
          <w:sz w:val="20"/>
          <w:szCs w:val="20"/>
          <w:lang w:val="en-US"/>
        </w:rPr>
        <w:t xml:space="preserve"> Kinetics </w:t>
      </w:r>
      <w:r w:rsidR="009E361F">
        <w:rPr>
          <w:i/>
          <w:iCs/>
          <w:sz w:val="20"/>
          <w:szCs w:val="20"/>
          <w:lang w:val="en-US"/>
        </w:rPr>
        <w:t xml:space="preserve">of 20 mM DIC hydration </w:t>
      </w:r>
      <w:r>
        <w:rPr>
          <w:i/>
          <w:iCs/>
          <w:sz w:val="20"/>
          <w:szCs w:val="20"/>
          <w:lang w:val="en-US"/>
        </w:rPr>
        <w:t>in 200 mM MES buffer at pH 5.3</w:t>
      </w:r>
      <w:r w:rsidR="009E361F">
        <w:rPr>
          <w:i/>
          <w:iCs/>
          <w:sz w:val="20"/>
          <w:szCs w:val="20"/>
          <w:lang w:val="en-US"/>
        </w:rPr>
        <w:t xml:space="preserve"> measured by NMR</w:t>
      </w:r>
      <w:r>
        <w:rPr>
          <w:i/>
          <w:iCs/>
          <w:sz w:val="20"/>
          <w:szCs w:val="20"/>
          <w:lang w:val="en-US"/>
        </w:rPr>
        <w:t xml:space="preserve">.  </w:t>
      </w:r>
      <w:r>
        <w:rPr>
          <w:b/>
          <w:bCs/>
          <w:i/>
          <w:iCs/>
          <w:sz w:val="20"/>
          <w:szCs w:val="20"/>
          <w:lang w:val="en-US"/>
        </w:rPr>
        <w:t>B.</w:t>
      </w:r>
      <w:r>
        <w:rPr>
          <w:i/>
          <w:iCs/>
          <w:sz w:val="20"/>
          <w:szCs w:val="20"/>
          <w:lang w:val="en-US"/>
        </w:rPr>
        <w:t xml:space="preserve"> Kinetics of the DIC hydration catalyzed by the precursor. </w:t>
      </w:r>
      <w:r w:rsidRPr="00C12C55">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 xml:space="preserve">10 mM precursor and 200 mM MES at pH 5.3. Error bars represent the standard deviation of triplicate measurements (N=3). Solid lines represent the fits of the kinetic model. </w:t>
      </w:r>
      <w:r>
        <w:rPr>
          <w:b/>
          <w:bCs/>
          <w:i/>
          <w:iCs/>
          <w:sz w:val="20"/>
          <w:szCs w:val="20"/>
          <w:lang w:val="en-US"/>
        </w:rPr>
        <w:t xml:space="preserve">C. </w:t>
      </w:r>
      <w:r>
        <w:rPr>
          <w:i/>
          <w:iCs/>
          <w:sz w:val="20"/>
          <w:szCs w:val="20"/>
          <w:lang w:val="en-US"/>
        </w:rPr>
        <w:t>Formation of the product upon addition of DIC</w:t>
      </w:r>
      <w:r w:rsidR="009E361F">
        <w:rPr>
          <w:i/>
          <w:iCs/>
          <w:sz w:val="20"/>
          <w:szCs w:val="20"/>
          <w:lang w:val="en-US"/>
        </w:rPr>
        <w:t xml:space="preserve"> measured by HPLC</w:t>
      </w:r>
      <w:r>
        <w:rPr>
          <w:i/>
          <w:iCs/>
          <w:sz w:val="20"/>
          <w:szCs w:val="20"/>
          <w:lang w:val="en-US"/>
        </w:rPr>
        <w:t xml:space="preserve">. </w:t>
      </w:r>
      <w:r w:rsidRPr="00C12C55">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 xml:space="preserve">10 mM precursor and 200 mM MES at pH 5.3. Error bars represent the standard deviation of triplicate measurements (N=3). Solid lines represent the fits of the kinetic model. </w:t>
      </w:r>
      <w:r>
        <w:rPr>
          <w:b/>
          <w:bCs/>
          <w:i/>
          <w:iCs/>
          <w:sz w:val="20"/>
          <w:szCs w:val="20"/>
          <w:lang w:val="en-US"/>
        </w:rPr>
        <w:t>D</w:t>
      </w:r>
      <w:r>
        <w:rPr>
          <w:i/>
          <w:iCs/>
          <w:sz w:val="20"/>
          <w:szCs w:val="20"/>
          <w:lang w:val="en-US"/>
        </w:rPr>
        <w:t>-</w:t>
      </w:r>
      <w:r>
        <w:rPr>
          <w:b/>
          <w:bCs/>
          <w:i/>
          <w:iCs/>
          <w:sz w:val="20"/>
          <w:szCs w:val="20"/>
          <w:lang w:val="en-US"/>
        </w:rPr>
        <w:t>F.</w:t>
      </w:r>
      <w:r>
        <w:rPr>
          <w:i/>
          <w:iCs/>
          <w:sz w:val="20"/>
          <w:szCs w:val="20"/>
          <w:lang w:val="en-US"/>
        </w:rPr>
        <w:t xml:space="preserve"> The change in enthalpy measured by ITC for the interaction between precursor (</w:t>
      </w:r>
      <w:r>
        <w:rPr>
          <w:b/>
          <w:bCs/>
          <w:i/>
          <w:iCs/>
          <w:sz w:val="20"/>
          <w:szCs w:val="20"/>
          <w:lang w:val="en-US"/>
        </w:rPr>
        <w:t>D</w:t>
      </w:r>
      <w:r>
        <w:rPr>
          <w:i/>
          <w:iCs/>
          <w:sz w:val="20"/>
          <w:szCs w:val="20"/>
          <w:lang w:val="en-US"/>
        </w:rPr>
        <w:t>) or product* (</w:t>
      </w:r>
      <w:r>
        <w:rPr>
          <w:b/>
          <w:bCs/>
          <w:i/>
          <w:iCs/>
          <w:sz w:val="20"/>
          <w:szCs w:val="20"/>
          <w:lang w:val="en-US"/>
        </w:rPr>
        <w:t>E</w:t>
      </w:r>
      <w:r>
        <w:rPr>
          <w:i/>
          <w:iCs/>
          <w:sz w:val="20"/>
          <w:szCs w:val="20"/>
          <w:lang w:val="en-US"/>
        </w:rPr>
        <w:t xml:space="preserve">) and pSS. Gray data points were not included in the fitting because they showed signs of coacervation. The solid lines represent the fit of the </w:t>
      </w:r>
      <w:r w:rsidRPr="00846F35">
        <w:rPr>
          <w:i/>
          <w:iCs/>
          <w:sz w:val="20"/>
          <w:szCs w:val="20"/>
          <w:lang w:val="en-US"/>
        </w:rPr>
        <w:t>PEAQ-ITC Analysis software</w:t>
      </w:r>
      <w:r>
        <w:rPr>
          <w:i/>
          <w:iCs/>
          <w:sz w:val="20"/>
          <w:szCs w:val="20"/>
          <w:lang w:val="en-US"/>
        </w:rPr>
        <w:t xml:space="preserve">. </w:t>
      </w:r>
      <w:r>
        <w:rPr>
          <w:b/>
          <w:bCs/>
          <w:i/>
          <w:iCs/>
          <w:sz w:val="20"/>
          <w:szCs w:val="20"/>
          <w:lang w:val="en-US"/>
        </w:rPr>
        <w:t>F.</w:t>
      </w:r>
      <w:r>
        <w:rPr>
          <w:i/>
          <w:iCs/>
          <w:sz w:val="20"/>
          <w:szCs w:val="20"/>
          <w:lang w:val="en-US"/>
        </w:rPr>
        <w:t> Dissociation constant K</w:t>
      </w:r>
      <w:r>
        <w:rPr>
          <w:i/>
          <w:iCs/>
          <w:sz w:val="20"/>
          <w:szCs w:val="20"/>
          <w:vertAlign w:val="subscript"/>
          <w:lang w:val="en-US"/>
        </w:rPr>
        <w:t>D</w:t>
      </w:r>
      <w:r>
        <w:rPr>
          <w:i/>
          <w:iCs/>
          <w:sz w:val="20"/>
          <w:szCs w:val="20"/>
          <w:lang w:val="en-US"/>
        </w:rPr>
        <w:t xml:space="preserve"> and free energy ΔG of the interaction between precursor/product* and pSS.</w:t>
      </w:r>
    </w:p>
    <w:p w14:paraId="2E548606" w14:textId="2EBA0070" w:rsidR="00D63963" w:rsidRDefault="00D63963">
      <w:pPr>
        <w:spacing w:after="0" w:line="240" w:lineRule="auto"/>
        <w:jc w:val="left"/>
        <w:rPr>
          <w:b/>
          <w:lang w:val="en-US"/>
        </w:rPr>
      </w:pPr>
    </w:p>
    <w:p w14:paraId="6008FA03" w14:textId="77777777" w:rsidR="005E35F7" w:rsidRDefault="00D63963" w:rsidP="005E35F7">
      <w:pPr>
        <w:spacing w:after="0" w:line="240" w:lineRule="auto"/>
        <w:jc w:val="left"/>
        <w:rPr>
          <w:b/>
          <w:lang w:val="en-US"/>
        </w:rPr>
      </w:pPr>
      <w:r>
        <w:rPr>
          <w:b/>
          <w:lang w:val="en-US"/>
        </w:rPr>
        <w:br w:type="page"/>
      </w:r>
    </w:p>
    <w:p w14:paraId="786C7F82" w14:textId="0E6BFE57" w:rsidR="00D63963" w:rsidRDefault="00D63963" w:rsidP="005E35F7">
      <w:pPr>
        <w:spacing w:after="0" w:line="240" w:lineRule="auto"/>
        <w:jc w:val="left"/>
        <w:rPr>
          <w:b/>
          <w:lang w:val="en-US"/>
        </w:rPr>
      </w:pPr>
      <w:r>
        <w:rPr>
          <w:b/>
          <w:noProof/>
          <w:lang w:val="en-US"/>
        </w:rPr>
        <w:lastRenderedPageBreak/>
        <w:drawing>
          <wp:anchor distT="0" distB="0" distL="114300" distR="114300" simplePos="0" relativeHeight="251659264" behindDoc="0" locked="0" layoutInCell="1" allowOverlap="1" wp14:anchorId="60995452" wp14:editId="5962327A">
            <wp:simplePos x="0" y="0"/>
            <wp:positionH relativeFrom="column">
              <wp:posOffset>48895</wp:posOffset>
            </wp:positionH>
            <wp:positionV relativeFrom="paragraph">
              <wp:posOffset>520</wp:posOffset>
            </wp:positionV>
            <wp:extent cx="5559726" cy="2935426"/>
            <wp:effectExtent l="0" t="0" r="3175" b="0"/>
            <wp:wrapSquare wrapText="bothSides"/>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fik 42"/>
                    <pic:cNvPicPr preferRelativeResize="0">
                      <a:picLocks noChangeAspect="1"/>
                    </pic:cNvPicPr>
                  </pic:nvPicPr>
                  <pic:blipFill>
                    <a:blip r:embed="rId8" cstate="print">
                      <a:extLst>
                        <a:ext uri="{28A0092B-C50C-407E-A947-70E740481C1C}">
                          <a14:useLocalDpi xmlns:a14="http://schemas.microsoft.com/office/drawing/2010/main"/>
                        </a:ext>
                      </a:extLst>
                    </a:blip>
                    <a:srcRect/>
                    <a:stretch/>
                  </pic:blipFill>
                  <pic:spPr>
                    <a:xfrm>
                      <a:off x="0" y="0"/>
                      <a:ext cx="5559726" cy="2935426"/>
                    </a:xfrm>
                    <a:prstGeom prst="rect">
                      <a:avLst/>
                    </a:prstGeom>
                  </pic:spPr>
                </pic:pic>
              </a:graphicData>
            </a:graphic>
          </wp:anchor>
        </w:drawing>
      </w:r>
    </w:p>
    <w:p w14:paraId="5110923C" w14:textId="0DD1A670" w:rsidR="00D63963" w:rsidRPr="00220005" w:rsidRDefault="00D63963" w:rsidP="00D63963">
      <w:pPr>
        <w:spacing w:line="276" w:lineRule="auto"/>
        <w:rPr>
          <w:bCs/>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2</w:t>
      </w:r>
      <w:r w:rsidRPr="00192CBD">
        <w:rPr>
          <w:b/>
          <w:bCs/>
          <w:i/>
          <w:iCs/>
          <w:sz w:val="20"/>
          <w:szCs w:val="20"/>
          <w:lang w:val="en-US"/>
        </w:rPr>
        <w:t xml:space="preserve">. </w:t>
      </w:r>
      <w:r>
        <w:rPr>
          <w:b/>
          <w:bCs/>
          <w:i/>
          <w:iCs/>
          <w:sz w:val="20"/>
          <w:szCs w:val="20"/>
          <w:lang w:val="en-US"/>
        </w:rPr>
        <w:t>Batch fueling of active droplets</w:t>
      </w:r>
      <w:r w:rsidRPr="005D382E">
        <w:rPr>
          <w:b/>
          <w:bCs/>
          <w:i/>
          <w:iCs/>
          <w:sz w:val="20"/>
          <w:szCs w:val="20"/>
          <w:lang w:val="en-US"/>
        </w:rPr>
        <w:t xml:space="preserve">. A. </w:t>
      </w:r>
      <w:r w:rsidRPr="005D382E">
        <w:rPr>
          <w:i/>
          <w:iCs/>
          <w:sz w:val="20"/>
          <w:szCs w:val="20"/>
          <w:lang w:val="en-US"/>
        </w:rPr>
        <w:t>Images of a</w:t>
      </w:r>
      <w:r>
        <w:rPr>
          <w:i/>
          <w:iCs/>
          <w:sz w:val="20"/>
          <w:szCs w:val="20"/>
          <w:lang w:val="en-US"/>
        </w:rPr>
        <w:t xml:space="preserve">n HPLC inlet containing a solution of </w:t>
      </w:r>
      <w:r w:rsidRPr="005D382E">
        <w:rPr>
          <w:bCs/>
          <w:i/>
          <w:iCs/>
          <w:sz w:val="20"/>
          <w:szCs w:val="20"/>
          <w:lang w:val="en-US"/>
        </w:rPr>
        <w:t>22 mM precursor, 12 mM pSS, and 0.1 µM sulforhodamine B</w:t>
      </w:r>
      <w:r w:rsidRPr="005D382E">
        <w:rPr>
          <w:b/>
          <w:i/>
          <w:iCs/>
          <w:sz w:val="20"/>
          <w:szCs w:val="20"/>
          <w:lang w:val="en-US"/>
        </w:rPr>
        <w:t xml:space="preserve"> </w:t>
      </w:r>
      <w:r w:rsidRPr="005D382E">
        <w:rPr>
          <w:bCs/>
          <w:i/>
          <w:iCs/>
          <w:sz w:val="20"/>
          <w:szCs w:val="20"/>
          <w:lang w:val="en-US"/>
        </w:rPr>
        <w:t xml:space="preserve">in 200 mM MES buffer at pH 5.3 fueled with </w:t>
      </w:r>
      <w:r>
        <w:rPr>
          <w:bCs/>
          <w:i/>
          <w:iCs/>
          <w:sz w:val="20"/>
          <w:szCs w:val="20"/>
          <w:lang w:val="en-US"/>
        </w:rPr>
        <w:t>20</w:t>
      </w:r>
      <w:r w:rsidRPr="005D382E">
        <w:rPr>
          <w:bCs/>
          <w:i/>
          <w:iCs/>
          <w:sz w:val="20"/>
          <w:szCs w:val="20"/>
          <w:lang w:val="en-US"/>
        </w:rPr>
        <w:t> mM DIC</w:t>
      </w:r>
      <w:r w:rsidRPr="005D382E">
        <w:rPr>
          <w:i/>
          <w:iCs/>
          <w:sz w:val="20"/>
          <w:szCs w:val="20"/>
          <w:lang w:val="en-US"/>
        </w:rPr>
        <w:t>.</w:t>
      </w:r>
      <w:r>
        <w:rPr>
          <w:i/>
          <w:iCs/>
          <w:sz w:val="20"/>
          <w:szCs w:val="20"/>
          <w:lang w:val="en-US"/>
        </w:rPr>
        <w:t xml:space="preserve"> After </w:t>
      </w:r>
      <w:r w:rsidR="00DE7598">
        <w:rPr>
          <w:i/>
          <w:iCs/>
          <w:sz w:val="20"/>
          <w:szCs w:val="20"/>
          <w:lang w:val="en-US"/>
        </w:rPr>
        <w:t>adding</w:t>
      </w:r>
      <w:r>
        <w:rPr>
          <w:i/>
          <w:iCs/>
          <w:sz w:val="20"/>
          <w:szCs w:val="20"/>
          <w:lang w:val="en-US"/>
        </w:rPr>
        <w:t xml:space="preserve"> the fuel, the sample turned turbid (1 min)</w:t>
      </w:r>
      <w:r w:rsidR="00DE7598">
        <w:rPr>
          <w:i/>
          <w:iCs/>
          <w:sz w:val="20"/>
          <w:szCs w:val="20"/>
          <w:lang w:val="en-US"/>
        </w:rPr>
        <w:t>,</w:t>
      </w:r>
      <w:r>
        <w:rPr>
          <w:i/>
          <w:iCs/>
          <w:sz w:val="20"/>
          <w:szCs w:val="20"/>
          <w:lang w:val="en-US"/>
        </w:rPr>
        <w:t xml:space="preserve"> and a clear solution was obtained again after 18 min. </w:t>
      </w:r>
      <w:r w:rsidRPr="005D382E">
        <w:rPr>
          <w:b/>
          <w:bCs/>
          <w:i/>
          <w:iCs/>
          <w:sz w:val="20"/>
          <w:szCs w:val="20"/>
          <w:lang w:val="en-US"/>
        </w:rPr>
        <w:t xml:space="preserve">B. </w:t>
      </w:r>
      <w:r w:rsidRPr="005D382E">
        <w:rPr>
          <w:bCs/>
          <w:i/>
          <w:iCs/>
          <w:sz w:val="20"/>
          <w:szCs w:val="20"/>
          <w:lang w:val="en-US"/>
        </w:rPr>
        <w:t xml:space="preserve">Confocal microscopy of a solution </w:t>
      </w:r>
      <w:r>
        <w:rPr>
          <w:bCs/>
          <w:i/>
          <w:iCs/>
          <w:sz w:val="20"/>
          <w:szCs w:val="20"/>
          <w:lang w:val="en-US"/>
        </w:rPr>
        <w:t>from A</w:t>
      </w:r>
      <w:r w:rsidRPr="005D382E">
        <w:rPr>
          <w:bCs/>
          <w:i/>
          <w:iCs/>
          <w:sz w:val="20"/>
          <w:szCs w:val="20"/>
          <w:lang w:val="en-US"/>
        </w:rPr>
        <w:t xml:space="preserve"> </w:t>
      </w:r>
      <w:r>
        <w:rPr>
          <w:bCs/>
          <w:i/>
          <w:iCs/>
          <w:sz w:val="20"/>
          <w:szCs w:val="20"/>
          <w:lang w:val="en-US"/>
        </w:rPr>
        <w:t>with</w:t>
      </w:r>
      <w:r w:rsidRPr="005D382E">
        <w:rPr>
          <w:bCs/>
          <w:i/>
          <w:iCs/>
          <w:sz w:val="20"/>
          <w:szCs w:val="20"/>
          <w:lang w:val="en-US"/>
        </w:rPr>
        <w:t xml:space="preserve"> 0.1 µM sulforhodamine B</w:t>
      </w:r>
      <w:r>
        <w:rPr>
          <w:bCs/>
          <w:i/>
          <w:iCs/>
          <w:sz w:val="20"/>
          <w:szCs w:val="20"/>
          <w:lang w:val="en-US"/>
        </w:rPr>
        <w:t xml:space="preserve"> and </w:t>
      </w:r>
      <w:r w:rsidRPr="005D382E">
        <w:rPr>
          <w:bCs/>
          <w:i/>
          <w:iCs/>
          <w:sz w:val="20"/>
          <w:szCs w:val="20"/>
          <w:lang w:val="en-US"/>
        </w:rPr>
        <w:t xml:space="preserve">fueled with </w:t>
      </w:r>
      <w:r>
        <w:rPr>
          <w:bCs/>
          <w:i/>
          <w:iCs/>
          <w:sz w:val="20"/>
          <w:szCs w:val="20"/>
          <w:lang w:val="en-US"/>
        </w:rPr>
        <w:t>10</w:t>
      </w:r>
      <w:r w:rsidRPr="005D382E">
        <w:rPr>
          <w:bCs/>
          <w:i/>
          <w:iCs/>
          <w:sz w:val="20"/>
          <w:szCs w:val="20"/>
          <w:lang w:val="en-US"/>
        </w:rPr>
        <w:t> mM DIC. The active droplets gr</w:t>
      </w:r>
      <w:r>
        <w:rPr>
          <w:bCs/>
          <w:i/>
          <w:iCs/>
          <w:sz w:val="20"/>
          <w:szCs w:val="20"/>
          <w:lang w:val="en-US"/>
        </w:rPr>
        <w:t>e</w:t>
      </w:r>
      <w:r w:rsidRPr="005D382E">
        <w:rPr>
          <w:bCs/>
          <w:i/>
          <w:iCs/>
          <w:sz w:val="20"/>
          <w:szCs w:val="20"/>
          <w:lang w:val="en-US"/>
        </w:rPr>
        <w:t>w and fuse</w:t>
      </w:r>
      <w:r>
        <w:rPr>
          <w:bCs/>
          <w:i/>
          <w:iCs/>
          <w:sz w:val="20"/>
          <w:szCs w:val="20"/>
          <w:lang w:val="en-US"/>
        </w:rPr>
        <w:t>d</w:t>
      </w:r>
      <w:r w:rsidRPr="005D382E">
        <w:rPr>
          <w:bCs/>
          <w:i/>
          <w:iCs/>
          <w:sz w:val="20"/>
          <w:szCs w:val="20"/>
          <w:lang w:val="en-US"/>
        </w:rPr>
        <w:t xml:space="preserve"> initially</w:t>
      </w:r>
      <w:r w:rsidR="00492EEE">
        <w:rPr>
          <w:bCs/>
          <w:i/>
          <w:iCs/>
          <w:sz w:val="20"/>
          <w:szCs w:val="20"/>
          <w:lang w:val="en-US"/>
        </w:rPr>
        <w:t>,</w:t>
      </w:r>
      <w:r w:rsidRPr="005D382E">
        <w:rPr>
          <w:bCs/>
          <w:i/>
          <w:iCs/>
          <w:sz w:val="20"/>
          <w:szCs w:val="20"/>
          <w:lang w:val="en-US"/>
        </w:rPr>
        <w:t xml:space="preserve"> but their size stay</w:t>
      </w:r>
      <w:r>
        <w:rPr>
          <w:bCs/>
          <w:i/>
          <w:iCs/>
          <w:sz w:val="20"/>
          <w:szCs w:val="20"/>
          <w:lang w:val="en-US"/>
        </w:rPr>
        <w:t>ed</w:t>
      </w:r>
      <w:r w:rsidRPr="005D382E">
        <w:rPr>
          <w:bCs/>
          <w:i/>
          <w:iCs/>
          <w:sz w:val="20"/>
          <w:szCs w:val="20"/>
          <w:lang w:val="en-US"/>
        </w:rPr>
        <w:t xml:space="preserve"> below the size of the active droplets fueled with 20 mM DIC</w:t>
      </w:r>
      <w:r>
        <w:rPr>
          <w:bCs/>
          <w:i/>
          <w:iCs/>
          <w:sz w:val="20"/>
          <w:szCs w:val="20"/>
          <w:lang w:val="en-US"/>
        </w:rPr>
        <w:t xml:space="preserve"> (Fig. 1B,C)</w:t>
      </w:r>
      <w:r w:rsidRPr="005D382E">
        <w:rPr>
          <w:bCs/>
          <w:i/>
          <w:iCs/>
          <w:sz w:val="20"/>
          <w:szCs w:val="20"/>
          <w:lang w:val="en-US"/>
        </w:rPr>
        <w:t>. After around 4 min</w:t>
      </w:r>
      <w:r>
        <w:rPr>
          <w:bCs/>
          <w:i/>
          <w:iCs/>
          <w:sz w:val="20"/>
          <w:szCs w:val="20"/>
          <w:lang w:val="en-US"/>
        </w:rPr>
        <w:t>,</w:t>
      </w:r>
      <w:r w:rsidRPr="005D382E">
        <w:rPr>
          <w:bCs/>
          <w:i/>
          <w:iCs/>
          <w:sz w:val="20"/>
          <w:szCs w:val="20"/>
          <w:lang w:val="en-US"/>
        </w:rPr>
        <w:t xml:space="preserve"> they start</w:t>
      </w:r>
      <w:r>
        <w:rPr>
          <w:bCs/>
          <w:i/>
          <w:iCs/>
          <w:sz w:val="20"/>
          <w:szCs w:val="20"/>
          <w:lang w:val="en-US"/>
        </w:rPr>
        <w:t>ed</w:t>
      </w:r>
      <w:r w:rsidRPr="005D382E">
        <w:rPr>
          <w:bCs/>
          <w:i/>
          <w:iCs/>
          <w:sz w:val="20"/>
          <w:szCs w:val="20"/>
          <w:lang w:val="en-US"/>
        </w:rPr>
        <w:t xml:space="preserve"> to </w:t>
      </w:r>
      <w:r>
        <w:rPr>
          <w:bCs/>
          <w:i/>
          <w:iCs/>
          <w:sz w:val="20"/>
          <w:szCs w:val="20"/>
          <w:lang w:val="en-US"/>
        </w:rPr>
        <w:t xml:space="preserve">dissolve without </w:t>
      </w:r>
      <w:r w:rsidR="00492EEE">
        <w:rPr>
          <w:bCs/>
          <w:i/>
          <w:iCs/>
          <w:sz w:val="20"/>
          <w:szCs w:val="20"/>
          <w:lang w:val="en-US"/>
        </w:rPr>
        <w:t>forming</w:t>
      </w:r>
      <w:r w:rsidRPr="005D382E">
        <w:rPr>
          <w:bCs/>
          <w:i/>
          <w:iCs/>
          <w:sz w:val="20"/>
          <w:szCs w:val="20"/>
          <w:lang w:val="en-US"/>
        </w:rPr>
        <w:t xml:space="preserve"> </w:t>
      </w:r>
      <w:r>
        <w:rPr>
          <w:bCs/>
          <w:i/>
          <w:iCs/>
          <w:sz w:val="20"/>
          <w:szCs w:val="20"/>
          <w:lang w:val="en-US"/>
        </w:rPr>
        <w:t>spherical shells</w:t>
      </w:r>
      <w:r w:rsidRPr="005D382E">
        <w:rPr>
          <w:bCs/>
          <w:i/>
          <w:iCs/>
          <w:sz w:val="20"/>
          <w:szCs w:val="20"/>
          <w:lang w:val="en-US"/>
        </w:rPr>
        <w:t>. Imaging was done in PVA-coated ibidi chambers.</w:t>
      </w:r>
      <w:r>
        <w:rPr>
          <w:bCs/>
          <w:i/>
          <w:iCs/>
          <w:sz w:val="20"/>
          <w:szCs w:val="20"/>
          <w:lang w:val="en-US"/>
        </w:rPr>
        <w:t xml:space="preserve"> </w:t>
      </w:r>
      <w:r w:rsidRPr="00220005">
        <w:rPr>
          <w:b/>
          <w:i/>
          <w:iCs/>
          <w:sz w:val="20"/>
          <w:szCs w:val="20"/>
          <w:lang w:val="en-US"/>
        </w:rPr>
        <w:t>C</w:t>
      </w:r>
      <w:r>
        <w:rPr>
          <w:b/>
          <w:i/>
          <w:iCs/>
          <w:sz w:val="20"/>
          <w:szCs w:val="20"/>
          <w:lang w:val="en-US"/>
        </w:rPr>
        <w:t xml:space="preserve"> </w:t>
      </w:r>
      <w:r>
        <w:rPr>
          <w:bCs/>
          <w:i/>
          <w:iCs/>
          <w:sz w:val="20"/>
          <w:szCs w:val="20"/>
          <w:lang w:val="en-US"/>
        </w:rPr>
        <w:t>The volume of each active droplet (blue) is plotted for each time point. No spherical shells (red) were observed. Experiments were performed in triplicate (N=3).</w:t>
      </w:r>
    </w:p>
    <w:p w14:paraId="72603BCE" w14:textId="03C6F51F" w:rsidR="00CD1413" w:rsidRDefault="00CD1413" w:rsidP="004F14A5">
      <w:pPr>
        <w:spacing w:line="276" w:lineRule="auto"/>
        <w:rPr>
          <w:b/>
          <w:lang w:val="en-US"/>
        </w:rPr>
      </w:pPr>
    </w:p>
    <w:p w14:paraId="02B65A44" w14:textId="3546F8E1" w:rsidR="00D63963" w:rsidRDefault="00D63963">
      <w:pPr>
        <w:spacing w:after="0" w:line="240" w:lineRule="auto"/>
        <w:jc w:val="left"/>
        <w:rPr>
          <w:b/>
          <w:lang w:val="en-US"/>
        </w:rPr>
      </w:pPr>
      <w:r>
        <w:rPr>
          <w:b/>
          <w:lang w:val="en-US"/>
        </w:rPr>
        <w:br w:type="page"/>
      </w:r>
    </w:p>
    <w:p w14:paraId="542930B6" w14:textId="6AAC07D1" w:rsidR="0093106C" w:rsidRPr="005E35F7" w:rsidRDefault="0093106C" w:rsidP="0093106C">
      <w:pPr>
        <w:spacing w:line="276" w:lineRule="auto"/>
        <w:rPr>
          <w:b/>
          <w:lang w:val="en-US"/>
        </w:rPr>
      </w:pPr>
      <w:r>
        <w:rPr>
          <w:b/>
          <w:noProof/>
          <w:lang w:val="en-US"/>
        </w:rPr>
        <w:lastRenderedPageBreak/>
        <w:drawing>
          <wp:anchor distT="0" distB="0" distL="114300" distR="114300" simplePos="0" relativeHeight="251662336" behindDoc="0" locked="0" layoutInCell="1" allowOverlap="1" wp14:anchorId="0C1E342F" wp14:editId="580248B4">
            <wp:simplePos x="0" y="0"/>
            <wp:positionH relativeFrom="column">
              <wp:posOffset>0</wp:posOffset>
            </wp:positionH>
            <wp:positionV relativeFrom="paragraph">
              <wp:posOffset>231</wp:posOffset>
            </wp:positionV>
            <wp:extent cx="5668805" cy="2915602"/>
            <wp:effectExtent l="0" t="0" r="0" b="5715"/>
            <wp:wrapSquare wrapText="bothSides"/>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referRelativeResize="0">
                      <a:picLocks noChangeAspect="1"/>
                    </pic:cNvPicPr>
                  </pic:nvPicPr>
                  <pic:blipFill>
                    <a:blip r:embed="rId9" cstate="print">
                      <a:extLst>
                        <a:ext uri="{28A0092B-C50C-407E-A947-70E740481C1C}">
                          <a14:useLocalDpi xmlns:a14="http://schemas.microsoft.com/office/drawing/2010/main"/>
                        </a:ext>
                      </a:extLst>
                    </a:blip>
                    <a:srcRect/>
                    <a:stretch/>
                  </pic:blipFill>
                  <pic:spPr>
                    <a:xfrm>
                      <a:off x="0" y="0"/>
                      <a:ext cx="5668805" cy="2915602"/>
                    </a:xfrm>
                    <a:prstGeom prst="rect">
                      <a:avLst/>
                    </a:prstGeom>
                  </pic:spPr>
                </pic:pic>
              </a:graphicData>
            </a:graphic>
          </wp:anchor>
        </w:drawing>
      </w:r>
    </w:p>
    <w:p w14:paraId="4E1BA91D" w14:textId="42F2DEBE" w:rsidR="0093106C" w:rsidRPr="001E3FC2" w:rsidRDefault="0093106C" w:rsidP="0093106C">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3</w:t>
      </w:r>
      <w:r w:rsidRPr="00192CBD">
        <w:rPr>
          <w:b/>
          <w:bCs/>
          <w:i/>
          <w:iCs/>
          <w:sz w:val="20"/>
          <w:szCs w:val="20"/>
          <w:lang w:val="en-US"/>
        </w:rPr>
        <w:t xml:space="preserve">. </w:t>
      </w:r>
      <w:r>
        <w:rPr>
          <w:b/>
          <w:bCs/>
          <w:i/>
          <w:iCs/>
          <w:sz w:val="20"/>
          <w:szCs w:val="20"/>
          <w:lang w:val="en-US"/>
        </w:rPr>
        <w:t>Total coacervate volumes and reactant concentrations in a steady state. A.</w:t>
      </w:r>
      <w:r>
        <w:rPr>
          <w:i/>
          <w:iCs/>
          <w:sz w:val="20"/>
          <w:szCs w:val="20"/>
          <w:lang w:val="en-US"/>
        </w:rPr>
        <w:t xml:space="preserve"> DIC (fuel) and DIU (waste) concentrations under steady-state conditions were determined by NMR. Conditions were 10 mM precursor and 200 mM MES at pH 5.3. To achieve a steady state, perfluorinated oil containing 0.5 M DIC was added </w:t>
      </w:r>
      <w:r w:rsidR="00DE7598">
        <w:rPr>
          <w:i/>
          <w:iCs/>
          <w:sz w:val="20"/>
          <w:szCs w:val="20"/>
          <w:lang w:val="en-US"/>
        </w:rPr>
        <w:t>to</w:t>
      </w:r>
      <w:r>
        <w:rPr>
          <w:i/>
          <w:iCs/>
          <w:sz w:val="20"/>
          <w:szCs w:val="20"/>
          <w:lang w:val="en-US"/>
        </w:rPr>
        <w:t xml:space="preserve"> the aqueous phase. The dotted line represents the average DIC concentration of 6.6 mM. Error bars represent the standard deviation of triplicate measurements (N=3). </w:t>
      </w:r>
      <w:r>
        <w:rPr>
          <w:b/>
          <w:bCs/>
          <w:i/>
          <w:iCs/>
          <w:sz w:val="20"/>
          <w:szCs w:val="20"/>
          <w:lang w:val="en-US"/>
        </w:rPr>
        <w:t xml:space="preserve">B. </w:t>
      </w:r>
      <w:r w:rsidR="00DE7598">
        <w:rPr>
          <w:b/>
          <w:bCs/>
          <w:i/>
          <w:iCs/>
          <w:sz w:val="20"/>
          <w:szCs w:val="20"/>
          <w:lang w:val="en-US"/>
        </w:rPr>
        <w:t>Analytical HPLC determined average precursor and product concentrations under steady-state conditions</w:t>
      </w:r>
      <w:r>
        <w:rPr>
          <w:i/>
          <w:iCs/>
          <w:sz w:val="20"/>
          <w:szCs w:val="20"/>
          <w:lang w:val="en-US"/>
        </w:rPr>
        <w:t xml:space="preserve">. Conditions were 10 mM precursor and 200 mM MES at pH 5.3. To achieve a steady state, perfluorinated oil containing 0.5 M DIC was added </w:t>
      </w:r>
      <w:r w:rsidR="0037275D">
        <w:rPr>
          <w:i/>
          <w:iCs/>
          <w:sz w:val="20"/>
          <w:szCs w:val="20"/>
          <w:lang w:val="en-US"/>
        </w:rPr>
        <w:t>to</w:t>
      </w:r>
      <w:r>
        <w:rPr>
          <w:i/>
          <w:iCs/>
          <w:sz w:val="20"/>
          <w:szCs w:val="20"/>
          <w:lang w:val="en-US"/>
        </w:rPr>
        <w:t xml:space="preserve"> the aqueous phase. Error bars represent the standard deviation of triplicate measurements (N=3). Solid lines represent the steady-state concentration of DIC calculated by the kinetic model (see methods I.</w:t>
      </w:r>
      <w:r>
        <w:rPr>
          <w:b/>
          <w:bCs/>
          <w:i/>
          <w:iCs/>
          <w:sz w:val="20"/>
          <w:szCs w:val="20"/>
          <w:lang w:val="en-US"/>
        </w:rPr>
        <w:t>F</w:t>
      </w:r>
      <w:r>
        <w:rPr>
          <w:i/>
          <w:iCs/>
          <w:sz w:val="20"/>
          <w:szCs w:val="20"/>
          <w:lang w:val="en-US"/>
        </w:rPr>
        <w:t xml:space="preserve"> and I.</w:t>
      </w:r>
      <w:r>
        <w:rPr>
          <w:b/>
          <w:bCs/>
          <w:i/>
          <w:iCs/>
          <w:sz w:val="20"/>
          <w:szCs w:val="20"/>
          <w:lang w:val="en-US"/>
        </w:rPr>
        <w:t>G</w:t>
      </w:r>
      <w:r>
        <w:rPr>
          <w:i/>
          <w:iCs/>
          <w:sz w:val="20"/>
          <w:szCs w:val="20"/>
          <w:lang w:val="en-US"/>
        </w:rPr>
        <w:t xml:space="preserve">) of 6.6 mM. </w:t>
      </w:r>
      <w:r>
        <w:rPr>
          <w:b/>
          <w:bCs/>
          <w:i/>
          <w:iCs/>
          <w:sz w:val="20"/>
          <w:szCs w:val="20"/>
          <w:lang w:val="en-US"/>
        </w:rPr>
        <w:t xml:space="preserve">C. </w:t>
      </w:r>
      <w:r>
        <w:rPr>
          <w:i/>
          <w:iCs/>
          <w:sz w:val="20"/>
          <w:szCs w:val="20"/>
          <w:lang w:val="en-US"/>
        </w:rPr>
        <w:t xml:space="preserve">A representative bright field image of a DIU crystal formed in the oil phase during a steady-state experiment. </w:t>
      </w:r>
      <w:r>
        <w:rPr>
          <w:b/>
          <w:bCs/>
          <w:i/>
          <w:iCs/>
          <w:sz w:val="20"/>
          <w:szCs w:val="20"/>
          <w:lang w:val="en-US"/>
        </w:rPr>
        <w:t xml:space="preserve">D. </w:t>
      </w:r>
      <w:r>
        <w:rPr>
          <w:i/>
          <w:iCs/>
          <w:sz w:val="20"/>
          <w:szCs w:val="20"/>
          <w:lang w:val="en-US"/>
        </w:rPr>
        <w:t>The dependency of the DIC concentration in the oil phase on the DIC concentration in the aqueous phase. The aqueous phase consisted of 200 mM MES at pH 5.3</w:t>
      </w:r>
      <w:r w:rsidR="00DE7598">
        <w:rPr>
          <w:i/>
          <w:iCs/>
          <w:sz w:val="20"/>
          <w:szCs w:val="20"/>
          <w:lang w:val="en-US"/>
        </w:rPr>
        <w:t>,</w:t>
      </w:r>
      <w:r>
        <w:rPr>
          <w:i/>
          <w:iCs/>
          <w:sz w:val="20"/>
          <w:szCs w:val="20"/>
          <w:lang w:val="en-US"/>
        </w:rPr>
        <w:t xml:space="preserve"> and the oil phase of Novec 7500 perfluorinated oil. The dotted line represents the DIC concentration in the aqueous phase if an excess of pure DIC was added on top of the aqueous phase without the oil phase. The average partitioning coefficient of DIC between the aqueous phase and the oil phase was k</w:t>
      </w:r>
      <w:r>
        <w:rPr>
          <w:i/>
          <w:iCs/>
          <w:sz w:val="20"/>
          <w:szCs w:val="20"/>
          <w:vertAlign w:val="subscript"/>
          <w:lang w:val="en-US"/>
        </w:rPr>
        <w:t>DIC</w:t>
      </w:r>
      <w:r>
        <w:rPr>
          <w:i/>
          <w:iCs/>
          <w:sz w:val="20"/>
          <w:szCs w:val="20"/>
          <w:lang w:val="en-US"/>
        </w:rPr>
        <w:t xml:space="preserve"> = 0.018. Error bars represent the standard deviation of triplicate measurements (N=3). </w:t>
      </w:r>
      <w:r>
        <w:rPr>
          <w:b/>
          <w:bCs/>
          <w:i/>
          <w:iCs/>
          <w:sz w:val="20"/>
          <w:szCs w:val="20"/>
          <w:lang w:val="en-US"/>
        </w:rPr>
        <w:t>E.</w:t>
      </w:r>
      <w:r>
        <w:rPr>
          <w:i/>
          <w:iCs/>
          <w:sz w:val="20"/>
          <w:szCs w:val="20"/>
          <w:lang w:val="en-US"/>
        </w:rPr>
        <w:t xml:space="preserve"> Total coacervate volume in one microfluidic reactor in the first 30 min after </w:t>
      </w:r>
      <w:r w:rsidR="0037275D">
        <w:rPr>
          <w:i/>
          <w:iCs/>
          <w:sz w:val="20"/>
          <w:szCs w:val="20"/>
          <w:lang w:val="en-US"/>
        </w:rPr>
        <w:t>adding</w:t>
      </w:r>
      <w:r>
        <w:rPr>
          <w:i/>
          <w:iCs/>
          <w:sz w:val="20"/>
          <w:szCs w:val="20"/>
          <w:lang w:val="en-US"/>
        </w:rPr>
        <w:t xml:space="preserve"> fuel. Conditions were 10 mM precursor, 5 mM pSS, and 200 mM MES at pH 5.3</w:t>
      </w:r>
      <w:r w:rsidR="0037275D">
        <w:rPr>
          <w:i/>
          <w:iCs/>
          <w:sz w:val="20"/>
          <w:szCs w:val="20"/>
          <w:lang w:val="en-US"/>
        </w:rPr>
        <w:t xml:space="preserve"> with 0.5 M DIC</w:t>
      </w:r>
      <w:r>
        <w:rPr>
          <w:i/>
          <w:iCs/>
          <w:sz w:val="20"/>
          <w:szCs w:val="20"/>
          <w:lang w:val="en-US"/>
        </w:rPr>
        <w:t xml:space="preserve">. </w:t>
      </w:r>
      <w:r>
        <w:rPr>
          <w:b/>
          <w:bCs/>
          <w:i/>
          <w:iCs/>
          <w:sz w:val="20"/>
          <w:szCs w:val="20"/>
          <w:lang w:val="en-US"/>
        </w:rPr>
        <w:t>F.</w:t>
      </w:r>
      <w:r>
        <w:rPr>
          <w:i/>
          <w:iCs/>
          <w:sz w:val="20"/>
          <w:szCs w:val="20"/>
          <w:lang w:val="en-US"/>
        </w:rPr>
        <w:t xml:space="preserve"> Average total coacervate volume of different microfluidic reactors over 4 h. Conditions </w:t>
      </w:r>
      <w:r w:rsidR="0037275D">
        <w:rPr>
          <w:i/>
          <w:iCs/>
          <w:sz w:val="20"/>
          <w:szCs w:val="20"/>
          <w:lang w:val="en-US"/>
        </w:rPr>
        <w:t>were the same as in E.</w:t>
      </w:r>
      <w:r>
        <w:rPr>
          <w:i/>
          <w:iCs/>
          <w:sz w:val="20"/>
          <w:szCs w:val="20"/>
          <w:lang w:val="en-US"/>
        </w:rPr>
        <w:t xml:space="preserve"> Error bars represent the standard deviation of at least 30 measurements spread over 3 independent experiments.</w:t>
      </w:r>
    </w:p>
    <w:p w14:paraId="3AEF6FD6" w14:textId="62B2F1C0" w:rsidR="0093106C" w:rsidRDefault="0093106C">
      <w:pPr>
        <w:spacing w:after="0" w:line="240" w:lineRule="auto"/>
        <w:jc w:val="left"/>
        <w:rPr>
          <w:b/>
          <w:lang w:val="en-US"/>
        </w:rPr>
      </w:pPr>
      <w:r>
        <w:rPr>
          <w:b/>
          <w:lang w:val="en-US"/>
        </w:rPr>
        <w:br w:type="page"/>
      </w:r>
    </w:p>
    <w:p w14:paraId="05F13EBA" w14:textId="35098715" w:rsidR="0093106C" w:rsidRDefault="0093106C" w:rsidP="004F14A5">
      <w:pPr>
        <w:spacing w:line="276" w:lineRule="auto"/>
        <w:rPr>
          <w:b/>
          <w:lang w:val="en-US"/>
        </w:rPr>
      </w:pPr>
      <w:r>
        <w:rPr>
          <w:b/>
          <w:noProof/>
          <w:lang w:val="en-US"/>
        </w:rPr>
        <w:lastRenderedPageBreak/>
        <w:drawing>
          <wp:anchor distT="0" distB="0" distL="114300" distR="114300" simplePos="0" relativeHeight="251665408" behindDoc="0" locked="0" layoutInCell="1" allowOverlap="1" wp14:anchorId="4990029A" wp14:editId="1C9DEEC5">
            <wp:simplePos x="0" y="0"/>
            <wp:positionH relativeFrom="column">
              <wp:posOffset>403860</wp:posOffset>
            </wp:positionH>
            <wp:positionV relativeFrom="paragraph">
              <wp:posOffset>58</wp:posOffset>
            </wp:positionV>
            <wp:extent cx="4761409" cy="5085522"/>
            <wp:effectExtent l="0" t="0" r="1270" b="0"/>
            <wp:wrapSquare wrapText="bothSides"/>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30"/>
                    <pic:cNvPicPr>
                      <a:picLocks noChangeAspect="1"/>
                    </pic:cNvPicPr>
                  </pic:nvPicPr>
                  <pic:blipFill>
                    <a:blip r:embed="rId10" cstate="print">
                      <a:extLst>
                        <a:ext uri="{28A0092B-C50C-407E-A947-70E740481C1C}">
                          <a14:useLocalDpi xmlns:a14="http://schemas.microsoft.com/office/drawing/2010/main"/>
                        </a:ext>
                      </a:extLst>
                    </a:blip>
                    <a:srcRect/>
                    <a:stretch/>
                  </pic:blipFill>
                  <pic:spPr>
                    <a:xfrm>
                      <a:off x="0" y="0"/>
                      <a:ext cx="4761409" cy="5085522"/>
                    </a:xfrm>
                    <a:prstGeom prst="rect">
                      <a:avLst/>
                    </a:prstGeom>
                  </pic:spPr>
                </pic:pic>
              </a:graphicData>
            </a:graphic>
          </wp:anchor>
        </w:drawing>
      </w:r>
    </w:p>
    <w:p w14:paraId="4A2174C7" w14:textId="3DD50F17" w:rsidR="0093106C" w:rsidRDefault="0093106C" w:rsidP="004F14A5">
      <w:pPr>
        <w:spacing w:line="276" w:lineRule="auto"/>
        <w:rPr>
          <w:b/>
          <w:lang w:val="en-US"/>
        </w:rPr>
      </w:pPr>
    </w:p>
    <w:p w14:paraId="31B0BFB8" w14:textId="64B7D1EE" w:rsidR="0093106C" w:rsidRDefault="0093106C" w:rsidP="004F14A5">
      <w:pPr>
        <w:spacing w:line="276" w:lineRule="auto"/>
        <w:rPr>
          <w:b/>
          <w:lang w:val="en-US"/>
        </w:rPr>
      </w:pPr>
    </w:p>
    <w:p w14:paraId="7AFD7A5D" w14:textId="3E8B5DFF" w:rsidR="0093106C" w:rsidRDefault="0093106C" w:rsidP="004F14A5">
      <w:pPr>
        <w:spacing w:line="276" w:lineRule="auto"/>
        <w:rPr>
          <w:b/>
          <w:lang w:val="en-US"/>
        </w:rPr>
      </w:pPr>
    </w:p>
    <w:p w14:paraId="03A1DDD3" w14:textId="73C7A77D" w:rsidR="0093106C" w:rsidRDefault="0093106C" w:rsidP="004F14A5">
      <w:pPr>
        <w:spacing w:line="276" w:lineRule="auto"/>
        <w:rPr>
          <w:b/>
          <w:lang w:val="en-US"/>
        </w:rPr>
      </w:pPr>
    </w:p>
    <w:p w14:paraId="4D715D52" w14:textId="1115F6D2" w:rsidR="0093106C" w:rsidRDefault="0093106C" w:rsidP="004F14A5">
      <w:pPr>
        <w:spacing w:line="276" w:lineRule="auto"/>
        <w:rPr>
          <w:b/>
          <w:lang w:val="en-US"/>
        </w:rPr>
      </w:pPr>
    </w:p>
    <w:p w14:paraId="12AA9C93" w14:textId="3645756A" w:rsidR="0093106C" w:rsidRDefault="0093106C" w:rsidP="004F14A5">
      <w:pPr>
        <w:spacing w:line="276" w:lineRule="auto"/>
        <w:rPr>
          <w:b/>
          <w:lang w:val="en-US"/>
        </w:rPr>
      </w:pPr>
    </w:p>
    <w:p w14:paraId="21B63E53" w14:textId="6781AF52" w:rsidR="0093106C" w:rsidRDefault="0093106C" w:rsidP="004F14A5">
      <w:pPr>
        <w:spacing w:line="276" w:lineRule="auto"/>
        <w:rPr>
          <w:b/>
          <w:lang w:val="en-US"/>
        </w:rPr>
      </w:pPr>
    </w:p>
    <w:p w14:paraId="752FCD54" w14:textId="45E508F9" w:rsidR="0093106C" w:rsidRDefault="0093106C" w:rsidP="004F14A5">
      <w:pPr>
        <w:spacing w:line="276" w:lineRule="auto"/>
        <w:rPr>
          <w:b/>
          <w:lang w:val="en-US"/>
        </w:rPr>
      </w:pPr>
    </w:p>
    <w:p w14:paraId="7E96233A" w14:textId="60D2620D" w:rsidR="0093106C" w:rsidRDefault="0093106C" w:rsidP="004F14A5">
      <w:pPr>
        <w:spacing w:line="276" w:lineRule="auto"/>
        <w:rPr>
          <w:b/>
          <w:lang w:val="en-US"/>
        </w:rPr>
      </w:pPr>
    </w:p>
    <w:p w14:paraId="020881D7" w14:textId="1B69C4EA" w:rsidR="0093106C" w:rsidRDefault="0093106C" w:rsidP="004F14A5">
      <w:pPr>
        <w:spacing w:line="276" w:lineRule="auto"/>
        <w:rPr>
          <w:b/>
          <w:lang w:val="en-US"/>
        </w:rPr>
      </w:pPr>
    </w:p>
    <w:p w14:paraId="43B3F424" w14:textId="69A9DD38" w:rsidR="0093106C" w:rsidRDefault="0093106C" w:rsidP="004F14A5">
      <w:pPr>
        <w:spacing w:line="276" w:lineRule="auto"/>
        <w:rPr>
          <w:b/>
          <w:lang w:val="en-US"/>
        </w:rPr>
      </w:pPr>
    </w:p>
    <w:p w14:paraId="3498ACDF" w14:textId="602CC6B2" w:rsidR="0093106C" w:rsidRDefault="0093106C" w:rsidP="004F14A5">
      <w:pPr>
        <w:spacing w:line="276" w:lineRule="auto"/>
        <w:rPr>
          <w:b/>
          <w:lang w:val="en-US"/>
        </w:rPr>
      </w:pPr>
    </w:p>
    <w:p w14:paraId="30CF72C8" w14:textId="21732D83" w:rsidR="0093106C" w:rsidRDefault="0093106C" w:rsidP="004F14A5">
      <w:pPr>
        <w:spacing w:line="276" w:lineRule="auto"/>
        <w:rPr>
          <w:b/>
          <w:lang w:val="en-US"/>
        </w:rPr>
      </w:pPr>
    </w:p>
    <w:p w14:paraId="5AA5BFAC" w14:textId="23B71575" w:rsidR="0093106C" w:rsidRDefault="0093106C" w:rsidP="004F14A5">
      <w:pPr>
        <w:spacing w:line="276" w:lineRule="auto"/>
        <w:rPr>
          <w:b/>
          <w:lang w:val="en-US"/>
        </w:rPr>
      </w:pPr>
    </w:p>
    <w:p w14:paraId="41BEF987" w14:textId="56778995" w:rsidR="0093106C" w:rsidRDefault="0093106C" w:rsidP="004F14A5">
      <w:pPr>
        <w:spacing w:line="276" w:lineRule="auto"/>
        <w:rPr>
          <w:b/>
          <w:lang w:val="en-US"/>
        </w:rPr>
      </w:pPr>
    </w:p>
    <w:p w14:paraId="42E5F54A" w14:textId="0B0001C3" w:rsidR="0093106C" w:rsidRDefault="0093106C" w:rsidP="004F14A5">
      <w:pPr>
        <w:spacing w:line="276" w:lineRule="auto"/>
        <w:rPr>
          <w:b/>
          <w:lang w:val="en-US"/>
        </w:rPr>
      </w:pPr>
    </w:p>
    <w:p w14:paraId="1A503C35" w14:textId="132270BC" w:rsidR="0093106C" w:rsidRDefault="0093106C" w:rsidP="004F14A5">
      <w:pPr>
        <w:spacing w:line="276" w:lineRule="auto"/>
        <w:rPr>
          <w:b/>
          <w:lang w:val="en-US"/>
        </w:rPr>
      </w:pPr>
    </w:p>
    <w:p w14:paraId="408BBEC4" w14:textId="70971ABB" w:rsidR="0093106C" w:rsidRDefault="0093106C" w:rsidP="0093106C">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4</w:t>
      </w:r>
      <w:r w:rsidRPr="00192CBD">
        <w:rPr>
          <w:b/>
          <w:bCs/>
          <w:i/>
          <w:iCs/>
          <w:sz w:val="20"/>
          <w:szCs w:val="20"/>
          <w:lang w:val="en-US"/>
        </w:rPr>
        <w:t xml:space="preserve">. </w:t>
      </w:r>
      <w:r>
        <w:rPr>
          <w:b/>
          <w:bCs/>
          <w:i/>
          <w:iCs/>
          <w:sz w:val="20"/>
          <w:szCs w:val="20"/>
          <w:lang w:val="en-US"/>
        </w:rPr>
        <w:t xml:space="preserve">Wetting of active and passive droplets without transitioning into a shell. </w:t>
      </w:r>
      <w:r w:rsidRPr="002645EA">
        <w:rPr>
          <w:i/>
          <w:iCs/>
          <w:sz w:val="20"/>
          <w:szCs w:val="20"/>
          <w:lang w:val="en-US"/>
        </w:rPr>
        <w:t>All experiments were performed in microfluidic reactors.</w:t>
      </w:r>
      <w:r>
        <w:rPr>
          <w:i/>
          <w:iCs/>
          <w:sz w:val="20"/>
          <w:szCs w:val="20"/>
          <w:lang w:val="en-US"/>
        </w:rPr>
        <w:t xml:space="preserve"> </w:t>
      </w:r>
      <w:r w:rsidR="00492EEE">
        <w:rPr>
          <w:i/>
          <w:iCs/>
          <w:sz w:val="20"/>
          <w:szCs w:val="20"/>
          <w:lang w:val="en-US"/>
        </w:rPr>
        <w:t>5 mM pSS, 200 mM MES at pH 5.3, and 0.1 µM sulforhodamine B as a dye were used</w:t>
      </w:r>
      <w:r>
        <w:rPr>
          <w:i/>
          <w:iCs/>
          <w:sz w:val="20"/>
          <w:szCs w:val="20"/>
          <w:lang w:val="en-US"/>
        </w:rPr>
        <w:t xml:space="preserve">. </w:t>
      </w:r>
      <w:r w:rsidRPr="00013384">
        <w:rPr>
          <w:b/>
          <w:bCs/>
          <w:i/>
          <w:iCs/>
          <w:sz w:val="20"/>
          <w:szCs w:val="20"/>
          <w:lang w:val="en-US"/>
        </w:rPr>
        <w:t>A-C</w:t>
      </w:r>
      <w:r>
        <w:rPr>
          <w:i/>
          <w:iCs/>
          <w:sz w:val="20"/>
          <w:szCs w:val="20"/>
          <w:lang w:val="en-US"/>
        </w:rPr>
        <w:t xml:space="preserve"> The upper row of images shows the XY-plane at the center of the droplet to demonstrate that no spherical shell was formed. The bottom row of images shows the XZ-projection of the active/passive droplet to demonstrate the wetting at the bottom of the microreactor. </w:t>
      </w:r>
      <w:r>
        <w:rPr>
          <w:b/>
          <w:bCs/>
          <w:i/>
          <w:iCs/>
          <w:sz w:val="20"/>
          <w:szCs w:val="20"/>
          <w:lang w:val="en-US"/>
        </w:rPr>
        <w:t xml:space="preserve"> A.</w:t>
      </w:r>
      <w:r>
        <w:rPr>
          <w:i/>
          <w:iCs/>
          <w:sz w:val="20"/>
          <w:szCs w:val="20"/>
          <w:lang w:val="en-US"/>
        </w:rPr>
        <w:t xml:space="preserve"> A representative active droplet with r &lt; r</w:t>
      </w:r>
      <w:r>
        <w:rPr>
          <w:i/>
          <w:iCs/>
          <w:sz w:val="20"/>
          <w:szCs w:val="20"/>
          <w:vertAlign w:val="subscript"/>
          <w:lang w:val="en-US"/>
        </w:rPr>
        <w:t>unstable</w:t>
      </w:r>
      <w:r>
        <w:rPr>
          <w:i/>
          <w:iCs/>
          <w:sz w:val="20"/>
          <w:szCs w:val="20"/>
          <w:lang w:val="en-US"/>
        </w:rPr>
        <w:t xml:space="preserve"> is shown 6 h after </w:t>
      </w:r>
      <w:r w:rsidR="00492EEE">
        <w:rPr>
          <w:i/>
          <w:iCs/>
          <w:sz w:val="20"/>
          <w:szCs w:val="20"/>
          <w:lang w:val="en-US"/>
        </w:rPr>
        <w:t>adding</w:t>
      </w:r>
      <w:r>
        <w:rPr>
          <w:i/>
          <w:iCs/>
          <w:sz w:val="20"/>
          <w:szCs w:val="20"/>
          <w:lang w:val="en-US"/>
        </w:rPr>
        <w:t xml:space="preserve"> fuel. In addition to the </w:t>
      </w:r>
      <w:r w:rsidR="00DE7598">
        <w:rPr>
          <w:i/>
          <w:iCs/>
          <w:sz w:val="20"/>
          <w:szCs w:val="20"/>
          <w:lang w:val="en-US"/>
        </w:rPr>
        <w:t>abovementioned conditions</w:t>
      </w:r>
      <w:r>
        <w:rPr>
          <w:i/>
          <w:iCs/>
          <w:sz w:val="20"/>
          <w:szCs w:val="20"/>
          <w:lang w:val="en-US"/>
        </w:rPr>
        <w:t>, the sample contained 10 mM precursor</w:t>
      </w:r>
      <w:r w:rsidR="00DE7598">
        <w:rPr>
          <w:i/>
          <w:iCs/>
          <w:sz w:val="20"/>
          <w:szCs w:val="20"/>
          <w:lang w:val="en-US"/>
        </w:rPr>
        <w:t>,</w:t>
      </w:r>
      <w:r>
        <w:rPr>
          <w:i/>
          <w:iCs/>
          <w:sz w:val="20"/>
          <w:szCs w:val="20"/>
          <w:lang w:val="en-US"/>
        </w:rPr>
        <w:t xml:space="preserve"> and 0.5 M DIC was added to the oil phase to achieve a steady state. </w:t>
      </w:r>
      <w:r w:rsidRPr="00526C59">
        <w:rPr>
          <w:b/>
          <w:bCs/>
          <w:i/>
          <w:iCs/>
          <w:sz w:val="20"/>
          <w:szCs w:val="20"/>
          <w:lang w:val="en-US"/>
        </w:rPr>
        <w:t>B</w:t>
      </w:r>
      <w:r>
        <w:rPr>
          <w:b/>
          <w:bCs/>
          <w:i/>
          <w:iCs/>
          <w:sz w:val="20"/>
          <w:szCs w:val="20"/>
          <w:lang w:val="en-US"/>
        </w:rPr>
        <w:t xml:space="preserve">. </w:t>
      </w:r>
      <w:r>
        <w:rPr>
          <w:i/>
          <w:iCs/>
          <w:sz w:val="20"/>
          <w:szCs w:val="20"/>
          <w:lang w:val="en-US"/>
        </w:rPr>
        <w:t>A representative passive droplet with r &gt; r</w:t>
      </w:r>
      <w:r>
        <w:rPr>
          <w:i/>
          <w:iCs/>
          <w:sz w:val="20"/>
          <w:szCs w:val="20"/>
          <w:vertAlign w:val="subscript"/>
          <w:lang w:val="en-US"/>
        </w:rPr>
        <w:t>unstable</w:t>
      </w:r>
      <w:r>
        <w:rPr>
          <w:i/>
          <w:iCs/>
          <w:sz w:val="20"/>
          <w:szCs w:val="20"/>
          <w:lang w:val="en-US"/>
        </w:rPr>
        <w:t xml:space="preserve"> is shown 6 h after the induction of droplet formation. Conditions were 9 mM precursor, 1 mM product* with no DIC in the oil phase. Additionally, 1 w% Krytox 157 FSH was added to the oil phase. </w:t>
      </w:r>
      <w:r w:rsidRPr="0002158C">
        <w:rPr>
          <w:b/>
          <w:bCs/>
          <w:i/>
          <w:iCs/>
          <w:sz w:val="20"/>
          <w:szCs w:val="20"/>
          <w:lang w:val="en-US"/>
        </w:rPr>
        <w:t>C</w:t>
      </w:r>
      <w:r>
        <w:rPr>
          <w:b/>
          <w:bCs/>
          <w:i/>
          <w:iCs/>
          <w:sz w:val="20"/>
          <w:szCs w:val="20"/>
          <w:lang w:val="en-US"/>
        </w:rPr>
        <w:t>.</w:t>
      </w:r>
      <w:r>
        <w:rPr>
          <w:i/>
          <w:iCs/>
          <w:sz w:val="20"/>
          <w:szCs w:val="20"/>
          <w:lang w:val="en-US"/>
        </w:rPr>
        <w:t xml:space="preserve"> A representative passive droplet with r &gt; r</w:t>
      </w:r>
      <w:r>
        <w:rPr>
          <w:i/>
          <w:iCs/>
          <w:sz w:val="20"/>
          <w:szCs w:val="20"/>
          <w:vertAlign w:val="subscript"/>
          <w:lang w:val="en-US"/>
        </w:rPr>
        <w:t>shell</w:t>
      </w:r>
      <w:r>
        <w:rPr>
          <w:i/>
          <w:iCs/>
          <w:sz w:val="20"/>
          <w:szCs w:val="20"/>
          <w:lang w:val="en-US"/>
        </w:rPr>
        <w:t xml:space="preserve"> is shown 6 days after the induction of droplet formation.  These passive droplets consist only of product* and pSS without the precursor. Since the added fuel cannot react with the product*, these droplets are thus passive. Conditions were 0 mM precursor, 2 mM product* with 0.5 M DIC in the oil phase to achieve a steady state. </w:t>
      </w:r>
      <w:r w:rsidRPr="00775BB7">
        <w:rPr>
          <w:b/>
          <w:bCs/>
          <w:i/>
          <w:iCs/>
          <w:sz w:val="20"/>
          <w:szCs w:val="20"/>
          <w:lang w:val="en-US"/>
        </w:rPr>
        <w:t>D-I</w:t>
      </w:r>
      <w:r>
        <w:rPr>
          <w:b/>
          <w:bCs/>
          <w:i/>
          <w:iCs/>
          <w:sz w:val="20"/>
          <w:szCs w:val="20"/>
          <w:lang w:val="en-US"/>
        </w:rPr>
        <w:t>.</w:t>
      </w:r>
      <w:r>
        <w:rPr>
          <w:i/>
          <w:iCs/>
          <w:sz w:val="20"/>
          <w:szCs w:val="20"/>
          <w:lang w:val="en-US"/>
        </w:rPr>
        <w:t xml:space="preserve"> Images were acquired 4 h after the induction of droplet formation. Dashed lines represent the container size, coacervate volume</w:t>
      </w:r>
      <w:r w:rsidR="00DE7598">
        <w:rPr>
          <w:i/>
          <w:iCs/>
          <w:sz w:val="20"/>
          <w:szCs w:val="20"/>
          <w:lang w:val="en-US"/>
        </w:rPr>
        <w:t>,</w:t>
      </w:r>
      <w:r>
        <w:rPr>
          <w:i/>
          <w:iCs/>
          <w:sz w:val="20"/>
          <w:szCs w:val="20"/>
          <w:lang w:val="en-US"/>
        </w:rPr>
        <w:t xml:space="preserve"> and size upon which spherical shell formation was observed for active droplets. All experiments were performed in triplicate (N=3). </w:t>
      </w:r>
      <w:r>
        <w:rPr>
          <w:b/>
          <w:bCs/>
          <w:i/>
          <w:iCs/>
          <w:sz w:val="20"/>
          <w:szCs w:val="20"/>
          <w:lang w:val="en-US"/>
        </w:rPr>
        <w:t xml:space="preserve">D-F. </w:t>
      </w:r>
      <w:r>
        <w:rPr>
          <w:i/>
          <w:iCs/>
          <w:sz w:val="20"/>
          <w:szCs w:val="20"/>
          <w:lang w:val="en-US"/>
        </w:rPr>
        <w:t xml:space="preserve">Conditions were 9.5 mM precursor and 0.5 mM product*. </w:t>
      </w:r>
      <w:r w:rsidRPr="005160E6">
        <w:rPr>
          <w:b/>
          <w:bCs/>
          <w:i/>
          <w:iCs/>
          <w:sz w:val="20"/>
          <w:szCs w:val="20"/>
          <w:lang w:val="en-US"/>
        </w:rPr>
        <w:t>G-I.</w:t>
      </w:r>
      <w:r>
        <w:rPr>
          <w:i/>
          <w:iCs/>
          <w:sz w:val="20"/>
          <w:szCs w:val="20"/>
          <w:lang w:val="en-US"/>
        </w:rPr>
        <w:t xml:space="preserve"> Conditions were 9 mM precursor and 1 mM product*. To show that passive droplets do not transition into shells, a micrograph of a representative passive coacervate-based droplet (</w:t>
      </w:r>
      <w:r>
        <w:rPr>
          <w:b/>
          <w:bCs/>
          <w:i/>
          <w:iCs/>
          <w:sz w:val="20"/>
          <w:szCs w:val="20"/>
          <w:lang w:val="en-US"/>
        </w:rPr>
        <w:t>D,</w:t>
      </w:r>
      <w:r w:rsidR="00DE7598">
        <w:rPr>
          <w:b/>
          <w:bCs/>
          <w:i/>
          <w:iCs/>
          <w:sz w:val="20"/>
          <w:szCs w:val="20"/>
          <w:lang w:val="en-US"/>
        </w:rPr>
        <w:t xml:space="preserve"> </w:t>
      </w:r>
      <w:r>
        <w:rPr>
          <w:b/>
          <w:bCs/>
          <w:i/>
          <w:iCs/>
          <w:sz w:val="20"/>
          <w:szCs w:val="20"/>
          <w:lang w:val="en-US"/>
        </w:rPr>
        <w:t>G</w:t>
      </w:r>
      <w:r>
        <w:rPr>
          <w:i/>
          <w:iCs/>
          <w:sz w:val="20"/>
          <w:szCs w:val="20"/>
          <w:lang w:val="en-US"/>
        </w:rPr>
        <w:t>), the volume of the total coacervate material (</w:t>
      </w:r>
      <w:r>
        <w:rPr>
          <w:b/>
          <w:bCs/>
          <w:i/>
          <w:iCs/>
          <w:sz w:val="20"/>
          <w:szCs w:val="20"/>
          <w:lang w:val="en-US"/>
        </w:rPr>
        <w:t>E,</w:t>
      </w:r>
      <w:r w:rsidR="00DE7598">
        <w:rPr>
          <w:b/>
          <w:bCs/>
          <w:i/>
          <w:iCs/>
          <w:sz w:val="20"/>
          <w:szCs w:val="20"/>
          <w:lang w:val="en-US"/>
        </w:rPr>
        <w:t xml:space="preserve"> </w:t>
      </w:r>
      <w:r>
        <w:rPr>
          <w:b/>
          <w:bCs/>
          <w:i/>
          <w:iCs/>
          <w:sz w:val="20"/>
          <w:szCs w:val="20"/>
          <w:lang w:val="en-US"/>
        </w:rPr>
        <w:t>H</w:t>
      </w:r>
      <w:r>
        <w:rPr>
          <w:i/>
          <w:iCs/>
          <w:sz w:val="20"/>
          <w:szCs w:val="20"/>
          <w:lang w:val="en-US"/>
        </w:rPr>
        <w:t>) for every individual microreactor, and the radius (</w:t>
      </w:r>
      <w:r>
        <w:rPr>
          <w:b/>
          <w:bCs/>
          <w:i/>
          <w:iCs/>
          <w:sz w:val="20"/>
          <w:szCs w:val="20"/>
          <w:lang w:val="en-US"/>
        </w:rPr>
        <w:t>F,</w:t>
      </w:r>
      <w:r w:rsidR="00DE7598">
        <w:rPr>
          <w:b/>
          <w:bCs/>
          <w:i/>
          <w:iCs/>
          <w:sz w:val="20"/>
          <w:szCs w:val="20"/>
          <w:lang w:val="en-US"/>
        </w:rPr>
        <w:t xml:space="preserve"> </w:t>
      </w:r>
      <w:r>
        <w:rPr>
          <w:b/>
          <w:bCs/>
          <w:i/>
          <w:iCs/>
          <w:sz w:val="20"/>
          <w:szCs w:val="20"/>
          <w:lang w:val="en-US"/>
        </w:rPr>
        <w:t>I</w:t>
      </w:r>
      <w:r>
        <w:rPr>
          <w:i/>
          <w:iCs/>
          <w:sz w:val="20"/>
          <w:szCs w:val="20"/>
          <w:lang w:val="en-US"/>
        </w:rPr>
        <w:t>) of the passive droplet in every individual microreactor is shown.</w:t>
      </w:r>
    </w:p>
    <w:p w14:paraId="520CA64E" w14:textId="4D6BB355" w:rsidR="0093106C" w:rsidRDefault="0093106C">
      <w:pPr>
        <w:spacing w:after="0" w:line="240" w:lineRule="auto"/>
        <w:jc w:val="left"/>
        <w:rPr>
          <w:i/>
          <w:iCs/>
          <w:sz w:val="20"/>
          <w:szCs w:val="20"/>
          <w:lang w:val="en-US"/>
        </w:rPr>
      </w:pPr>
      <w:r>
        <w:rPr>
          <w:i/>
          <w:iCs/>
          <w:noProof/>
          <w:sz w:val="20"/>
          <w:szCs w:val="20"/>
          <w:lang w:val="en-US"/>
        </w:rPr>
        <w:lastRenderedPageBreak/>
        <w:drawing>
          <wp:anchor distT="0" distB="0" distL="114300" distR="114300" simplePos="0" relativeHeight="251668480" behindDoc="0" locked="0" layoutInCell="1" allowOverlap="1" wp14:anchorId="3A7BA42E" wp14:editId="580224A4">
            <wp:simplePos x="0" y="0"/>
            <wp:positionH relativeFrom="column">
              <wp:posOffset>786130</wp:posOffset>
            </wp:positionH>
            <wp:positionV relativeFrom="paragraph">
              <wp:posOffset>116</wp:posOffset>
            </wp:positionV>
            <wp:extent cx="4136578" cy="5609398"/>
            <wp:effectExtent l="0" t="0" r="3810" b="4445"/>
            <wp:wrapSquare wrapText="bothSides"/>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pic:cNvPicPr>
                      <a:picLocks noChangeAspect="1"/>
                    </pic:cNvPicPr>
                  </pic:nvPicPr>
                  <pic:blipFill>
                    <a:blip r:embed="rId11" cstate="print">
                      <a:extLst>
                        <a:ext uri="{28A0092B-C50C-407E-A947-70E740481C1C}">
                          <a14:useLocalDpi xmlns:a14="http://schemas.microsoft.com/office/drawing/2010/main"/>
                        </a:ext>
                      </a:extLst>
                    </a:blip>
                    <a:srcRect/>
                    <a:stretch/>
                  </pic:blipFill>
                  <pic:spPr>
                    <a:xfrm>
                      <a:off x="0" y="0"/>
                      <a:ext cx="4136578" cy="5609398"/>
                    </a:xfrm>
                    <a:prstGeom prst="rect">
                      <a:avLst/>
                    </a:prstGeom>
                  </pic:spPr>
                </pic:pic>
              </a:graphicData>
            </a:graphic>
          </wp:anchor>
        </w:drawing>
      </w:r>
    </w:p>
    <w:p w14:paraId="28E94AF1" w14:textId="77777777" w:rsidR="0093106C" w:rsidRDefault="0093106C">
      <w:pPr>
        <w:spacing w:after="0" w:line="240" w:lineRule="auto"/>
        <w:jc w:val="left"/>
        <w:rPr>
          <w:i/>
          <w:iCs/>
          <w:sz w:val="20"/>
          <w:szCs w:val="20"/>
          <w:lang w:val="en-US"/>
        </w:rPr>
      </w:pPr>
    </w:p>
    <w:p w14:paraId="50A4AB47" w14:textId="77777777" w:rsidR="0093106C" w:rsidRDefault="0093106C">
      <w:pPr>
        <w:spacing w:after="0" w:line="240" w:lineRule="auto"/>
        <w:jc w:val="left"/>
        <w:rPr>
          <w:i/>
          <w:iCs/>
          <w:sz w:val="20"/>
          <w:szCs w:val="20"/>
          <w:lang w:val="en-US"/>
        </w:rPr>
      </w:pPr>
    </w:p>
    <w:p w14:paraId="66FB8D93" w14:textId="77777777" w:rsidR="0093106C" w:rsidRDefault="0093106C">
      <w:pPr>
        <w:spacing w:after="0" w:line="240" w:lineRule="auto"/>
        <w:jc w:val="left"/>
        <w:rPr>
          <w:i/>
          <w:iCs/>
          <w:sz w:val="20"/>
          <w:szCs w:val="20"/>
          <w:lang w:val="en-US"/>
        </w:rPr>
      </w:pPr>
    </w:p>
    <w:p w14:paraId="6CADEC91" w14:textId="77777777" w:rsidR="0093106C" w:rsidRDefault="0093106C">
      <w:pPr>
        <w:spacing w:after="0" w:line="240" w:lineRule="auto"/>
        <w:jc w:val="left"/>
        <w:rPr>
          <w:i/>
          <w:iCs/>
          <w:sz w:val="20"/>
          <w:szCs w:val="20"/>
          <w:lang w:val="en-US"/>
        </w:rPr>
      </w:pPr>
    </w:p>
    <w:p w14:paraId="6E88A39A" w14:textId="77777777" w:rsidR="0093106C" w:rsidRDefault="0093106C">
      <w:pPr>
        <w:spacing w:after="0" w:line="240" w:lineRule="auto"/>
        <w:jc w:val="left"/>
        <w:rPr>
          <w:i/>
          <w:iCs/>
          <w:sz w:val="20"/>
          <w:szCs w:val="20"/>
          <w:lang w:val="en-US"/>
        </w:rPr>
      </w:pPr>
    </w:p>
    <w:p w14:paraId="187725F9" w14:textId="77777777" w:rsidR="0093106C" w:rsidRDefault="0093106C">
      <w:pPr>
        <w:spacing w:after="0" w:line="240" w:lineRule="auto"/>
        <w:jc w:val="left"/>
        <w:rPr>
          <w:i/>
          <w:iCs/>
          <w:sz w:val="20"/>
          <w:szCs w:val="20"/>
          <w:lang w:val="en-US"/>
        </w:rPr>
      </w:pPr>
    </w:p>
    <w:p w14:paraId="2F06EDDE" w14:textId="77777777" w:rsidR="0093106C" w:rsidRDefault="0093106C">
      <w:pPr>
        <w:spacing w:after="0" w:line="240" w:lineRule="auto"/>
        <w:jc w:val="left"/>
        <w:rPr>
          <w:i/>
          <w:iCs/>
          <w:sz w:val="20"/>
          <w:szCs w:val="20"/>
          <w:lang w:val="en-US"/>
        </w:rPr>
      </w:pPr>
    </w:p>
    <w:p w14:paraId="306160B6" w14:textId="77777777" w:rsidR="0093106C" w:rsidRDefault="0093106C">
      <w:pPr>
        <w:spacing w:after="0" w:line="240" w:lineRule="auto"/>
        <w:jc w:val="left"/>
        <w:rPr>
          <w:i/>
          <w:iCs/>
          <w:sz w:val="20"/>
          <w:szCs w:val="20"/>
          <w:lang w:val="en-US"/>
        </w:rPr>
      </w:pPr>
    </w:p>
    <w:p w14:paraId="6CECD499" w14:textId="77777777" w:rsidR="0093106C" w:rsidRDefault="0093106C">
      <w:pPr>
        <w:spacing w:after="0" w:line="240" w:lineRule="auto"/>
        <w:jc w:val="left"/>
        <w:rPr>
          <w:i/>
          <w:iCs/>
          <w:sz w:val="20"/>
          <w:szCs w:val="20"/>
          <w:lang w:val="en-US"/>
        </w:rPr>
      </w:pPr>
    </w:p>
    <w:p w14:paraId="536A0565" w14:textId="77777777" w:rsidR="0093106C" w:rsidRDefault="0093106C">
      <w:pPr>
        <w:spacing w:after="0" w:line="240" w:lineRule="auto"/>
        <w:jc w:val="left"/>
        <w:rPr>
          <w:i/>
          <w:iCs/>
          <w:sz w:val="20"/>
          <w:szCs w:val="20"/>
          <w:lang w:val="en-US"/>
        </w:rPr>
      </w:pPr>
    </w:p>
    <w:p w14:paraId="1A71CE47" w14:textId="77777777" w:rsidR="0093106C" w:rsidRDefault="0093106C">
      <w:pPr>
        <w:spacing w:after="0" w:line="240" w:lineRule="auto"/>
        <w:jc w:val="left"/>
        <w:rPr>
          <w:i/>
          <w:iCs/>
          <w:sz w:val="20"/>
          <w:szCs w:val="20"/>
          <w:lang w:val="en-US"/>
        </w:rPr>
      </w:pPr>
    </w:p>
    <w:p w14:paraId="689B2BCF" w14:textId="77777777" w:rsidR="0093106C" w:rsidRDefault="0093106C">
      <w:pPr>
        <w:spacing w:after="0" w:line="240" w:lineRule="auto"/>
        <w:jc w:val="left"/>
        <w:rPr>
          <w:i/>
          <w:iCs/>
          <w:sz w:val="20"/>
          <w:szCs w:val="20"/>
          <w:lang w:val="en-US"/>
        </w:rPr>
      </w:pPr>
    </w:p>
    <w:p w14:paraId="43C8AA80" w14:textId="77777777" w:rsidR="0093106C" w:rsidRDefault="0093106C">
      <w:pPr>
        <w:spacing w:after="0" w:line="240" w:lineRule="auto"/>
        <w:jc w:val="left"/>
        <w:rPr>
          <w:i/>
          <w:iCs/>
          <w:sz w:val="20"/>
          <w:szCs w:val="20"/>
          <w:lang w:val="en-US"/>
        </w:rPr>
      </w:pPr>
    </w:p>
    <w:p w14:paraId="6D0485DE" w14:textId="77777777" w:rsidR="0093106C" w:rsidRDefault="0093106C">
      <w:pPr>
        <w:spacing w:after="0" w:line="240" w:lineRule="auto"/>
        <w:jc w:val="left"/>
        <w:rPr>
          <w:i/>
          <w:iCs/>
          <w:sz w:val="20"/>
          <w:szCs w:val="20"/>
          <w:lang w:val="en-US"/>
        </w:rPr>
      </w:pPr>
    </w:p>
    <w:p w14:paraId="0033DC27" w14:textId="77777777" w:rsidR="0093106C" w:rsidRDefault="0093106C">
      <w:pPr>
        <w:spacing w:after="0" w:line="240" w:lineRule="auto"/>
        <w:jc w:val="left"/>
        <w:rPr>
          <w:i/>
          <w:iCs/>
          <w:sz w:val="20"/>
          <w:szCs w:val="20"/>
          <w:lang w:val="en-US"/>
        </w:rPr>
      </w:pPr>
    </w:p>
    <w:p w14:paraId="49D84D65" w14:textId="77777777" w:rsidR="0093106C" w:rsidRDefault="0093106C">
      <w:pPr>
        <w:spacing w:after="0" w:line="240" w:lineRule="auto"/>
        <w:jc w:val="left"/>
        <w:rPr>
          <w:i/>
          <w:iCs/>
          <w:sz w:val="20"/>
          <w:szCs w:val="20"/>
          <w:lang w:val="en-US"/>
        </w:rPr>
      </w:pPr>
    </w:p>
    <w:p w14:paraId="3CC57888" w14:textId="77777777" w:rsidR="0093106C" w:rsidRDefault="0093106C">
      <w:pPr>
        <w:spacing w:after="0" w:line="240" w:lineRule="auto"/>
        <w:jc w:val="left"/>
        <w:rPr>
          <w:i/>
          <w:iCs/>
          <w:sz w:val="20"/>
          <w:szCs w:val="20"/>
          <w:lang w:val="en-US"/>
        </w:rPr>
      </w:pPr>
    </w:p>
    <w:p w14:paraId="6E2C0271" w14:textId="77777777" w:rsidR="0093106C" w:rsidRDefault="0093106C">
      <w:pPr>
        <w:spacing w:after="0" w:line="240" w:lineRule="auto"/>
        <w:jc w:val="left"/>
        <w:rPr>
          <w:i/>
          <w:iCs/>
          <w:sz w:val="20"/>
          <w:szCs w:val="20"/>
          <w:lang w:val="en-US"/>
        </w:rPr>
      </w:pPr>
    </w:p>
    <w:p w14:paraId="62F0AEED" w14:textId="77777777" w:rsidR="0093106C" w:rsidRDefault="0093106C">
      <w:pPr>
        <w:spacing w:after="0" w:line="240" w:lineRule="auto"/>
        <w:jc w:val="left"/>
        <w:rPr>
          <w:i/>
          <w:iCs/>
          <w:sz w:val="20"/>
          <w:szCs w:val="20"/>
          <w:lang w:val="en-US"/>
        </w:rPr>
      </w:pPr>
    </w:p>
    <w:p w14:paraId="5EC7E446" w14:textId="77777777" w:rsidR="0093106C" w:rsidRDefault="0093106C">
      <w:pPr>
        <w:spacing w:after="0" w:line="240" w:lineRule="auto"/>
        <w:jc w:val="left"/>
        <w:rPr>
          <w:i/>
          <w:iCs/>
          <w:sz w:val="20"/>
          <w:szCs w:val="20"/>
          <w:lang w:val="en-US"/>
        </w:rPr>
      </w:pPr>
    </w:p>
    <w:p w14:paraId="084833A0" w14:textId="77777777" w:rsidR="0093106C" w:rsidRDefault="0093106C">
      <w:pPr>
        <w:spacing w:after="0" w:line="240" w:lineRule="auto"/>
        <w:jc w:val="left"/>
        <w:rPr>
          <w:i/>
          <w:iCs/>
          <w:sz w:val="20"/>
          <w:szCs w:val="20"/>
          <w:lang w:val="en-US"/>
        </w:rPr>
      </w:pPr>
    </w:p>
    <w:p w14:paraId="42BE3DAA" w14:textId="77777777" w:rsidR="0093106C" w:rsidRDefault="0093106C">
      <w:pPr>
        <w:spacing w:after="0" w:line="240" w:lineRule="auto"/>
        <w:jc w:val="left"/>
        <w:rPr>
          <w:i/>
          <w:iCs/>
          <w:sz w:val="20"/>
          <w:szCs w:val="20"/>
          <w:lang w:val="en-US"/>
        </w:rPr>
      </w:pPr>
    </w:p>
    <w:p w14:paraId="03B5032F" w14:textId="77777777" w:rsidR="0093106C" w:rsidRDefault="0093106C">
      <w:pPr>
        <w:spacing w:after="0" w:line="240" w:lineRule="auto"/>
        <w:jc w:val="left"/>
        <w:rPr>
          <w:i/>
          <w:iCs/>
          <w:sz w:val="20"/>
          <w:szCs w:val="20"/>
          <w:lang w:val="en-US"/>
        </w:rPr>
      </w:pPr>
    </w:p>
    <w:p w14:paraId="280C3D14" w14:textId="77777777" w:rsidR="0093106C" w:rsidRDefault="0093106C">
      <w:pPr>
        <w:spacing w:after="0" w:line="240" w:lineRule="auto"/>
        <w:jc w:val="left"/>
        <w:rPr>
          <w:i/>
          <w:iCs/>
          <w:sz w:val="20"/>
          <w:szCs w:val="20"/>
          <w:lang w:val="en-US"/>
        </w:rPr>
      </w:pPr>
    </w:p>
    <w:p w14:paraId="457750F5" w14:textId="77777777" w:rsidR="0093106C" w:rsidRDefault="0093106C">
      <w:pPr>
        <w:spacing w:after="0" w:line="240" w:lineRule="auto"/>
        <w:jc w:val="left"/>
        <w:rPr>
          <w:i/>
          <w:iCs/>
          <w:sz w:val="20"/>
          <w:szCs w:val="20"/>
          <w:lang w:val="en-US"/>
        </w:rPr>
      </w:pPr>
    </w:p>
    <w:p w14:paraId="292C860E" w14:textId="77777777" w:rsidR="0093106C" w:rsidRDefault="0093106C">
      <w:pPr>
        <w:spacing w:after="0" w:line="240" w:lineRule="auto"/>
        <w:jc w:val="left"/>
        <w:rPr>
          <w:i/>
          <w:iCs/>
          <w:sz w:val="20"/>
          <w:szCs w:val="20"/>
          <w:lang w:val="en-US"/>
        </w:rPr>
      </w:pPr>
    </w:p>
    <w:p w14:paraId="522E8FA2" w14:textId="77777777" w:rsidR="0093106C" w:rsidRDefault="0093106C">
      <w:pPr>
        <w:spacing w:after="0" w:line="240" w:lineRule="auto"/>
        <w:jc w:val="left"/>
        <w:rPr>
          <w:i/>
          <w:iCs/>
          <w:sz w:val="20"/>
          <w:szCs w:val="20"/>
          <w:lang w:val="en-US"/>
        </w:rPr>
      </w:pPr>
    </w:p>
    <w:p w14:paraId="143CDFAE" w14:textId="77777777" w:rsidR="0093106C" w:rsidRDefault="0093106C">
      <w:pPr>
        <w:spacing w:after="0" w:line="240" w:lineRule="auto"/>
        <w:jc w:val="left"/>
        <w:rPr>
          <w:i/>
          <w:iCs/>
          <w:sz w:val="20"/>
          <w:szCs w:val="20"/>
          <w:lang w:val="en-US"/>
        </w:rPr>
      </w:pPr>
    </w:p>
    <w:p w14:paraId="6F03B720" w14:textId="77777777" w:rsidR="0093106C" w:rsidRDefault="0093106C">
      <w:pPr>
        <w:spacing w:after="0" w:line="240" w:lineRule="auto"/>
        <w:jc w:val="left"/>
        <w:rPr>
          <w:i/>
          <w:iCs/>
          <w:sz w:val="20"/>
          <w:szCs w:val="20"/>
          <w:lang w:val="en-US"/>
        </w:rPr>
      </w:pPr>
    </w:p>
    <w:p w14:paraId="02782B0C" w14:textId="77777777" w:rsidR="0093106C" w:rsidRDefault="0093106C">
      <w:pPr>
        <w:spacing w:after="0" w:line="240" w:lineRule="auto"/>
        <w:jc w:val="left"/>
        <w:rPr>
          <w:i/>
          <w:iCs/>
          <w:sz w:val="20"/>
          <w:szCs w:val="20"/>
          <w:lang w:val="en-US"/>
        </w:rPr>
      </w:pPr>
    </w:p>
    <w:p w14:paraId="5335CB7C" w14:textId="77777777" w:rsidR="0093106C" w:rsidRDefault="0093106C">
      <w:pPr>
        <w:spacing w:after="0" w:line="240" w:lineRule="auto"/>
        <w:jc w:val="left"/>
        <w:rPr>
          <w:i/>
          <w:iCs/>
          <w:sz w:val="20"/>
          <w:szCs w:val="20"/>
          <w:lang w:val="en-US"/>
        </w:rPr>
      </w:pPr>
    </w:p>
    <w:p w14:paraId="22CC7AD6" w14:textId="77777777" w:rsidR="0093106C" w:rsidRDefault="0093106C">
      <w:pPr>
        <w:spacing w:after="0" w:line="240" w:lineRule="auto"/>
        <w:jc w:val="left"/>
        <w:rPr>
          <w:i/>
          <w:iCs/>
          <w:sz w:val="20"/>
          <w:szCs w:val="20"/>
          <w:lang w:val="en-US"/>
        </w:rPr>
      </w:pPr>
    </w:p>
    <w:p w14:paraId="6EE9A8DE" w14:textId="77777777" w:rsidR="0093106C" w:rsidRDefault="0093106C">
      <w:pPr>
        <w:spacing w:after="0" w:line="240" w:lineRule="auto"/>
        <w:jc w:val="left"/>
        <w:rPr>
          <w:i/>
          <w:iCs/>
          <w:sz w:val="20"/>
          <w:szCs w:val="20"/>
          <w:lang w:val="en-US"/>
        </w:rPr>
      </w:pPr>
    </w:p>
    <w:p w14:paraId="43162C78" w14:textId="77777777" w:rsidR="0093106C" w:rsidRDefault="0093106C">
      <w:pPr>
        <w:spacing w:after="0" w:line="240" w:lineRule="auto"/>
        <w:jc w:val="left"/>
        <w:rPr>
          <w:i/>
          <w:iCs/>
          <w:sz w:val="20"/>
          <w:szCs w:val="20"/>
          <w:lang w:val="en-US"/>
        </w:rPr>
      </w:pPr>
    </w:p>
    <w:p w14:paraId="66F60AF4" w14:textId="77777777" w:rsidR="0093106C" w:rsidRDefault="0093106C">
      <w:pPr>
        <w:spacing w:after="0" w:line="240" w:lineRule="auto"/>
        <w:jc w:val="left"/>
        <w:rPr>
          <w:i/>
          <w:iCs/>
          <w:sz w:val="20"/>
          <w:szCs w:val="20"/>
          <w:lang w:val="en-US"/>
        </w:rPr>
      </w:pPr>
    </w:p>
    <w:p w14:paraId="45DCEB28" w14:textId="77777777" w:rsidR="0093106C" w:rsidRDefault="0093106C">
      <w:pPr>
        <w:spacing w:after="0" w:line="240" w:lineRule="auto"/>
        <w:jc w:val="left"/>
        <w:rPr>
          <w:i/>
          <w:iCs/>
          <w:sz w:val="20"/>
          <w:szCs w:val="20"/>
          <w:lang w:val="en-US"/>
        </w:rPr>
      </w:pPr>
    </w:p>
    <w:p w14:paraId="043F3CF9" w14:textId="77777777" w:rsidR="0093106C" w:rsidRDefault="0093106C">
      <w:pPr>
        <w:spacing w:after="0" w:line="240" w:lineRule="auto"/>
        <w:jc w:val="left"/>
        <w:rPr>
          <w:i/>
          <w:iCs/>
          <w:sz w:val="20"/>
          <w:szCs w:val="20"/>
          <w:lang w:val="en-US"/>
        </w:rPr>
      </w:pPr>
    </w:p>
    <w:p w14:paraId="342F996F" w14:textId="77777777" w:rsidR="0093106C" w:rsidRDefault="0093106C">
      <w:pPr>
        <w:spacing w:after="0" w:line="240" w:lineRule="auto"/>
        <w:jc w:val="left"/>
        <w:rPr>
          <w:i/>
          <w:iCs/>
          <w:sz w:val="20"/>
          <w:szCs w:val="20"/>
          <w:lang w:val="en-US"/>
        </w:rPr>
      </w:pPr>
    </w:p>
    <w:p w14:paraId="17AAFF45" w14:textId="77777777" w:rsidR="0093106C" w:rsidRDefault="0093106C">
      <w:pPr>
        <w:spacing w:after="0" w:line="240" w:lineRule="auto"/>
        <w:jc w:val="left"/>
        <w:rPr>
          <w:i/>
          <w:iCs/>
          <w:sz w:val="20"/>
          <w:szCs w:val="20"/>
          <w:lang w:val="en-US"/>
        </w:rPr>
      </w:pPr>
    </w:p>
    <w:p w14:paraId="160FC8E5" w14:textId="6FE964E0" w:rsidR="0093106C" w:rsidRPr="00F36133" w:rsidRDefault="0093106C" w:rsidP="0093106C">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5</w:t>
      </w:r>
      <w:r w:rsidRPr="00192CBD">
        <w:rPr>
          <w:b/>
          <w:bCs/>
          <w:i/>
          <w:iCs/>
          <w:sz w:val="20"/>
          <w:szCs w:val="20"/>
          <w:lang w:val="en-US"/>
        </w:rPr>
        <w:t xml:space="preserve">. </w:t>
      </w:r>
      <w:r>
        <w:rPr>
          <w:b/>
          <w:bCs/>
          <w:i/>
          <w:iCs/>
          <w:sz w:val="20"/>
          <w:szCs w:val="20"/>
          <w:lang w:val="en-US"/>
        </w:rPr>
        <w:t xml:space="preserve">Stability of active spherical shells. </w:t>
      </w:r>
      <w:r>
        <w:rPr>
          <w:i/>
          <w:iCs/>
          <w:sz w:val="20"/>
          <w:szCs w:val="20"/>
          <w:lang w:val="en-US"/>
        </w:rPr>
        <w:t xml:space="preserve">All experiments were performed in microreactors. </w:t>
      </w:r>
      <w:r w:rsidRPr="007965B1">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 xml:space="preserve">10 mM precursor, 5 mM pSS, and 200 mM MES at pH 5.3 with 0.1 µM sulforhodamine B. 0.5 M DIC was added to the oil phase to achieve a steady state. </w:t>
      </w:r>
      <w:r w:rsidRPr="007965B1">
        <w:rPr>
          <w:b/>
          <w:bCs/>
          <w:i/>
          <w:iCs/>
          <w:sz w:val="20"/>
          <w:szCs w:val="20"/>
          <w:lang w:val="en-US"/>
        </w:rPr>
        <w:t>A</w:t>
      </w:r>
      <w:r>
        <w:rPr>
          <w:b/>
          <w:bCs/>
          <w:i/>
          <w:iCs/>
          <w:sz w:val="20"/>
          <w:szCs w:val="20"/>
          <w:lang w:val="en-US"/>
        </w:rPr>
        <w:t>, C.</w:t>
      </w:r>
      <w:r>
        <w:rPr>
          <w:i/>
          <w:iCs/>
          <w:sz w:val="20"/>
          <w:szCs w:val="20"/>
          <w:lang w:val="en-US"/>
        </w:rPr>
        <w:t xml:space="preserve"> The volume of the total coacervate material 2 h and 4 h after the induction of coacervation is shown for every individual microreactor that contained an active droplet (</w:t>
      </w:r>
      <w:r w:rsidRPr="003D169D">
        <w:rPr>
          <w:b/>
          <w:bCs/>
          <w:i/>
          <w:iCs/>
          <w:sz w:val="20"/>
          <w:szCs w:val="20"/>
          <w:lang w:val="en-US"/>
        </w:rPr>
        <w:t>A</w:t>
      </w:r>
      <w:r>
        <w:rPr>
          <w:i/>
          <w:iCs/>
          <w:sz w:val="20"/>
          <w:szCs w:val="20"/>
          <w:lang w:val="en-US"/>
        </w:rPr>
        <w:t>) or an active shell (</w:t>
      </w:r>
      <w:r w:rsidRPr="003D169D">
        <w:rPr>
          <w:b/>
          <w:bCs/>
          <w:i/>
          <w:iCs/>
          <w:sz w:val="20"/>
          <w:szCs w:val="20"/>
          <w:lang w:val="en-US"/>
        </w:rPr>
        <w:t>C</w:t>
      </w:r>
      <w:r>
        <w:rPr>
          <w:i/>
          <w:iCs/>
          <w:sz w:val="20"/>
          <w:szCs w:val="20"/>
          <w:lang w:val="en-US"/>
        </w:rPr>
        <w:t>). The volume of active droplets and active shells</w:t>
      </w:r>
      <w:r w:rsidR="00DE7598">
        <w:rPr>
          <w:i/>
          <w:iCs/>
          <w:sz w:val="20"/>
          <w:szCs w:val="20"/>
          <w:lang w:val="en-US"/>
        </w:rPr>
        <w:t>,</w:t>
      </w:r>
      <w:r>
        <w:rPr>
          <w:i/>
          <w:iCs/>
          <w:sz w:val="20"/>
          <w:szCs w:val="20"/>
          <w:lang w:val="en-US"/>
        </w:rPr>
        <w:t xml:space="preserve"> as well as the threshold upon which shells were formed</w:t>
      </w:r>
      <w:r w:rsidR="003D599E">
        <w:rPr>
          <w:i/>
          <w:iCs/>
          <w:sz w:val="20"/>
          <w:szCs w:val="20"/>
          <w:lang w:val="en-US"/>
        </w:rPr>
        <w:t>,</w:t>
      </w:r>
      <w:r>
        <w:rPr>
          <w:i/>
          <w:iCs/>
          <w:sz w:val="20"/>
          <w:szCs w:val="20"/>
          <w:lang w:val="en-US"/>
        </w:rPr>
        <w:t xml:space="preserve"> did not change between 2 h and 4 h. </w:t>
      </w:r>
      <w:r w:rsidRPr="00863359">
        <w:rPr>
          <w:b/>
          <w:bCs/>
          <w:i/>
          <w:iCs/>
          <w:sz w:val="20"/>
          <w:szCs w:val="20"/>
          <w:lang w:val="en-US"/>
        </w:rPr>
        <w:t>B</w:t>
      </w:r>
      <w:r>
        <w:rPr>
          <w:b/>
          <w:bCs/>
          <w:i/>
          <w:iCs/>
          <w:sz w:val="20"/>
          <w:szCs w:val="20"/>
          <w:lang w:val="en-US"/>
        </w:rPr>
        <w:t>, D.</w:t>
      </w:r>
      <w:r>
        <w:rPr>
          <w:i/>
          <w:iCs/>
          <w:sz w:val="20"/>
          <w:szCs w:val="20"/>
          <w:lang w:val="en-US"/>
        </w:rPr>
        <w:t xml:space="preserve"> The radius of the active droplet (</w:t>
      </w:r>
      <w:r w:rsidRPr="003D169D">
        <w:rPr>
          <w:b/>
          <w:bCs/>
          <w:i/>
          <w:iCs/>
          <w:sz w:val="20"/>
          <w:szCs w:val="20"/>
          <w:lang w:val="en-US"/>
        </w:rPr>
        <w:t>B</w:t>
      </w:r>
      <w:r>
        <w:rPr>
          <w:i/>
          <w:iCs/>
          <w:sz w:val="20"/>
          <w:szCs w:val="20"/>
          <w:lang w:val="en-US"/>
        </w:rPr>
        <w:t>) as well as the shell thickness L</w:t>
      </w:r>
      <w:r>
        <w:rPr>
          <w:i/>
          <w:iCs/>
          <w:sz w:val="20"/>
          <w:szCs w:val="20"/>
          <w:vertAlign w:val="subscript"/>
          <w:lang w:val="en-US"/>
        </w:rPr>
        <w:t>shell</w:t>
      </w:r>
      <w:r>
        <w:rPr>
          <w:i/>
          <w:iCs/>
          <w:sz w:val="20"/>
          <w:szCs w:val="20"/>
          <w:lang w:val="en-US"/>
        </w:rPr>
        <w:t xml:space="preserve"> of the active shell (</w:t>
      </w:r>
      <w:r w:rsidRPr="003D169D">
        <w:rPr>
          <w:b/>
          <w:bCs/>
          <w:i/>
          <w:iCs/>
          <w:sz w:val="20"/>
          <w:szCs w:val="20"/>
          <w:lang w:val="en-US"/>
        </w:rPr>
        <w:t>D</w:t>
      </w:r>
      <w:r>
        <w:rPr>
          <w:i/>
          <w:iCs/>
          <w:sz w:val="20"/>
          <w:szCs w:val="20"/>
          <w:lang w:val="en-US"/>
        </w:rPr>
        <w:t>) in every individual microreactor is shown 2 h and 4 h after the induction of coacervation. The radius of active droplets and L</w:t>
      </w:r>
      <w:r>
        <w:rPr>
          <w:i/>
          <w:iCs/>
          <w:sz w:val="20"/>
          <w:szCs w:val="20"/>
          <w:vertAlign w:val="subscript"/>
          <w:lang w:val="en-US"/>
        </w:rPr>
        <w:t>shell</w:t>
      </w:r>
      <w:r>
        <w:rPr>
          <w:i/>
          <w:iCs/>
          <w:sz w:val="20"/>
          <w:szCs w:val="20"/>
          <w:lang w:val="en-US"/>
        </w:rPr>
        <w:t xml:space="preserve"> of active shells</w:t>
      </w:r>
      <w:r w:rsidR="003D599E">
        <w:rPr>
          <w:i/>
          <w:iCs/>
          <w:sz w:val="20"/>
          <w:szCs w:val="20"/>
          <w:lang w:val="en-US"/>
        </w:rPr>
        <w:t>,</w:t>
      </w:r>
      <w:r>
        <w:rPr>
          <w:i/>
          <w:iCs/>
          <w:sz w:val="20"/>
          <w:szCs w:val="20"/>
          <w:lang w:val="en-US"/>
        </w:rPr>
        <w:t xml:space="preserve"> </w:t>
      </w:r>
      <w:r w:rsidR="003D599E">
        <w:rPr>
          <w:i/>
          <w:iCs/>
          <w:sz w:val="20"/>
          <w:szCs w:val="20"/>
          <w:lang w:val="en-US"/>
        </w:rPr>
        <w:t>and</w:t>
      </w:r>
      <w:r>
        <w:rPr>
          <w:i/>
          <w:iCs/>
          <w:sz w:val="20"/>
          <w:szCs w:val="20"/>
          <w:lang w:val="en-US"/>
        </w:rPr>
        <w:t xml:space="preserve"> the threshold upon which shells are formed did not change between 2 h and 4 h. All experiments were performed in triplicate (N=3). </w:t>
      </w:r>
      <w:r>
        <w:rPr>
          <w:b/>
          <w:bCs/>
          <w:i/>
          <w:iCs/>
          <w:sz w:val="20"/>
          <w:szCs w:val="20"/>
          <w:lang w:val="en-US"/>
        </w:rPr>
        <w:t xml:space="preserve">E. </w:t>
      </w:r>
      <w:r>
        <w:rPr>
          <w:i/>
          <w:iCs/>
          <w:sz w:val="20"/>
          <w:szCs w:val="20"/>
          <w:lang w:val="en-US"/>
        </w:rPr>
        <w:t>A representative active shell 2 h, 4 h, and 6 h after the induction of coacervation. In the upper row, the XY-plane of an active shell is shown</w:t>
      </w:r>
      <w:r w:rsidR="003D599E">
        <w:rPr>
          <w:i/>
          <w:iCs/>
          <w:sz w:val="20"/>
          <w:szCs w:val="20"/>
          <w:lang w:val="en-US"/>
        </w:rPr>
        <w:t>,</w:t>
      </w:r>
      <w:r>
        <w:rPr>
          <w:i/>
          <w:iCs/>
          <w:sz w:val="20"/>
          <w:szCs w:val="20"/>
          <w:lang w:val="en-US"/>
        </w:rPr>
        <w:t xml:space="preserve"> and in the bottom row, the XZ-plane through the middle of the 3D projection of the respective active shell is shown.</w:t>
      </w:r>
    </w:p>
    <w:p w14:paraId="463ED682" w14:textId="77777777" w:rsidR="005E35F7" w:rsidRDefault="0093106C">
      <w:pPr>
        <w:spacing w:after="0" w:line="240" w:lineRule="auto"/>
        <w:jc w:val="left"/>
        <w:rPr>
          <w:i/>
          <w:iCs/>
          <w:sz w:val="20"/>
          <w:szCs w:val="20"/>
          <w:lang w:val="en-US"/>
        </w:rPr>
      </w:pPr>
      <w:r>
        <w:rPr>
          <w:i/>
          <w:iCs/>
          <w:sz w:val="20"/>
          <w:szCs w:val="20"/>
          <w:lang w:val="en-US"/>
        </w:rPr>
        <w:br w:type="page"/>
      </w:r>
    </w:p>
    <w:p w14:paraId="198EDC31" w14:textId="3C77427F" w:rsidR="008879B8" w:rsidRDefault="008879B8">
      <w:pPr>
        <w:spacing w:after="0" w:line="240" w:lineRule="auto"/>
        <w:jc w:val="left"/>
        <w:rPr>
          <w:i/>
          <w:iCs/>
          <w:sz w:val="20"/>
          <w:szCs w:val="20"/>
          <w:lang w:val="en-US"/>
        </w:rPr>
      </w:pPr>
      <w:r>
        <w:rPr>
          <w:i/>
          <w:iCs/>
          <w:noProof/>
          <w:sz w:val="20"/>
          <w:szCs w:val="20"/>
          <w:lang w:val="en-US"/>
        </w:rPr>
        <w:lastRenderedPageBreak/>
        <w:drawing>
          <wp:anchor distT="0" distB="0" distL="114300" distR="114300" simplePos="0" relativeHeight="251671552" behindDoc="0" locked="0" layoutInCell="1" allowOverlap="1" wp14:anchorId="376E127E" wp14:editId="242097EC">
            <wp:simplePos x="0" y="0"/>
            <wp:positionH relativeFrom="column">
              <wp:posOffset>107950</wp:posOffset>
            </wp:positionH>
            <wp:positionV relativeFrom="paragraph">
              <wp:posOffset>577</wp:posOffset>
            </wp:positionV>
            <wp:extent cx="5450394" cy="4283656"/>
            <wp:effectExtent l="0" t="0" r="0" b="0"/>
            <wp:wrapSquare wrapText="bothSides"/>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3"/>
                    <pic:cNvPicPr preferRelativeResize="0">
                      <a:picLocks noChangeAspect="1"/>
                    </pic:cNvPicPr>
                  </pic:nvPicPr>
                  <pic:blipFill>
                    <a:blip r:embed="rId12" cstate="print">
                      <a:extLst>
                        <a:ext uri="{28A0092B-C50C-407E-A947-70E740481C1C}">
                          <a14:useLocalDpi xmlns:a14="http://schemas.microsoft.com/office/drawing/2010/main"/>
                        </a:ext>
                      </a:extLst>
                    </a:blip>
                    <a:srcRect/>
                    <a:stretch/>
                  </pic:blipFill>
                  <pic:spPr>
                    <a:xfrm>
                      <a:off x="0" y="0"/>
                      <a:ext cx="5450394" cy="4283656"/>
                    </a:xfrm>
                    <a:prstGeom prst="rect">
                      <a:avLst/>
                    </a:prstGeom>
                  </pic:spPr>
                </pic:pic>
              </a:graphicData>
            </a:graphic>
          </wp:anchor>
        </w:drawing>
      </w:r>
    </w:p>
    <w:p w14:paraId="20B2530C" w14:textId="28A71BB9" w:rsidR="008879B8" w:rsidRPr="00137F3A" w:rsidRDefault="008879B8" w:rsidP="008879B8">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6</w:t>
      </w:r>
      <w:r w:rsidRPr="00192CBD">
        <w:rPr>
          <w:b/>
          <w:bCs/>
          <w:i/>
          <w:iCs/>
          <w:sz w:val="20"/>
          <w:szCs w:val="20"/>
          <w:lang w:val="en-US"/>
        </w:rPr>
        <w:t xml:space="preserve">. </w:t>
      </w:r>
      <w:r>
        <w:rPr>
          <w:b/>
          <w:bCs/>
          <w:i/>
          <w:iCs/>
          <w:sz w:val="20"/>
          <w:szCs w:val="20"/>
          <w:lang w:val="en-US"/>
        </w:rPr>
        <w:t xml:space="preserve">FRAP of active droplets and active spherical shells. </w:t>
      </w:r>
      <w:r>
        <w:rPr>
          <w:i/>
          <w:iCs/>
          <w:sz w:val="20"/>
          <w:szCs w:val="20"/>
          <w:lang w:val="en-US"/>
        </w:rPr>
        <w:t>All experiments were performed in microreactors.</w:t>
      </w:r>
      <w:r>
        <w:rPr>
          <w:b/>
          <w:bCs/>
          <w:i/>
          <w:iCs/>
          <w:sz w:val="20"/>
          <w:szCs w:val="20"/>
          <w:lang w:val="en-US"/>
        </w:rPr>
        <w:t xml:space="preserve"> </w:t>
      </w:r>
      <w:r w:rsidRPr="007965B1">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 xml:space="preserve">10 mM precursor, 5 mM pSS, and 200 mM MES at pH 5.3 with 1 µM of the respective dye. </w:t>
      </w:r>
      <w:r w:rsidR="003D599E">
        <w:rPr>
          <w:i/>
          <w:iCs/>
          <w:sz w:val="20"/>
          <w:szCs w:val="20"/>
          <w:lang w:val="en-US"/>
        </w:rPr>
        <w:t xml:space="preserve">0.5 M DIC was added to the oil phase to achieve a steady state. Error bars represent the standard deviation of 10 different measurements (N=10). The time series shows the fluorescence recovery of a representative active shell. </w:t>
      </w:r>
      <w:r w:rsidR="003D599E" w:rsidRPr="00137F3A">
        <w:rPr>
          <w:b/>
          <w:bCs/>
          <w:i/>
          <w:iCs/>
          <w:sz w:val="20"/>
          <w:szCs w:val="20"/>
          <w:lang w:val="en-US"/>
        </w:rPr>
        <w:t>A</w:t>
      </w:r>
      <w:r w:rsidR="003D599E">
        <w:rPr>
          <w:b/>
          <w:bCs/>
          <w:i/>
          <w:iCs/>
          <w:sz w:val="20"/>
          <w:szCs w:val="20"/>
          <w:lang w:val="en-US"/>
        </w:rPr>
        <w:t xml:space="preserve">-C. </w:t>
      </w:r>
      <w:r w:rsidR="003D599E">
        <w:rPr>
          <w:i/>
          <w:iCs/>
          <w:sz w:val="20"/>
          <w:szCs w:val="20"/>
          <w:lang w:val="en-US"/>
        </w:rPr>
        <w:t>FRAP of the labeled precursor (</w:t>
      </w:r>
      <w:r w:rsidR="003D599E" w:rsidRPr="003D599E">
        <w:rPr>
          <w:b/>
          <w:bCs/>
          <w:i/>
          <w:iCs/>
          <w:sz w:val="20"/>
          <w:szCs w:val="20"/>
          <w:lang w:val="en-US"/>
        </w:rPr>
        <w:t>A</w:t>
      </w:r>
      <w:r w:rsidR="003D599E">
        <w:rPr>
          <w:i/>
          <w:iCs/>
          <w:sz w:val="20"/>
          <w:szCs w:val="20"/>
          <w:lang w:val="en-US"/>
        </w:rPr>
        <w:t xml:space="preserve">), labeled product* (B), and labeled pSS  (C) shells 3 h after the induction of coacervation. </w:t>
      </w:r>
      <w:r w:rsidR="003D599E">
        <w:rPr>
          <w:b/>
          <w:bCs/>
          <w:i/>
          <w:iCs/>
          <w:sz w:val="20"/>
          <w:szCs w:val="20"/>
          <w:lang w:val="en-US"/>
        </w:rPr>
        <w:t xml:space="preserve">D-F. </w:t>
      </w:r>
      <w:r w:rsidR="003D599E">
        <w:rPr>
          <w:i/>
          <w:iCs/>
          <w:sz w:val="20"/>
          <w:szCs w:val="20"/>
          <w:lang w:val="en-US"/>
        </w:rPr>
        <w:t>FRAP of the labeled precursor (</w:t>
      </w:r>
      <w:r w:rsidR="003D599E" w:rsidRPr="003D599E">
        <w:rPr>
          <w:b/>
          <w:bCs/>
          <w:i/>
          <w:iCs/>
          <w:sz w:val="20"/>
          <w:szCs w:val="20"/>
          <w:lang w:val="en-US"/>
        </w:rPr>
        <w:t>D</w:t>
      </w:r>
      <w:r w:rsidR="003D599E">
        <w:rPr>
          <w:i/>
          <w:iCs/>
          <w:sz w:val="20"/>
          <w:szCs w:val="20"/>
          <w:lang w:val="en-US"/>
        </w:rPr>
        <w:t>), the labeled product* (</w:t>
      </w:r>
      <w:r w:rsidR="003D599E" w:rsidRPr="003D599E">
        <w:rPr>
          <w:b/>
          <w:bCs/>
          <w:i/>
          <w:iCs/>
          <w:sz w:val="20"/>
          <w:szCs w:val="20"/>
          <w:lang w:val="en-US"/>
        </w:rPr>
        <w:t>E</w:t>
      </w:r>
      <w:r w:rsidR="003D599E">
        <w:rPr>
          <w:i/>
          <w:iCs/>
          <w:sz w:val="20"/>
          <w:szCs w:val="20"/>
          <w:lang w:val="en-US"/>
        </w:rPr>
        <w:t>), and of the labeled pSS  (</w:t>
      </w:r>
      <w:r w:rsidR="003D599E" w:rsidRPr="003D599E">
        <w:rPr>
          <w:b/>
          <w:bCs/>
          <w:i/>
          <w:iCs/>
          <w:sz w:val="20"/>
          <w:szCs w:val="20"/>
          <w:lang w:val="en-US"/>
        </w:rPr>
        <w:t>F</w:t>
      </w:r>
      <w:r w:rsidR="003D599E">
        <w:rPr>
          <w:i/>
          <w:iCs/>
          <w:sz w:val="20"/>
          <w:szCs w:val="20"/>
          <w:lang w:val="en-US"/>
        </w:rPr>
        <w:t xml:space="preserve">) active droplets 1 h after the induction of coacervation. Active droplets were imaged before they transitioned into a spherical shell. </w:t>
      </w:r>
    </w:p>
    <w:p w14:paraId="7C1A3119" w14:textId="7428B897" w:rsidR="008879B8" w:rsidRDefault="008879B8">
      <w:pPr>
        <w:spacing w:after="0" w:line="240" w:lineRule="auto"/>
        <w:jc w:val="left"/>
        <w:rPr>
          <w:i/>
          <w:iCs/>
          <w:sz w:val="20"/>
          <w:szCs w:val="20"/>
          <w:lang w:val="en-US"/>
        </w:rPr>
      </w:pPr>
      <w:r>
        <w:rPr>
          <w:i/>
          <w:iCs/>
          <w:sz w:val="20"/>
          <w:szCs w:val="20"/>
          <w:lang w:val="en-US"/>
        </w:rPr>
        <w:br w:type="page"/>
      </w:r>
    </w:p>
    <w:p w14:paraId="593E72C3" w14:textId="16C098B3" w:rsidR="0093106C" w:rsidRPr="005160E6" w:rsidRDefault="008879B8" w:rsidP="0093106C">
      <w:pPr>
        <w:spacing w:line="276" w:lineRule="auto"/>
        <w:rPr>
          <w:i/>
          <w:iCs/>
          <w:sz w:val="20"/>
          <w:szCs w:val="20"/>
          <w:lang w:val="en-US"/>
        </w:rPr>
      </w:pPr>
      <w:r>
        <w:rPr>
          <w:i/>
          <w:iCs/>
          <w:noProof/>
          <w:sz w:val="20"/>
          <w:szCs w:val="20"/>
          <w:lang w:val="en-US"/>
        </w:rPr>
        <w:lastRenderedPageBreak/>
        <w:drawing>
          <wp:anchor distT="0" distB="0" distL="114300" distR="114300" simplePos="0" relativeHeight="251674624" behindDoc="0" locked="0" layoutInCell="1" allowOverlap="1" wp14:anchorId="75AED474" wp14:editId="02902630">
            <wp:simplePos x="0" y="0"/>
            <wp:positionH relativeFrom="column">
              <wp:posOffset>983441</wp:posOffset>
            </wp:positionH>
            <wp:positionV relativeFrom="paragraph">
              <wp:posOffset>520</wp:posOffset>
            </wp:positionV>
            <wp:extent cx="3708000" cy="5733651"/>
            <wp:effectExtent l="0" t="0" r="635" b="0"/>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afik 36"/>
                    <pic:cNvPicPr preferRelativeResize="0">
                      <a:picLocks noChangeAspect="1"/>
                    </pic:cNvPicPr>
                  </pic:nvPicPr>
                  <pic:blipFill>
                    <a:blip r:embed="rId13" cstate="print">
                      <a:extLst>
                        <a:ext uri="{28A0092B-C50C-407E-A947-70E740481C1C}">
                          <a14:useLocalDpi xmlns:a14="http://schemas.microsoft.com/office/drawing/2010/main"/>
                        </a:ext>
                      </a:extLst>
                    </a:blip>
                    <a:srcRect/>
                    <a:stretch/>
                  </pic:blipFill>
                  <pic:spPr>
                    <a:xfrm>
                      <a:off x="0" y="0"/>
                      <a:ext cx="3708000" cy="5733651"/>
                    </a:xfrm>
                    <a:prstGeom prst="rect">
                      <a:avLst/>
                    </a:prstGeom>
                  </pic:spPr>
                </pic:pic>
              </a:graphicData>
            </a:graphic>
          </wp:anchor>
        </w:drawing>
      </w:r>
    </w:p>
    <w:p w14:paraId="4C0C8741" w14:textId="0A9B06DF" w:rsidR="0093106C" w:rsidRDefault="0093106C" w:rsidP="004F14A5">
      <w:pPr>
        <w:spacing w:line="276" w:lineRule="auto"/>
        <w:rPr>
          <w:b/>
          <w:lang w:val="en-US"/>
        </w:rPr>
      </w:pPr>
    </w:p>
    <w:p w14:paraId="78633DA6" w14:textId="0464FE8F" w:rsidR="008879B8" w:rsidRDefault="008879B8" w:rsidP="004F14A5">
      <w:pPr>
        <w:spacing w:line="276" w:lineRule="auto"/>
        <w:rPr>
          <w:b/>
          <w:lang w:val="en-US"/>
        </w:rPr>
      </w:pPr>
    </w:p>
    <w:p w14:paraId="31865B36" w14:textId="0A66075A" w:rsidR="008879B8" w:rsidRDefault="008879B8" w:rsidP="004F14A5">
      <w:pPr>
        <w:spacing w:line="276" w:lineRule="auto"/>
        <w:rPr>
          <w:b/>
          <w:lang w:val="en-US"/>
        </w:rPr>
      </w:pPr>
    </w:p>
    <w:p w14:paraId="0734CE48" w14:textId="0FDA57AE" w:rsidR="008879B8" w:rsidRDefault="008879B8" w:rsidP="004F14A5">
      <w:pPr>
        <w:spacing w:line="276" w:lineRule="auto"/>
        <w:rPr>
          <w:b/>
          <w:lang w:val="en-US"/>
        </w:rPr>
      </w:pPr>
    </w:p>
    <w:p w14:paraId="4662788A" w14:textId="4AB7272A" w:rsidR="008879B8" w:rsidRDefault="008879B8" w:rsidP="004F14A5">
      <w:pPr>
        <w:spacing w:line="276" w:lineRule="auto"/>
        <w:rPr>
          <w:b/>
          <w:lang w:val="en-US"/>
        </w:rPr>
      </w:pPr>
    </w:p>
    <w:p w14:paraId="6F6658B6" w14:textId="446631E2" w:rsidR="008879B8" w:rsidRDefault="008879B8" w:rsidP="004F14A5">
      <w:pPr>
        <w:spacing w:line="276" w:lineRule="auto"/>
        <w:rPr>
          <w:b/>
          <w:lang w:val="en-US"/>
        </w:rPr>
      </w:pPr>
    </w:p>
    <w:p w14:paraId="1F947702" w14:textId="1DA63B48" w:rsidR="008879B8" w:rsidRDefault="008879B8" w:rsidP="004F14A5">
      <w:pPr>
        <w:spacing w:line="276" w:lineRule="auto"/>
        <w:rPr>
          <w:b/>
          <w:lang w:val="en-US"/>
        </w:rPr>
      </w:pPr>
    </w:p>
    <w:p w14:paraId="0D3CEB70" w14:textId="7520D697" w:rsidR="008879B8" w:rsidRDefault="008879B8" w:rsidP="004F14A5">
      <w:pPr>
        <w:spacing w:line="276" w:lineRule="auto"/>
        <w:rPr>
          <w:b/>
          <w:lang w:val="en-US"/>
        </w:rPr>
      </w:pPr>
    </w:p>
    <w:p w14:paraId="07D553D3" w14:textId="1DFD6799" w:rsidR="008879B8" w:rsidRDefault="008879B8" w:rsidP="004F14A5">
      <w:pPr>
        <w:spacing w:line="276" w:lineRule="auto"/>
        <w:rPr>
          <w:b/>
          <w:lang w:val="en-US"/>
        </w:rPr>
      </w:pPr>
    </w:p>
    <w:p w14:paraId="1D7C16ED" w14:textId="3C883A5F" w:rsidR="008879B8" w:rsidRDefault="008879B8" w:rsidP="004F14A5">
      <w:pPr>
        <w:spacing w:line="276" w:lineRule="auto"/>
        <w:rPr>
          <w:b/>
          <w:lang w:val="en-US"/>
        </w:rPr>
      </w:pPr>
    </w:p>
    <w:p w14:paraId="513411CC" w14:textId="559B9D4B" w:rsidR="008879B8" w:rsidRDefault="008879B8" w:rsidP="004F14A5">
      <w:pPr>
        <w:spacing w:line="276" w:lineRule="auto"/>
        <w:rPr>
          <w:b/>
          <w:lang w:val="en-US"/>
        </w:rPr>
      </w:pPr>
    </w:p>
    <w:p w14:paraId="4DEE2C73" w14:textId="452C0853" w:rsidR="008879B8" w:rsidRDefault="008879B8" w:rsidP="004F14A5">
      <w:pPr>
        <w:spacing w:line="276" w:lineRule="auto"/>
        <w:rPr>
          <w:b/>
          <w:lang w:val="en-US"/>
        </w:rPr>
      </w:pPr>
    </w:p>
    <w:p w14:paraId="45483C1B" w14:textId="7F36BD7C" w:rsidR="008879B8" w:rsidRDefault="008879B8" w:rsidP="004F14A5">
      <w:pPr>
        <w:spacing w:line="276" w:lineRule="auto"/>
        <w:rPr>
          <w:b/>
          <w:lang w:val="en-US"/>
        </w:rPr>
      </w:pPr>
    </w:p>
    <w:p w14:paraId="72102A8A" w14:textId="713CF0EF" w:rsidR="008879B8" w:rsidRDefault="008879B8" w:rsidP="004F14A5">
      <w:pPr>
        <w:spacing w:line="276" w:lineRule="auto"/>
        <w:rPr>
          <w:b/>
          <w:lang w:val="en-US"/>
        </w:rPr>
      </w:pPr>
    </w:p>
    <w:p w14:paraId="49F3E3F4" w14:textId="2C7CED78" w:rsidR="008879B8" w:rsidRDefault="008879B8" w:rsidP="004F14A5">
      <w:pPr>
        <w:spacing w:line="276" w:lineRule="auto"/>
        <w:rPr>
          <w:b/>
          <w:lang w:val="en-US"/>
        </w:rPr>
      </w:pPr>
    </w:p>
    <w:p w14:paraId="4FAEE8AA" w14:textId="042093F5" w:rsidR="008879B8" w:rsidRDefault="008879B8" w:rsidP="004F14A5">
      <w:pPr>
        <w:spacing w:line="276" w:lineRule="auto"/>
        <w:rPr>
          <w:b/>
          <w:lang w:val="en-US"/>
        </w:rPr>
      </w:pPr>
    </w:p>
    <w:p w14:paraId="70D8DB71" w14:textId="4A677C28" w:rsidR="008879B8" w:rsidRDefault="008879B8" w:rsidP="004F14A5">
      <w:pPr>
        <w:spacing w:line="276" w:lineRule="auto"/>
        <w:rPr>
          <w:b/>
          <w:lang w:val="en-US"/>
        </w:rPr>
      </w:pPr>
    </w:p>
    <w:p w14:paraId="7F12D8FA" w14:textId="111AF5D8" w:rsidR="008879B8" w:rsidRDefault="008879B8" w:rsidP="004F14A5">
      <w:pPr>
        <w:spacing w:line="276" w:lineRule="auto"/>
        <w:rPr>
          <w:b/>
          <w:lang w:val="en-US"/>
        </w:rPr>
      </w:pPr>
    </w:p>
    <w:p w14:paraId="52561F3B" w14:textId="4CF90A60" w:rsidR="008879B8" w:rsidRDefault="008879B8" w:rsidP="004F14A5">
      <w:pPr>
        <w:spacing w:line="276" w:lineRule="auto"/>
        <w:rPr>
          <w:b/>
          <w:lang w:val="en-US"/>
        </w:rPr>
      </w:pPr>
    </w:p>
    <w:p w14:paraId="30F8D01A" w14:textId="77777777" w:rsidR="005E35F7" w:rsidRDefault="005E35F7" w:rsidP="008879B8">
      <w:pPr>
        <w:spacing w:line="276" w:lineRule="auto"/>
        <w:rPr>
          <w:b/>
          <w:lang w:val="en-US"/>
        </w:rPr>
      </w:pPr>
    </w:p>
    <w:p w14:paraId="00F413B4" w14:textId="2DF521AF" w:rsidR="008879B8" w:rsidRPr="007965B1" w:rsidRDefault="008879B8" w:rsidP="008879B8">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7</w:t>
      </w:r>
      <w:r w:rsidRPr="00192CBD">
        <w:rPr>
          <w:b/>
          <w:bCs/>
          <w:i/>
          <w:iCs/>
          <w:sz w:val="20"/>
          <w:szCs w:val="20"/>
          <w:lang w:val="en-US"/>
        </w:rPr>
        <w:t xml:space="preserve">. </w:t>
      </w:r>
      <w:r>
        <w:rPr>
          <w:b/>
          <w:bCs/>
          <w:i/>
          <w:iCs/>
          <w:sz w:val="20"/>
          <w:szCs w:val="20"/>
          <w:lang w:val="en-US"/>
        </w:rPr>
        <w:t xml:space="preserve">Partitioning of fluorescent molecules into the active spherical shells. </w:t>
      </w:r>
      <w:r w:rsidRPr="007965B1">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 xml:space="preserve">10 mM precursor, 5 mM pSS, and 200 mM MES at pH 5.3 with 1 µM of the respective dye. </w:t>
      </w:r>
      <w:r w:rsidR="003D599E">
        <w:rPr>
          <w:i/>
          <w:iCs/>
          <w:sz w:val="20"/>
          <w:szCs w:val="20"/>
          <w:lang w:val="en-US"/>
        </w:rPr>
        <w:t>0.5 M DIC was added to the oil phase to achieve a steady state</w:t>
      </w:r>
      <w:r>
        <w:rPr>
          <w:i/>
          <w:iCs/>
          <w:sz w:val="20"/>
          <w:szCs w:val="20"/>
          <w:lang w:val="en-US"/>
        </w:rPr>
        <w:t xml:space="preserve">. Active spherical shells were imaged 3 h after the induction of coacervation. </w:t>
      </w:r>
      <w:r w:rsidRPr="007965B1">
        <w:rPr>
          <w:b/>
          <w:bCs/>
          <w:i/>
          <w:iCs/>
          <w:sz w:val="20"/>
          <w:szCs w:val="20"/>
          <w:lang w:val="en-US"/>
        </w:rPr>
        <w:t>A</w:t>
      </w:r>
      <w:r w:rsidR="003D599E">
        <w:rPr>
          <w:b/>
          <w:bCs/>
          <w:i/>
          <w:iCs/>
          <w:sz w:val="20"/>
          <w:szCs w:val="20"/>
          <w:lang w:val="en-US"/>
        </w:rPr>
        <w:t>-E</w:t>
      </w:r>
      <w:r>
        <w:rPr>
          <w:b/>
          <w:bCs/>
          <w:i/>
          <w:iCs/>
          <w:sz w:val="20"/>
          <w:szCs w:val="20"/>
          <w:lang w:val="en-US"/>
        </w:rPr>
        <w:t xml:space="preserve">. </w:t>
      </w:r>
      <w:r>
        <w:rPr>
          <w:i/>
          <w:iCs/>
          <w:sz w:val="20"/>
          <w:szCs w:val="20"/>
          <w:lang w:val="en-US"/>
        </w:rPr>
        <w:t>Bright-field image of an active shell containing Cy3 labeled dextran sulfate (Cy3 DexS, excitation at 552</w:t>
      </w:r>
      <w:r w:rsidRPr="000F658D">
        <w:rPr>
          <w:lang w:val="en-US"/>
        </w:rPr>
        <w:t> </w:t>
      </w:r>
      <w:r>
        <w:rPr>
          <w:lang w:val="en-US"/>
        </w:rPr>
        <w:t>nm</w:t>
      </w:r>
      <w:r w:rsidR="003D599E">
        <w:rPr>
          <w:lang w:val="en-US"/>
        </w:rPr>
        <w:t xml:space="preserve">, </w:t>
      </w:r>
      <w:r w:rsidR="003D599E" w:rsidRPr="003D599E">
        <w:rPr>
          <w:b/>
          <w:bCs/>
          <w:lang w:val="en-US"/>
        </w:rPr>
        <w:t>A</w:t>
      </w:r>
      <w:r>
        <w:rPr>
          <w:lang w:val="en-US"/>
        </w:rPr>
        <w:t>)</w:t>
      </w:r>
      <w:r w:rsidR="003D599E">
        <w:rPr>
          <w:lang w:val="en-US"/>
        </w:rPr>
        <w:t xml:space="preserve">, </w:t>
      </w:r>
      <w:r>
        <w:rPr>
          <w:i/>
          <w:iCs/>
          <w:sz w:val="20"/>
          <w:szCs w:val="20"/>
          <w:lang w:val="en-US"/>
        </w:rPr>
        <w:t>Cy5 labeled 15-mer of oligouridylic acid (Cy5 U</w:t>
      </w:r>
      <w:r w:rsidRPr="00B17E9E">
        <w:rPr>
          <w:i/>
          <w:iCs/>
          <w:sz w:val="20"/>
          <w:szCs w:val="20"/>
          <w:vertAlign w:val="subscript"/>
          <w:lang w:val="en-US"/>
        </w:rPr>
        <w:t>15</w:t>
      </w:r>
      <w:r>
        <w:rPr>
          <w:i/>
          <w:iCs/>
          <w:sz w:val="20"/>
          <w:szCs w:val="20"/>
          <w:lang w:val="en-US"/>
        </w:rPr>
        <w:t>, excitation at 638</w:t>
      </w:r>
      <w:r w:rsidRPr="000F658D">
        <w:rPr>
          <w:lang w:val="en-US"/>
        </w:rPr>
        <w:t> </w:t>
      </w:r>
      <w:r>
        <w:rPr>
          <w:lang w:val="en-US"/>
        </w:rPr>
        <w:t>nm</w:t>
      </w:r>
      <w:r w:rsidR="003D599E">
        <w:rPr>
          <w:lang w:val="en-US"/>
        </w:rPr>
        <w:t xml:space="preserve">, </w:t>
      </w:r>
      <w:r w:rsidR="003D599E" w:rsidRPr="003D599E">
        <w:rPr>
          <w:b/>
          <w:bCs/>
          <w:lang w:val="en-US"/>
        </w:rPr>
        <w:t>B</w:t>
      </w:r>
      <w:r>
        <w:rPr>
          <w:lang w:val="en-US"/>
        </w:rPr>
        <w:t>)</w:t>
      </w:r>
      <w:r w:rsidR="003D599E">
        <w:rPr>
          <w:lang w:val="en-US"/>
        </w:rPr>
        <w:t xml:space="preserve"> </w:t>
      </w:r>
      <w:r>
        <w:rPr>
          <w:i/>
          <w:iCs/>
          <w:sz w:val="20"/>
          <w:szCs w:val="20"/>
          <w:lang w:val="en-US"/>
        </w:rPr>
        <w:t>Cy3 labeled (ATCG)</w:t>
      </w:r>
      <w:r>
        <w:rPr>
          <w:i/>
          <w:iCs/>
          <w:sz w:val="20"/>
          <w:szCs w:val="20"/>
          <w:vertAlign w:val="subscript"/>
          <w:lang w:val="en-US"/>
        </w:rPr>
        <w:t>8</w:t>
      </w:r>
      <w:r>
        <w:rPr>
          <w:i/>
          <w:iCs/>
          <w:sz w:val="20"/>
          <w:szCs w:val="20"/>
          <w:lang w:val="en-US"/>
        </w:rPr>
        <w:t xml:space="preserve"> (Cy3 (ATCG)</w:t>
      </w:r>
      <w:r w:rsidRPr="000F658D">
        <w:rPr>
          <w:i/>
          <w:iCs/>
          <w:sz w:val="20"/>
          <w:szCs w:val="20"/>
          <w:vertAlign w:val="subscript"/>
          <w:lang w:val="en-US"/>
        </w:rPr>
        <w:t>8</w:t>
      </w:r>
      <w:r>
        <w:rPr>
          <w:i/>
          <w:iCs/>
          <w:sz w:val="20"/>
          <w:szCs w:val="20"/>
          <w:lang w:val="en-US"/>
        </w:rPr>
        <w:t>, excitation at 552</w:t>
      </w:r>
      <w:r w:rsidRPr="000F658D">
        <w:rPr>
          <w:lang w:val="en-US"/>
        </w:rPr>
        <w:t> </w:t>
      </w:r>
      <w:r>
        <w:rPr>
          <w:lang w:val="en-US"/>
        </w:rPr>
        <w:t>nm</w:t>
      </w:r>
      <w:r w:rsidR="003D599E">
        <w:rPr>
          <w:lang w:val="en-US"/>
        </w:rPr>
        <w:t xml:space="preserve">, </w:t>
      </w:r>
      <w:r w:rsidR="003D599E" w:rsidRPr="003D599E">
        <w:rPr>
          <w:b/>
          <w:bCs/>
          <w:lang w:val="en-US"/>
        </w:rPr>
        <w:t>C</w:t>
      </w:r>
      <w:r w:rsidR="003D599E">
        <w:rPr>
          <w:lang w:val="en-US"/>
        </w:rPr>
        <w:t xml:space="preserve">), </w:t>
      </w:r>
      <w:r>
        <w:rPr>
          <w:i/>
          <w:iCs/>
          <w:sz w:val="20"/>
          <w:szCs w:val="20"/>
          <w:lang w:val="en-US"/>
        </w:rPr>
        <w:t xml:space="preserve"> Cy5 labeled pSS (Cy5 pSS, excitation at 638</w:t>
      </w:r>
      <w:r w:rsidRPr="000F658D">
        <w:rPr>
          <w:lang w:val="en-US"/>
        </w:rPr>
        <w:t> </w:t>
      </w:r>
      <w:r>
        <w:rPr>
          <w:lang w:val="en-US"/>
        </w:rPr>
        <w:t>nm</w:t>
      </w:r>
      <w:r w:rsidR="003D599E">
        <w:rPr>
          <w:lang w:val="en-US"/>
        </w:rPr>
        <w:t xml:space="preserve">, </w:t>
      </w:r>
      <w:r w:rsidR="003D599E" w:rsidRPr="003D599E">
        <w:rPr>
          <w:b/>
          <w:bCs/>
          <w:lang w:val="en-US"/>
        </w:rPr>
        <w:t>D</w:t>
      </w:r>
      <w:r w:rsidR="003D599E">
        <w:rPr>
          <w:b/>
          <w:bCs/>
          <w:lang w:val="en-US"/>
        </w:rPr>
        <w:t>)</w:t>
      </w:r>
      <w:r w:rsidR="003D599E">
        <w:rPr>
          <w:lang w:val="en-US"/>
        </w:rPr>
        <w:t>, and</w:t>
      </w:r>
      <w:r>
        <w:rPr>
          <w:i/>
          <w:iCs/>
          <w:sz w:val="20"/>
          <w:szCs w:val="20"/>
          <w:lang w:val="en-US"/>
        </w:rPr>
        <w:t xml:space="preserve"> NBD labeled product* (excitation at 488</w:t>
      </w:r>
      <w:r w:rsidRPr="000F658D">
        <w:rPr>
          <w:lang w:val="en-US"/>
        </w:rPr>
        <w:t> </w:t>
      </w:r>
      <w:r>
        <w:rPr>
          <w:lang w:val="en-US"/>
        </w:rPr>
        <w:t>nm</w:t>
      </w:r>
      <w:r w:rsidR="003D599E">
        <w:rPr>
          <w:lang w:val="en-US"/>
        </w:rPr>
        <w:t xml:space="preserve">, </w:t>
      </w:r>
      <w:r w:rsidR="003D599E" w:rsidRPr="003D599E">
        <w:rPr>
          <w:b/>
          <w:bCs/>
          <w:lang w:val="en-US"/>
        </w:rPr>
        <w:t>E</w:t>
      </w:r>
      <w:r>
        <w:rPr>
          <w:lang w:val="en-US"/>
        </w:rPr>
        <w:t>).</w:t>
      </w:r>
      <w:r>
        <w:rPr>
          <w:i/>
          <w:iCs/>
          <w:sz w:val="20"/>
          <w:szCs w:val="20"/>
          <w:lang w:val="en-US"/>
        </w:rPr>
        <w:t xml:space="preserve"> The line profile of the fluorescence along the dotted line is shown.</w:t>
      </w:r>
    </w:p>
    <w:p w14:paraId="40831CC9" w14:textId="2EA49B36" w:rsidR="008879B8" w:rsidRDefault="008879B8">
      <w:pPr>
        <w:spacing w:after="0" w:line="240" w:lineRule="auto"/>
        <w:jc w:val="left"/>
        <w:rPr>
          <w:b/>
          <w:lang w:val="en-US"/>
        </w:rPr>
      </w:pPr>
      <w:r>
        <w:rPr>
          <w:b/>
          <w:lang w:val="en-US"/>
        </w:rPr>
        <w:br w:type="page"/>
      </w:r>
    </w:p>
    <w:p w14:paraId="7BE330A5" w14:textId="4FB8644C" w:rsidR="008879B8" w:rsidRDefault="008879B8" w:rsidP="004F14A5">
      <w:pPr>
        <w:spacing w:line="276" w:lineRule="auto"/>
        <w:rPr>
          <w:b/>
          <w:lang w:val="en-US"/>
        </w:rPr>
      </w:pPr>
      <w:r>
        <w:rPr>
          <w:b/>
          <w:noProof/>
          <w:lang w:val="en-US"/>
        </w:rPr>
        <w:lastRenderedPageBreak/>
        <w:drawing>
          <wp:anchor distT="0" distB="0" distL="114300" distR="114300" simplePos="0" relativeHeight="251677696" behindDoc="0" locked="0" layoutInCell="1" allowOverlap="1" wp14:anchorId="6FECA6BA" wp14:editId="5E4C739F">
            <wp:simplePos x="0" y="0"/>
            <wp:positionH relativeFrom="column">
              <wp:posOffset>1267056</wp:posOffset>
            </wp:positionH>
            <wp:positionV relativeFrom="paragraph">
              <wp:posOffset>58</wp:posOffset>
            </wp:positionV>
            <wp:extent cx="3333600" cy="5757291"/>
            <wp:effectExtent l="0" t="0" r="0" b="0"/>
            <wp:wrapSquare wrapText="bothSides"/>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pic:cNvPicPr preferRelativeResize="0">
                      <a:picLocks noChangeAspect="1"/>
                    </pic:cNvPicPr>
                  </pic:nvPicPr>
                  <pic:blipFill>
                    <a:blip r:embed="rId14" cstate="print">
                      <a:extLst>
                        <a:ext uri="{28A0092B-C50C-407E-A947-70E740481C1C}">
                          <a14:useLocalDpi xmlns:a14="http://schemas.microsoft.com/office/drawing/2010/main"/>
                        </a:ext>
                      </a:extLst>
                    </a:blip>
                    <a:srcRect/>
                    <a:stretch/>
                  </pic:blipFill>
                  <pic:spPr>
                    <a:xfrm>
                      <a:off x="0" y="0"/>
                      <a:ext cx="3333600" cy="5757291"/>
                    </a:xfrm>
                    <a:prstGeom prst="rect">
                      <a:avLst/>
                    </a:prstGeom>
                  </pic:spPr>
                </pic:pic>
              </a:graphicData>
            </a:graphic>
          </wp:anchor>
        </w:drawing>
      </w:r>
    </w:p>
    <w:p w14:paraId="7C85F1F3" w14:textId="399FE6D9" w:rsidR="008879B8" w:rsidRDefault="008879B8" w:rsidP="004F14A5">
      <w:pPr>
        <w:spacing w:line="276" w:lineRule="auto"/>
        <w:rPr>
          <w:b/>
          <w:lang w:val="en-US"/>
        </w:rPr>
      </w:pPr>
    </w:p>
    <w:p w14:paraId="4667D824" w14:textId="2277960F" w:rsidR="008879B8" w:rsidRDefault="008879B8" w:rsidP="004F14A5">
      <w:pPr>
        <w:spacing w:line="276" w:lineRule="auto"/>
        <w:rPr>
          <w:b/>
          <w:lang w:val="en-US"/>
        </w:rPr>
      </w:pPr>
    </w:p>
    <w:p w14:paraId="60C48228" w14:textId="6DC22806" w:rsidR="008879B8" w:rsidRPr="008879B8" w:rsidRDefault="008879B8" w:rsidP="008879B8">
      <w:pPr>
        <w:rPr>
          <w:lang w:val="en-US"/>
        </w:rPr>
      </w:pPr>
    </w:p>
    <w:p w14:paraId="4C8652CF" w14:textId="5823A6F0" w:rsidR="008879B8" w:rsidRPr="008879B8" w:rsidRDefault="008879B8" w:rsidP="008879B8">
      <w:pPr>
        <w:rPr>
          <w:lang w:val="en-US"/>
        </w:rPr>
      </w:pPr>
    </w:p>
    <w:p w14:paraId="6AC839EC" w14:textId="1E6312CA" w:rsidR="008879B8" w:rsidRPr="008879B8" w:rsidRDefault="008879B8" w:rsidP="008879B8">
      <w:pPr>
        <w:rPr>
          <w:lang w:val="en-US"/>
        </w:rPr>
      </w:pPr>
    </w:p>
    <w:p w14:paraId="59D49331" w14:textId="4B1FA766" w:rsidR="008879B8" w:rsidRPr="008879B8" w:rsidRDefault="008879B8" w:rsidP="008879B8">
      <w:pPr>
        <w:rPr>
          <w:lang w:val="en-US"/>
        </w:rPr>
      </w:pPr>
    </w:p>
    <w:p w14:paraId="1865E3C7" w14:textId="17DFF61A" w:rsidR="008879B8" w:rsidRPr="008879B8" w:rsidRDefault="008879B8" w:rsidP="008879B8">
      <w:pPr>
        <w:rPr>
          <w:lang w:val="en-US"/>
        </w:rPr>
      </w:pPr>
    </w:p>
    <w:p w14:paraId="05F10EC1" w14:textId="0BCFA449" w:rsidR="008879B8" w:rsidRPr="008879B8" w:rsidRDefault="008879B8" w:rsidP="008879B8">
      <w:pPr>
        <w:rPr>
          <w:lang w:val="en-US"/>
        </w:rPr>
      </w:pPr>
    </w:p>
    <w:p w14:paraId="37DE3167" w14:textId="621A0EB0" w:rsidR="008879B8" w:rsidRPr="008879B8" w:rsidRDefault="008879B8" w:rsidP="008879B8">
      <w:pPr>
        <w:rPr>
          <w:lang w:val="en-US"/>
        </w:rPr>
      </w:pPr>
    </w:p>
    <w:p w14:paraId="1CB260B6" w14:textId="0234F9BE" w:rsidR="008879B8" w:rsidRPr="008879B8" w:rsidRDefault="008879B8" w:rsidP="008879B8">
      <w:pPr>
        <w:rPr>
          <w:lang w:val="en-US"/>
        </w:rPr>
      </w:pPr>
    </w:p>
    <w:p w14:paraId="455D9669" w14:textId="32601051" w:rsidR="008879B8" w:rsidRPr="008879B8" w:rsidRDefault="008879B8" w:rsidP="008879B8">
      <w:pPr>
        <w:rPr>
          <w:lang w:val="en-US"/>
        </w:rPr>
      </w:pPr>
    </w:p>
    <w:p w14:paraId="2A5EB98F" w14:textId="0F017D64" w:rsidR="008879B8" w:rsidRPr="008879B8" w:rsidRDefault="008879B8" w:rsidP="008879B8">
      <w:pPr>
        <w:rPr>
          <w:lang w:val="en-US"/>
        </w:rPr>
      </w:pPr>
    </w:p>
    <w:p w14:paraId="47342205" w14:textId="3609F89A" w:rsidR="008879B8" w:rsidRPr="008879B8" w:rsidRDefault="008879B8" w:rsidP="008879B8">
      <w:pPr>
        <w:rPr>
          <w:lang w:val="en-US"/>
        </w:rPr>
      </w:pPr>
    </w:p>
    <w:p w14:paraId="3792FD2B" w14:textId="1D073091" w:rsidR="008879B8" w:rsidRPr="008879B8" w:rsidRDefault="008879B8" w:rsidP="008879B8">
      <w:pPr>
        <w:rPr>
          <w:lang w:val="en-US"/>
        </w:rPr>
      </w:pPr>
    </w:p>
    <w:p w14:paraId="37DEEB44" w14:textId="7DF45934" w:rsidR="008879B8" w:rsidRPr="008879B8" w:rsidRDefault="008879B8" w:rsidP="008879B8">
      <w:pPr>
        <w:rPr>
          <w:lang w:val="en-US"/>
        </w:rPr>
      </w:pPr>
    </w:p>
    <w:p w14:paraId="5688C528" w14:textId="35FC8C04" w:rsidR="008879B8" w:rsidRDefault="008879B8" w:rsidP="008879B8">
      <w:pPr>
        <w:rPr>
          <w:b/>
          <w:lang w:val="en-US"/>
        </w:rPr>
      </w:pPr>
    </w:p>
    <w:p w14:paraId="3494512B" w14:textId="77777777" w:rsidR="008879B8" w:rsidRDefault="008879B8" w:rsidP="008879B8">
      <w:pPr>
        <w:rPr>
          <w:b/>
          <w:lang w:val="en-US"/>
        </w:rPr>
      </w:pPr>
    </w:p>
    <w:p w14:paraId="7445FD6A" w14:textId="17FDFCAC" w:rsidR="008879B8" w:rsidRPr="007965B1" w:rsidRDefault="008879B8" w:rsidP="008879B8">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8</w:t>
      </w:r>
      <w:r w:rsidRPr="00192CBD">
        <w:rPr>
          <w:b/>
          <w:bCs/>
          <w:i/>
          <w:iCs/>
          <w:sz w:val="20"/>
          <w:szCs w:val="20"/>
          <w:lang w:val="en-US"/>
        </w:rPr>
        <w:t xml:space="preserve">. </w:t>
      </w:r>
      <w:r>
        <w:rPr>
          <w:b/>
          <w:bCs/>
          <w:i/>
          <w:iCs/>
          <w:sz w:val="20"/>
          <w:szCs w:val="20"/>
          <w:lang w:val="en-US"/>
        </w:rPr>
        <w:t xml:space="preserve">Spherical shell formation with varying fuel concentrations. </w:t>
      </w:r>
      <w:r w:rsidRPr="007965B1">
        <w:rPr>
          <w:i/>
          <w:iCs/>
          <w:sz w:val="20"/>
          <w:szCs w:val="20"/>
          <w:lang w:val="en-US"/>
        </w:rPr>
        <w:t xml:space="preserve">Conditions </w:t>
      </w:r>
      <w:r>
        <w:rPr>
          <w:i/>
          <w:iCs/>
          <w:sz w:val="20"/>
          <w:szCs w:val="20"/>
          <w:lang w:val="en-US"/>
        </w:rPr>
        <w:t>were</w:t>
      </w:r>
      <w:r>
        <w:rPr>
          <w:b/>
          <w:bCs/>
          <w:i/>
          <w:iCs/>
          <w:sz w:val="20"/>
          <w:szCs w:val="20"/>
          <w:lang w:val="en-US"/>
        </w:rPr>
        <w:t xml:space="preserve"> </w:t>
      </w:r>
      <w:r>
        <w:rPr>
          <w:i/>
          <w:iCs/>
          <w:sz w:val="20"/>
          <w:szCs w:val="20"/>
          <w:lang w:val="en-US"/>
        </w:rPr>
        <w:t>10 mM precursor, 5 mM pSS, and 200 mM MES at pH 5.3 with 0.1 µM sulforhodamine B. The indicated amount of DIC</w:t>
      </w:r>
      <w:r>
        <w:rPr>
          <w:i/>
          <w:iCs/>
          <w:sz w:val="20"/>
          <w:szCs w:val="20"/>
          <w:vertAlign w:val="subscript"/>
          <w:lang w:val="en-US"/>
        </w:rPr>
        <w:t>oil</w:t>
      </w:r>
      <w:r>
        <w:rPr>
          <w:i/>
          <w:iCs/>
          <w:sz w:val="20"/>
          <w:szCs w:val="20"/>
          <w:lang w:val="en-US"/>
        </w:rPr>
        <w:t xml:space="preserve"> was added to the oil phase to achieve a steady-state concentration of DIC</w:t>
      </w:r>
      <w:r>
        <w:rPr>
          <w:i/>
          <w:iCs/>
          <w:sz w:val="20"/>
          <w:szCs w:val="20"/>
          <w:vertAlign w:val="subscript"/>
          <w:lang w:val="en-US"/>
        </w:rPr>
        <w:t>stst</w:t>
      </w:r>
      <w:r>
        <w:rPr>
          <w:i/>
          <w:iCs/>
          <w:sz w:val="20"/>
          <w:szCs w:val="20"/>
          <w:lang w:val="en-US"/>
        </w:rPr>
        <w:t xml:space="preserve"> in the microfluidic reactors. </w:t>
      </w:r>
      <w:r w:rsidR="00DE7598">
        <w:rPr>
          <w:i/>
          <w:iCs/>
          <w:sz w:val="20"/>
          <w:szCs w:val="20"/>
          <w:lang w:val="en-US"/>
        </w:rPr>
        <w:t>After forming the spherical shells, active droplets and shells were measured at 0.5 h</w:t>
      </w:r>
      <w:r>
        <w:rPr>
          <w:i/>
          <w:iCs/>
          <w:sz w:val="20"/>
          <w:szCs w:val="20"/>
          <w:lang w:val="en-US"/>
        </w:rPr>
        <w:t xml:space="preserve">. </w:t>
      </w:r>
      <w:r w:rsidRPr="007965B1">
        <w:rPr>
          <w:b/>
          <w:bCs/>
          <w:i/>
          <w:iCs/>
          <w:sz w:val="20"/>
          <w:szCs w:val="20"/>
          <w:lang w:val="en-US"/>
        </w:rPr>
        <w:t>A</w:t>
      </w:r>
      <w:r w:rsidRPr="004449E4">
        <w:rPr>
          <w:b/>
          <w:bCs/>
          <w:i/>
          <w:iCs/>
          <w:sz w:val="20"/>
          <w:szCs w:val="20"/>
          <w:lang w:val="en-US"/>
        </w:rPr>
        <w:t>-D</w:t>
      </w:r>
      <w:r>
        <w:rPr>
          <w:b/>
          <w:bCs/>
          <w:i/>
          <w:iCs/>
          <w:sz w:val="20"/>
          <w:szCs w:val="20"/>
          <w:lang w:val="en-US"/>
        </w:rPr>
        <w:t>.</w:t>
      </w:r>
      <w:r>
        <w:rPr>
          <w:i/>
          <w:iCs/>
          <w:sz w:val="20"/>
          <w:szCs w:val="20"/>
          <w:lang w:val="en-US"/>
        </w:rPr>
        <w:t xml:space="preserve"> Left: The volume of the total coacervate material is shown for every individual microreactor that contained an active droplet (blue) or an active shell (red). Right: The radius of the active droplet (blue)</w:t>
      </w:r>
      <w:r w:rsidR="009C4B51">
        <w:rPr>
          <w:i/>
          <w:iCs/>
          <w:sz w:val="20"/>
          <w:szCs w:val="20"/>
          <w:lang w:val="en-US"/>
        </w:rPr>
        <w:t xml:space="preserve"> and the shell thickness L (red) of the active shell in every individual microreactor</w:t>
      </w:r>
      <w:r>
        <w:rPr>
          <w:i/>
          <w:iCs/>
          <w:sz w:val="20"/>
          <w:szCs w:val="20"/>
          <w:lang w:val="en-US"/>
        </w:rPr>
        <w:t xml:space="preserve"> is shown. All experiments were performed in triplicate (N=3). </w:t>
      </w:r>
    </w:p>
    <w:p w14:paraId="26FBE377" w14:textId="4D5AFB6F" w:rsidR="008879B8" w:rsidRDefault="008879B8">
      <w:pPr>
        <w:spacing w:after="0" w:line="240" w:lineRule="auto"/>
        <w:jc w:val="left"/>
        <w:rPr>
          <w:lang w:val="en-US"/>
        </w:rPr>
      </w:pPr>
      <w:r>
        <w:rPr>
          <w:lang w:val="en-US"/>
        </w:rPr>
        <w:br w:type="page"/>
      </w:r>
    </w:p>
    <w:p w14:paraId="1F84E046" w14:textId="7A172E49" w:rsidR="008879B8" w:rsidRPr="008879B8" w:rsidRDefault="00B7317E" w:rsidP="008879B8">
      <w:pPr>
        <w:rPr>
          <w:lang w:val="en-US"/>
        </w:rPr>
      </w:pPr>
      <w:r>
        <w:rPr>
          <w:noProof/>
          <w:lang w:val="en-US"/>
        </w:rPr>
        <w:lastRenderedPageBreak/>
        <w:drawing>
          <wp:anchor distT="0" distB="0" distL="114300" distR="114300" simplePos="0" relativeHeight="251680768" behindDoc="0" locked="0" layoutInCell="1" allowOverlap="1" wp14:anchorId="3AB52AFC" wp14:editId="0AF631E6">
            <wp:simplePos x="0" y="0"/>
            <wp:positionH relativeFrom="column">
              <wp:posOffset>664845</wp:posOffset>
            </wp:positionH>
            <wp:positionV relativeFrom="paragraph">
              <wp:posOffset>115</wp:posOffset>
            </wp:positionV>
            <wp:extent cx="4246880" cy="1614170"/>
            <wp:effectExtent l="0" t="0" r="0" b="0"/>
            <wp:wrapSquare wrapText="bothSides"/>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referRelativeResize="0">
                      <a:picLocks noChangeAspect="1"/>
                    </pic:cNvPicPr>
                  </pic:nvPicPr>
                  <pic:blipFill>
                    <a:blip r:embed="rId15" cstate="print">
                      <a:extLst>
                        <a:ext uri="{28A0092B-C50C-407E-A947-70E740481C1C}">
                          <a14:useLocalDpi xmlns:a14="http://schemas.microsoft.com/office/drawing/2010/main"/>
                        </a:ext>
                      </a:extLst>
                    </a:blip>
                    <a:stretch>
                      <a:fillRect/>
                    </a:stretch>
                  </pic:blipFill>
                  <pic:spPr>
                    <a:xfrm>
                      <a:off x="0" y="0"/>
                      <a:ext cx="4246880" cy="1614170"/>
                    </a:xfrm>
                    <a:prstGeom prst="rect">
                      <a:avLst/>
                    </a:prstGeom>
                  </pic:spPr>
                </pic:pic>
              </a:graphicData>
            </a:graphic>
            <wp14:sizeRelV relativeFrom="margin">
              <wp14:pctHeight>0</wp14:pctHeight>
            </wp14:sizeRelV>
          </wp:anchor>
        </w:drawing>
      </w:r>
    </w:p>
    <w:p w14:paraId="5CB652C8" w14:textId="5992BD63" w:rsidR="008879B8" w:rsidRPr="008879B8" w:rsidRDefault="008879B8" w:rsidP="008879B8">
      <w:pPr>
        <w:rPr>
          <w:lang w:val="en-US"/>
        </w:rPr>
      </w:pPr>
    </w:p>
    <w:p w14:paraId="6D786D08" w14:textId="3FFBC597" w:rsidR="008879B8" w:rsidRPr="008879B8" w:rsidRDefault="008879B8" w:rsidP="008879B8">
      <w:pPr>
        <w:rPr>
          <w:lang w:val="en-US"/>
        </w:rPr>
      </w:pPr>
    </w:p>
    <w:p w14:paraId="38D80B19" w14:textId="532E7E5F" w:rsidR="008879B8" w:rsidRPr="008879B8" w:rsidRDefault="008879B8" w:rsidP="008879B8">
      <w:pPr>
        <w:rPr>
          <w:lang w:val="en-US"/>
        </w:rPr>
      </w:pPr>
    </w:p>
    <w:p w14:paraId="1CC26D7E" w14:textId="77777777" w:rsidR="00B7317E" w:rsidRDefault="00B7317E" w:rsidP="008879B8">
      <w:pPr>
        <w:rPr>
          <w:lang w:val="en-US"/>
        </w:rPr>
      </w:pPr>
    </w:p>
    <w:p w14:paraId="5175F54E" w14:textId="3208BE72" w:rsidR="008879B8" w:rsidRPr="007965B1" w:rsidRDefault="008879B8" w:rsidP="008879B8">
      <w:pPr>
        <w:spacing w:line="276" w:lineRule="auto"/>
        <w:rPr>
          <w:i/>
          <w:iCs/>
          <w:sz w:val="20"/>
          <w:szCs w:val="20"/>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9</w:t>
      </w:r>
      <w:r w:rsidRPr="00192CBD">
        <w:rPr>
          <w:b/>
          <w:bCs/>
          <w:i/>
          <w:iCs/>
          <w:sz w:val="20"/>
          <w:szCs w:val="20"/>
          <w:lang w:val="en-US"/>
        </w:rPr>
        <w:t xml:space="preserve">. </w:t>
      </w:r>
      <w:r>
        <w:rPr>
          <w:b/>
          <w:bCs/>
          <w:i/>
          <w:iCs/>
          <w:sz w:val="20"/>
          <w:szCs w:val="20"/>
          <w:lang w:val="en-US"/>
        </w:rPr>
        <w:t xml:space="preserve">Phase diagram. A-B. </w:t>
      </w:r>
      <w:r w:rsidRPr="00A317C0">
        <w:rPr>
          <w:i/>
          <w:iCs/>
          <w:sz w:val="20"/>
          <w:szCs w:val="20"/>
          <w:lang w:val="en-US"/>
        </w:rPr>
        <w:t>Five independent measurements (red data points with error bars) of different phase equilibria were used to fit the binodal line (</w:t>
      </w:r>
      <w:r w:rsidR="009C4B51">
        <w:rPr>
          <w:i/>
          <w:iCs/>
          <w:sz w:val="20"/>
          <w:szCs w:val="20"/>
          <w:lang w:val="en-US"/>
        </w:rPr>
        <w:t>solid green</w:t>
      </w:r>
      <w:r w:rsidRPr="00A317C0">
        <w:rPr>
          <w:i/>
          <w:iCs/>
          <w:sz w:val="20"/>
          <w:szCs w:val="20"/>
          <w:lang w:val="en-US"/>
        </w:rPr>
        <w:t xml:space="preserve"> line) where two phases can coexist. The two corresponding concentration measurements are connected by a red dotted line, while </w:t>
      </w:r>
      <w:r w:rsidR="00AA3D79">
        <w:rPr>
          <w:i/>
          <w:iCs/>
          <w:sz w:val="20"/>
          <w:szCs w:val="20"/>
          <w:lang w:val="en-US"/>
        </w:rPr>
        <w:t>the green dotted lines show a representative selection of tie lines of the model</w:t>
      </w:r>
      <w:r w:rsidRPr="00A317C0">
        <w:rPr>
          <w:i/>
          <w:iCs/>
          <w:sz w:val="20"/>
          <w:szCs w:val="20"/>
          <w:lang w:val="en-US"/>
        </w:rPr>
        <w:t>.</w:t>
      </w:r>
      <w:r>
        <w:rPr>
          <w:i/>
          <w:iCs/>
          <w:sz w:val="20"/>
          <w:szCs w:val="20"/>
          <w:lang w:val="en-US"/>
        </w:rPr>
        <w:t xml:space="preserve"> </w:t>
      </w:r>
    </w:p>
    <w:p w14:paraId="5F08035D" w14:textId="03CEB467" w:rsidR="00B7317E" w:rsidRDefault="00B7317E">
      <w:pPr>
        <w:spacing w:after="0" w:line="240" w:lineRule="auto"/>
        <w:jc w:val="left"/>
        <w:rPr>
          <w:lang w:val="en-US"/>
        </w:rPr>
      </w:pPr>
      <w:r>
        <w:rPr>
          <w:lang w:val="en-US"/>
        </w:rPr>
        <w:br w:type="page"/>
      </w:r>
    </w:p>
    <w:p w14:paraId="2BEB90A3" w14:textId="5BA77562" w:rsidR="008879B8" w:rsidRDefault="00B7317E" w:rsidP="008879B8">
      <w:pPr>
        <w:rPr>
          <w:lang w:val="en-US"/>
        </w:rPr>
      </w:pPr>
      <w:r w:rsidRPr="00B7317E">
        <w:rPr>
          <w:noProof/>
          <w:lang w:val="en-US"/>
        </w:rPr>
        <w:lastRenderedPageBreak/>
        <w:drawing>
          <wp:inline distT="0" distB="0" distL="0" distR="0" wp14:anchorId="24543090" wp14:editId="187FBE0E">
            <wp:extent cx="5723792" cy="1414080"/>
            <wp:effectExtent l="0" t="0" r="444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6" cstate="print">
                      <a:extLst>
                        <a:ext uri="{28A0092B-C50C-407E-A947-70E740481C1C}">
                          <a14:useLocalDpi xmlns:a14="http://schemas.microsoft.com/office/drawing/2010/main"/>
                        </a:ext>
                      </a:extLst>
                    </a:blip>
                    <a:stretch>
                      <a:fillRect/>
                    </a:stretch>
                  </pic:blipFill>
                  <pic:spPr>
                    <a:xfrm>
                      <a:off x="0" y="0"/>
                      <a:ext cx="5743755" cy="1419012"/>
                    </a:xfrm>
                    <a:prstGeom prst="rect">
                      <a:avLst/>
                    </a:prstGeom>
                  </pic:spPr>
                </pic:pic>
              </a:graphicData>
            </a:graphic>
          </wp:inline>
        </w:drawing>
      </w:r>
    </w:p>
    <w:p w14:paraId="424F1262" w14:textId="5B15432E" w:rsidR="00B7317E" w:rsidRPr="00B7317E" w:rsidRDefault="00B7317E" w:rsidP="00B7317E">
      <w:pPr>
        <w:tabs>
          <w:tab w:val="left" w:pos="3767"/>
        </w:tabs>
        <w:rPr>
          <w:lang w:val="en-US"/>
        </w:rPr>
      </w:pPr>
      <w:r>
        <w:rPr>
          <w:b/>
          <w:bCs/>
          <w:i/>
          <w:iCs/>
          <w:sz w:val="20"/>
          <w:szCs w:val="20"/>
          <w:lang w:val="en-US"/>
        </w:rPr>
        <w:t>Extended Data</w:t>
      </w:r>
      <w:r w:rsidRPr="00192CBD">
        <w:rPr>
          <w:b/>
          <w:bCs/>
          <w:i/>
          <w:iCs/>
          <w:sz w:val="20"/>
          <w:szCs w:val="20"/>
          <w:lang w:val="en-US"/>
        </w:rPr>
        <w:t xml:space="preserve"> </w:t>
      </w:r>
      <w:r>
        <w:rPr>
          <w:b/>
          <w:bCs/>
          <w:i/>
          <w:iCs/>
          <w:sz w:val="20"/>
          <w:szCs w:val="20"/>
          <w:lang w:val="en-US"/>
        </w:rPr>
        <w:t>F</w:t>
      </w:r>
      <w:r w:rsidRPr="00192CBD">
        <w:rPr>
          <w:b/>
          <w:bCs/>
          <w:i/>
          <w:iCs/>
          <w:sz w:val="20"/>
          <w:szCs w:val="20"/>
          <w:lang w:val="en-US"/>
        </w:rPr>
        <w:t>ig</w:t>
      </w:r>
      <w:r>
        <w:rPr>
          <w:b/>
          <w:bCs/>
          <w:i/>
          <w:iCs/>
          <w:sz w:val="20"/>
          <w:szCs w:val="20"/>
          <w:lang w:val="en-US"/>
        </w:rPr>
        <w:t>.</w:t>
      </w:r>
      <w:r w:rsidRPr="00192CBD">
        <w:rPr>
          <w:b/>
          <w:bCs/>
          <w:i/>
          <w:iCs/>
          <w:sz w:val="20"/>
          <w:szCs w:val="20"/>
          <w:lang w:val="en-US"/>
        </w:rPr>
        <w:t xml:space="preserve"> </w:t>
      </w:r>
      <w:r>
        <w:rPr>
          <w:b/>
          <w:bCs/>
          <w:i/>
          <w:iCs/>
          <w:sz w:val="20"/>
          <w:szCs w:val="20"/>
          <w:lang w:val="en-US"/>
        </w:rPr>
        <w:t>10</w:t>
      </w:r>
      <w:r w:rsidRPr="00192CBD">
        <w:rPr>
          <w:b/>
          <w:bCs/>
          <w:i/>
          <w:iCs/>
          <w:sz w:val="20"/>
          <w:szCs w:val="20"/>
          <w:lang w:val="en-US"/>
        </w:rPr>
        <w:t>.</w:t>
      </w:r>
      <w:r w:rsidR="007F3A60">
        <w:rPr>
          <w:b/>
          <w:bCs/>
          <w:i/>
          <w:iCs/>
          <w:sz w:val="20"/>
          <w:szCs w:val="20"/>
          <w:lang w:val="en-US"/>
        </w:rPr>
        <w:t xml:space="preserve"> Influence of different parameters on the spinodal </w:t>
      </w:r>
      <w:r w:rsidR="00693F0A">
        <w:rPr>
          <w:b/>
          <w:bCs/>
          <w:i/>
          <w:iCs/>
          <w:sz w:val="20"/>
          <w:szCs w:val="20"/>
          <w:lang w:val="en-US"/>
        </w:rPr>
        <w:t xml:space="preserve">instability at the </w:t>
      </w:r>
      <w:r w:rsidR="00456BC6">
        <w:rPr>
          <w:b/>
          <w:bCs/>
          <w:i/>
          <w:iCs/>
          <w:sz w:val="20"/>
          <w:szCs w:val="20"/>
          <w:lang w:val="en-US"/>
        </w:rPr>
        <w:t>droplet</w:t>
      </w:r>
      <w:r w:rsidR="00693F0A">
        <w:rPr>
          <w:b/>
          <w:bCs/>
          <w:i/>
          <w:iCs/>
          <w:sz w:val="20"/>
          <w:szCs w:val="20"/>
          <w:lang w:val="en-US"/>
        </w:rPr>
        <w:t xml:space="preserve"> core</w:t>
      </w:r>
      <w:r w:rsidR="007F3A60">
        <w:rPr>
          <w:b/>
          <w:bCs/>
          <w:i/>
          <w:iCs/>
          <w:sz w:val="20"/>
          <w:szCs w:val="20"/>
          <w:lang w:val="en-US"/>
        </w:rPr>
        <w:t xml:space="preserve"> </w:t>
      </w:r>
      <w:r w:rsidR="009C4B51">
        <w:rPr>
          <w:b/>
          <w:bCs/>
          <w:i/>
          <w:iCs/>
          <w:sz w:val="20"/>
          <w:szCs w:val="20"/>
          <w:lang w:val="en-US"/>
        </w:rPr>
        <w:t>and</w:t>
      </w:r>
      <w:r w:rsidR="007F3A60">
        <w:rPr>
          <w:b/>
          <w:bCs/>
          <w:i/>
          <w:iCs/>
          <w:sz w:val="20"/>
          <w:szCs w:val="20"/>
          <w:lang w:val="en-US"/>
        </w:rPr>
        <w:t xml:space="preserve"> </w:t>
      </w:r>
      <w:r w:rsidR="00FF4101">
        <w:rPr>
          <w:b/>
          <w:bCs/>
          <w:i/>
          <w:iCs/>
          <w:sz w:val="20"/>
          <w:szCs w:val="20"/>
          <w:lang w:val="en-US"/>
        </w:rPr>
        <w:t>the shell width</w:t>
      </w:r>
      <w:r w:rsidR="007F3A60">
        <w:rPr>
          <w:b/>
          <w:bCs/>
          <w:i/>
          <w:iCs/>
          <w:sz w:val="20"/>
          <w:szCs w:val="20"/>
          <w:lang w:val="en-US"/>
        </w:rPr>
        <w:t xml:space="preserve">. </w:t>
      </w:r>
      <w:r>
        <w:rPr>
          <w:b/>
          <w:bCs/>
          <w:i/>
          <w:iCs/>
          <w:sz w:val="20"/>
          <w:szCs w:val="20"/>
          <w:lang w:val="en-US"/>
        </w:rPr>
        <w:t>A.</w:t>
      </w:r>
      <w:r>
        <w:rPr>
          <w:i/>
          <w:iCs/>
          <w:sz w:val="20"/>
          <w:szCs w:val="20"/>
          <w:lang w:val="en-US"/>
        </w:rPr>
        <w:t xml:space="preserve"> </w:t>
      </w:r>
      <w:r w:rsidRPr="00F243C5">
        <w:rPr>
          <w:i/>
          <w:iCs/>
          <w:sz w:val="20"/>
          <w:szCs w:val="20"/>
          <w:lang w:val="en-US"/>
        </w:rPr>
        <w:t xml:space="preserve">Influence of fuel concentration on spinodal instability at the </w:t>
      </w:r>
      <w:r w:rsidR="009C4B51">
        <w:rPr>
          <w:i/>
          <w:iCs/>
          <w:sz w:val="20"/>
          <w:szCs w:val="20"/>
          <w:lang w:val="en-US"/>
        </w:rPr>
        <w:t>droplet's core</w:t>
      </w:r>
      <w:r w:rsidR="009C4B51" w:rsidRPr="00F243C5">
        <w:rPr>
          <w:i/>
          <w:iCs/>
          <w:sz w:val="20"/>
          <w:szCs w:val="20"/>
          <w:lang w:val="en-US"/>
        </w:rPr>
        <w:t>.</w:t>
      </w:r>
      <w:r w:rsidR="009C4B51">
        <w:rPr>
          <w:b/>
          <w:bCs/>
          <w:i/>
          <w:iCs/>
          <w:sz w:val="20"/>
          <w:szCs w:val="20"/>
          <w:lang w:val="en-US"/>
        </w:rPr>
        <w:t xml:space="preserve"> </w:t>
      </w:r>
      <w:r w:rsidR="009C4B51">
        <w:rPr>
          <w:i/>
          <w:iCs/>
          <w:sz w:val="20"/>
          <w:szCs w:val="20"/>
          <w:lang w:val="en-US"/>
        </w:rPr>
        <w:t>Radial concentration profiles for two different fuel concentrations are shown. For the lower fuel concentration (blue), the core of a droplet reaches the spinodal concentration (blue dashed). The stationary droplet is larger for the higher fuel concentration (green)</w:t>
      </w:r>
      <w:r>
        <w:rPr>
          <w:i/>
          <w:iCs/>
          <w:sz w:val="20"/>
          <w:szCs w:val="20"/>
          <w:lang w:val="en-US"/>
        </w:rPr>
        <w:t xml:space="preserve">. However, the concentration at the core stays above the corresponding spinodal concentration (green dashed) due to weaker gradients resulting from a higher activation inside. For systems with high fuel concentrations, the precursor </w:t>
      </w:r>
      <m:oMath>
        <m:r>
          <w:rPr>
            <w:rFonts w:ascii="Cambria Math" w:hAnsi="Cambria Math"/>
            <w:sz w:val="20"/>
            <w:szCs w:val="20"/>
            <w:lang w:val="en-US"/>
          </w:rPr>
          <m:t>A</m:t>
        </m:r>
      </m:oMath>
      <w:r>
        <w:rPr>
          <w:rFonts w:eastAsiaTheme="minorEastAsia"/>
          <w:i/>
          <w:iCs/>
          <w:sz w:val="20"/>
          <w:szCs w:val="20"/>
          <w:lang w:val="en-US"/>
        </w:rPr>
        <w:t xml:space="preserve"> gets activated and forms the product </w:t>
      </w:r>
      <m:oMath>
        <m:r>
          <w:rPr>
            <w:rFonts w:ascii="Cambria Math" w:eastAsiaTheme="minorEastAsia" w:hAnsi="Cambria Math"/>
            <w:sz w:val="20"/>
            <w:szCs w:val="20"/>
            <w:lang w:val="en-US"/>
          </w:rPr>
          <m:t>B</m:t>
        </m:r>
      </m:oMath>
      <w:r>
        <w:rPr>
          <w:rFonts w:eastAsiaTheme="minorEastAsia"/>
          <w:i/>
          <w:iCs/>
          <w:sz w:val="20"/>
          <w:szCs w:val="20"/>
          <w:lang w:val="en-US"/>
        </w:rPr>
        <w:t xml:space="preserve"> inside the droplet. </w:t>
      </w:r>
      <w:r>
        <w:rPr>
          <w:rFonts w:eastAsiaTheme="minorEastAsia"/>
          <w:b/>
          <w:bCs/>
          <w:i/>
          <w:iCs/>
          <w:sz w:val="20"/>
          <w:szCs w:val="20"/>
          <w:lang w:val="en-US"/>
        </w:rPr>
        <w:t>B</w:t>
      </w:r>
      <w:r w:rsidRPr="00F243C5">
        <w:rPr>
          <w:rFonts w:eastAsiaTheme="minorEastAsia"/>
          <w:b/>
          <w:bCs/>
          <w:i/>
          <w:iCs/>
          <w:sz w:val="20"/>
          <w:szCs w:val="20"/>
          <w:lang w:val="en-US"/>
        </w:rPr>
        <w:t>-</w:t>
      </w:r>
      <w:r>
        <w:rPr>
          <w:rFonts w:eastAsiaTheme="minorEastAsia"/>
          <w:b/>
          <w:bCs/>
          <w:i/>
          <w:iCs/>
          <w:sz w:val="20"/>
          <w:szCs w:val="20"/>
          <w:lang w:val="en-US"/>
        </w:rPr>
        <w:t>C</w:t>
      </w:r>
      <w:r w:rsidRPr="00F243C5">
        <w:rPr>
          <w:rFonts w:eastAsiaTheme="minorEastAsia"/>
          <w:b/>
          <w:bCs/>
          <w:i/>
          <w:iCs/>
          <w:sz w:val="20"/>
          <w:szCs w:val="20"/>
          <w:lang w:val="en-US"/>
        </w:rPr>
        <w:t>.</w:t>
      </w:r>
      <w:r>
        <w:rPr>
          <w:rFonts w:eastAsiaTheme="minorEastAsia"/>
          <w:i/>
          <w:iCs/>
          <w:sz w:val="20"/>
          <w:szCs w:val="20"/>
          <w:lang w:val="en-US"/>
        </w:rPr>
        <w:t xml:space="preserve"> </w:t>
      </w:r>
      <w:r w:rsidRPr="00F243C5">
        <w:rPr>
          <w:i/>
          <w:iCs/>
          <w:sz w:val="20"/>
          <w:szCs w:val="20"/>
          <w:lang w:val="en-US"/>
        </w:rPr>
        <w:t>Influence of the system size on the shell width.</w:t>
      </w:r>
      <w:r>
        <w:rPr>
          <w:i/>
          <w:iCs/>
          <w:sz w:val="20"/>
          <w:szCs w:val="20"/>
          <w:lang w:val="en-US"/>
        </w:rPr>
        <w:t xml:space="preserve"> Both interface radii increase as a function of system volume (</w:t>
      </w:r>
      <w:r>
        <w:rPr>
          <w:b/>
          <w:bCs/>
          <w:i/>
          <w:iCs/>
          <w:sz w:val="20"/>
          <w:szCs w:val="20"/>
          <w:lang w:val="en-US"/>
        </w:rPr>
        <w:t>B</w:t>
      </w:r>
      <w:r>
        <w:rPr>
          <w:i/>
          <w:iCs/>
          <w:sz w:val="20"/>
          <w:szCs w:val="20"/>
          <w:lang w:val="en-US"/>
        </w:rPr>
        <w:t>)</w:t>
      </w:r>
      <w:r w:rsidR="00AA3D79">
        <w:rPr>
          <w:i/>
          <w:iCs/>
          <w:sz w:val="20"/>
          <w:szCs w:val="20"/>
          <w:lang w:val="en-US"/>
        </w:rPr>
        <w:t>,</w:t>
      </w:r>
      <w:r>
        <w:rPr>
          <w:i/>
          <w:iCs/>
          <w:sz w:val="20"/>
          <w:szCs w:val="20"/>
          <w:lang w:val="en-US"/>
        </w:rPr>
        <w:t xml:space="preserve"> but despite the 400 % increase of both radii, the distance between them </w:t>
      </w:r>
      <m:oMath>
        <m:sSub>
          <m:sSubPr>
            <m:ctrlPr>
              <w:rPr>
                <w:rFonts w:ascii="Cambria Math" w:hAnsi="Cambria Math"/>
                <w:i/>
                <w:iCs/>
                <w:sz w:val="20"/>
                <w:szCs w:val="20"/>
                <w:lang w:val="en-US"/>
              </w:rPr>
            </m:ctrlPr>
          </m:sSubPr>
          <m:e>
            <m:r>
              <w:rPr>
                <w:rFonts w:ascii="Cambria Math" w:hAnsi="Cambria Math"/>
                <w:sz w:val="20"/>
                <w:szCs w:val="20"/>
                <w:lang w:val="en-US"/>
              </w:rPr>
              <m:t>L</m:t>
            </m:r>
          </m:e>
          <m:sub>
            <m:r>
              <w:rPr>
                <w:rFonts w:ascii="Cambria Math" w:hAnsi="Cambria Math"/>
                <w:sz w:val="20"/>
                <w:szCs w:val="20"/>
                <w:lang w:val="en-US"/>
              </w:rPr>
              <m:t>shell</m:t>
            </m:r>
          </m:sub>
        </m:sSub>
        <m:r>
          <w:rPr>
            <w:rFonts w:ascii="Cambria Math" w:hAnsi="Cambria Math"/>
            <w:sz w:val="20"/>
            <w:szCs w:val="20"/>
            <w:lang w:val="en-US"/>
          </w:rPr>
          <m:t>=</m:t>
        </m:r>
        <m:sSub>
          <m:sSubPr>
            <m:ctrlPr>
              <w:rPr>
                <w:rFonts w:ascii="Cambria Math" w:hAnsi="Cambria Math"/>
                <w:i/>
                <w:iCs/>
                <w:sz w:val="20"/>
                <w:szCs w:val="20"/>
                <w:lang w:val="en-US"/>
              </w:rPr>
            </m:ctrlPr>
          </m:sSubPr>
          <m:e>
            <m:r>
              <w:rPr>
                <w:rFonts w:ascii="Cambria Math" w:hAnsi="Cambria Math"/>
                <w:sz w:val="20"/>
                <w:szCs w:val="20"/>
                <w:lang w:val="en-US"/>
              </w:rPr>
              <m:t>R</m:t>
            </m:r>
          </m:e>
          <m:sub>
            <m:r>
              <w:rPr>
                <w:rFonts w:ascii="Cambria Math" w:hAnsi="Cambria Math"/>
                <w:sz w:val="20"/>
                <w:szCs w:val="20"/>
                <w:lang w:val="en-US"/>
              </w:rPr>
              <m:t>out</m:t>
            </m:r>
          </m:sub>
        </m:sSub>
        <m:r>
          <w:rPr>
            <w:rFonts w:ascii="Cambria Math" w:hAnsi="Cambria Math"/>
            <w:sz w:val="20"/>
            <w:szCs w:val="20"/>
            <w:lang w:val="en-US"/>
          </w:rPr>
          <m:t>-</m:t>
        </m:r>
        <m:sSub>
          <m:sSubPr>
            <m:ctrlPr>
              <w:rPr>
                <w:rFonts w:ascii="Cambria Math" w:hAnsi="Cambria Math"/>
                <w:i/>
                <w:iCs/>
                <w:sz w:val="20"/>
                <w:szCs w:val="20"/>
                <w:lang w:val="en-US"/>
              </w:rPr>
            </m:ctrlPr>
          </m:sSubPr>
          <m:e>
            <m:r>
              <w:rPr>
                <w:rFonts w:ascii="Cambria Math" w:hAnsi="Cambria Math"/>
                <w:sz w:val="20"/>
                <w:szCs w:val="20"/>
                <w:lang w:val="en-US"/>
              </w:rPr>
              <m:t>R</m:t>
            </m:r>
          </m:e>
          <m:sub>
            <m:r>
              <w:rPr>
                <w:rFonts w:ascii="Cambria Math" w:hAnsi="Cambria Math"/>
                <w:sz w:val="20"/>
                <w:szCs w:val="20"/>
                <w:lang w:val="en-US"/>
              </w:rPr>
              <m:t>in</m:t>
            </m:r>
          </m:sub>
        </m:sSub>
      </m:oMath>
      <w:r>
        <w:rPr>
          <w:rFonts w:eastAsiaTheme="minorEastAsia"/>
          <w:i/>
          <w:iCs/>
          <w:sz w:val="20"/>
          <w:szCs w:val="20"/>
          <w:lang w:val="en-US"/>
        </w:rPr>
        <w:t xml:space="preserve"> decreases only by 30 % (</w:t>
      </w:r>
      <w:r>
        <w:rPr>
          <w:rFonts w:eastAsiaTheme="minorEastAsia"/>
          <w:b/>
          <w:bCs/>
          <w:i/>
          <w:iCs/>
          <w:sz w:val="20"/>
          <w:szCs w:val="20"/>
          <w:lang w:val="en-US"/>
        </w:rPr>
        <w:t>C</w:t>
      </w:r>
      <w:r>
        <w:rPr>
          <w:rFonts w:eastAsiaTheme="minorEastAsia"/>
          <w:i/>
          <w:iCs/>
          <w:sz w:val="20"/>
          <w:szCs w:val="20"/>
          <w:lang w:val="en-US"/>
        </w:rPr>
        <w:t>).</w:t>
      </w:r>
    </w:p>
    <w:sectPr w:rsidR="00B7317E" w:rsidRPr="00B7317E" w:rsidSect="00665BC3">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7C2F00" w14:textId="77777777" w:rsidR="008525F3" w:rsidRDefault="008525F3" w:rsidP="00D63963">
      <w:pPr>
        <w:spacing w:after="0" w:line="240" w:lineRule="auto"/>
      </w:pPr>
      <w:r>
        <w:separator/>
      </w:r>
    </w:p>
  </w:endnote>
  <w:endnote w:type="continuationSeparator" w:id="0">
    <w:p w14:paraId="045F898D" w14:textId="77777777" w:rsidR="008525F3" w:rsidRDefault="008525F3" w:rsidP="00D63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55997B" w14:textId="77777777" w:rsidR="008525F3" w:rsidRDefault="008525F3" w:rsidP="00D63963">
      <w:pPr>
        <w:spacing w:after="0" w:line="240" w:lineRule="auto"/>
      </w:pPr>
      <w:r>
        <w:separator/>
      </w:r>
    </w:p>
  </w:footnote>
  <w:footnote w:type="continuationSeparator" w:id="0">
    <w:p w14:paraId="547239B2" w14:textId="77777777" w:rsidR="008525F3" w:rsidRDefault="008525F3" w:rsidP="00D639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rpdsw9cdzxwme2rzlp99dvfwd0s2pd0awr&quot;&gt;Microfluidic Library&lt;record-ids&gt;&lt;item&gt;14&lt;/item&gt;&lt;item&gt;17&lt;/item&gt;&lt;item&gt;19&lt;/item&gt;&lt;item&gt;20&lt;/item&gt;&lt;item&gt;31&lt;/item&gt;&lt;item&gt;49&lt;/item&gt;&lt;item&gt;50&lt;/item&gt;&lt;item&gt;51&lt;/item&gt;&lt;item&gt;52&lt;/item&gt;&lt;item&gt;55&lt;/item&gt;&lt;item&gt;56&lt;/item&gt;&lt;item&gt;57&lt;/item&gt;&lt;item&gt;58&lt;/item&gt;&lt;item&gt;59&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4&lt;/item&gt;&lt;item&gt;85&lt;/item&gt;&lt;item&gt;86&lt;/item&gt;&lt;item&gt;87&lt;/item&gt;&lt;item&gt;88&lt;/item&gt;&lt;item&gt;89&lt;/item&gt;&lt;item&gt;90&lt;/item&gt;&lt;item&gt;91&lt;/item&gt;&lt;item&gt;92&lt;/item&gt;&lt;item&gt;98&lt;/item&gt;&lt;item&gt;99&lt;/item&gt;&lt;item&gt;100&lt;/item&gt;&lt;item&gt;101&lt;/item&gt;&lt;item&gt;102&lt;/item&gt;&lt;item&gt;103&lt;/item&gt;&lt;item&gt;107&lt;/item&gt;&lt;item&gt;108&lt;/item&gt;&lt;item&gt;109&lt;/item&gt;&lt;item&gt;110&lt;/item&gt;&lt;item&gt;114&lt;/item&gt;&lt;item&gt;115&lt;/item&gt;&lt;item&gt;118&lt;/item&gt;&lt;item&gt;119&lt;/item&gt;&lt;item&gt;120&lt;/item&gt;&lt;item&gt;123&lt;/item&gt;&lt;item&gt;124&lt;/item&gt;&lt;/record-ids&gt;&lt;/item&gt;&lt;/Libraries&gt;"/>
  </w:docVars>
  <w:rsids>
    <w:rsidRoot w:val="00152B83"/>
    <w:rsid w:val="00000C17"/>
    <w:rsid w:val="0000259F"/>
    <w:rsid w:val="00004960"/>
    <w:rsid w:val="00012E86"/>
    <w:rsid w:val="00013B01"/>
    <w:rsid w:val="000150A5"/>
    <w:rsid w:val="000171E6"/>
    <w:rsid w:val="0002135B"/>
    <w:rsid w:val="00025B94"/>
    <w:rsid w:val="000266BB"/>
    <w:rsid w:val="00030023"/>
    <w:rsid w:val="00032D6F"/>
    <w:rsid w:val="000331F2"/>
    <w:rsid w:val="00033341"/>
    <w:rsid w:val="00033F08"/>
    <w:rsid w:val="000358C0"/>
    <w:rsid w:val="00035CD2"/>
    <w:rsid w:val="00036E28"/>
    <w:rsid w:val="00040355"/>
    <w:rsid w:val="000422F1"/>
    <w:rsid w:val="000426D7"/>
    <w:rsid w:val="00044F03"/>
    <w:rsid w:val="000454B6"/>
    <w:rsid w:val="0004690D"/>
    <w:rsid w:val="000505C5"/>
    <w:rsid w:val="0005063C"/>
    <w:rsid w:val="00052475"/>
    <w:rsid w:val="000551CC"/>
    <w:rsid w:val="000556C2"/>
    <w:rsid w:val="0006024F"/>
    <w:rsid w:val="000623C3"/>
    <w:rsid w:val="00063633"/>
    <w:rsid w:val="00063969"/>
    <w:rsid w:val="000642CF"/>
    <w:rsid w:val="000664EF"/>
    <w:rsid w:val="00066654"/>
    <w:rsid w:val="00067D21"/>
    <w:rsid w:val="0007354E"/>
    <w:rsid w:val="000749AD"/>
    <w:rsid w:val="000766CD"/>
    <w:rsid w:val="00076E5D"/>
    <w:rsid w:val="0007759C"/>
    <w:rsid w:val="00080CC0"/>
    <w:rsid w:val="000870B1"/>
    <w:rsid w:val="00090174"/>
    <w:rsid w:val="00093A30"/>
    <w:rsid w:val="00093D4E"/>
    <w:rsid w:val="00094243"/>
    <w:rsid w:val="0009496F"/>
    <w:rsid w:val="000A0059"/>
    <w:rsid w:val="000A129F"/>
    <w:rsid w:val="000A19C5"/>
    <w:rsid w:val="000A1E02"/>
    <w:rsid w:val="000A2CD0"/>
    <w:rsid w:val="000A318D"/>
    <w:rsid w:val="000A6BD1"/>
    <w:rsid w:val="000A7CA8"/>
    <w:rsid w:val="000B1CAE"/>
    <w:rsid w:val="000B36BD"/>
    <w:rsid w:val="000B4307"/>
    <w:rsid w:val="000B6758"/>
    <w:rsid w:val="000B6DD8"/>
    <w:rsid w:val="000C0C92"/>
    <w:rsid w:val="000C1592"/>
    <w:rsid w:val="000C1BDA"/>
    <w:rsid w:val="000C570D"/>
    <w:rsid w:val="000D1FB2"/>
    <w:rsid w:val="000D319E"/>
    <w:rsid w:val="000D404E"/>
    <w:rsid w:val="000D779A"/>
    <w:rsid w:val="000E1900"/>
    <w:rsid w:val="000E289C"/>
    <w:rsid w:val="000E2946"/>
    <w:rsid w:val="000E3156"/>
    <w:rsid w:val="000E7010"/>
    <w:rsid w:val="000E7A00"/>
    <w:rsid w:val="000F11AD"/>
    <w:rsid w:val="000F2FA1"/>
    <w:rsid w:val="000F31B9"/>
    <w:rsid w:val="000F4656"/>
    <w:rsid w:val="000F56AA"/>
    <w:rsid w:val="00100400"/>
    <w:rsid w:val="0010192D"/>
    <w:rsid w:val="0010499E"/>
    <w:rsid w:val="00104A0C"/>
    <w:rsid w:val="001055DA"/>
    <w:rsid w:val="00106957"/>
    <w:rsid w:val="0010737A"/>
    <w:rsid w:val="001127D0"/>
    <w:rsid w:val="00112B01"/>
    <w:rsid w:val="00112C26"/>
    <w:rsid w:val="001130D4"/>
    <w:rsid w:val="001142F7"/>
    <w:rsid w:val="00116A0A"/>
    <w:rsid w:val="00117620"/>
    <w:rsid w:val="00127F1D"/>
    <w:rsid w:val="0013090C"/>
    <w:rsid w:val="0013516D"/>
    <w:rsid w:val="00137DD1"/>
    <w:rsid w:val="00140EB3"/>
    <w:rsid w:val="00142714"/>
    <w:rsid w:val="00143D35"/>
    <w:rsid w:val="001440DF"/>
    <w:rsid w:val="001455C1"/>
    <w:rsid w:val="00146450"/>
    <w:rsid w:val="00146602"/>
    <w:rsid w:val="001476B7"/>
    <w:rsid w:val="001511E8"/>
    <w:rsid w:val="0015134E"/>
    <w:rsid w:val="0015220B"/>
    <w:rsid w:val="00152B83"/>
    <w:rsid w:val="00153696"/>
    <w:rsid w:val="0015411E"/>
    <w:rsid w:val="00154DE2"/>
    <w:rsid w:val="00156F6E"/>
    <w:rsid w:val="00157D19"/>
    <w:rsid w:val="00157F49"/>
    <w:rsid w:val="001606B6"/>
    <w:rsid w:val="00163508"/>
    <w:rsid w:val="00163BB7"/>
    <w:rsid w:val="00167900"/>
    <w:rsid w:val="00170BD9"/>
    <w:rsid w:val="00176450"/>
    <w:rsid w:val="00176B76"/>
    <w:rsid w:val="00177459"/>
    <w:rsid w:val="00181B04"/>
    <w:rsid w:val="00181C3F"/>
    <w:rsid w:val="001824A7"/>
    <w:rsid w:val="0018277E"/>
    <w:rsid w:val="00182E89"/>
    <w:rsid w:val="001839AD"/>
    <w:rsid w:val="0018692C"/>
    <w:rsid w:val="00192258"/>
    <w:rsid w:val="00192C55"/>
    <w:rsid w:val="00192E1B"/>
    <w:rsid w:val="0019382C"/>
    <w:rsid w:val="00194AD2"/>
    <w:rsid w:val="00195CA0"/>
    <w:rsid w:val="001969D7"/>
    <w:rsid w:val="00197D26"/>
    <w:rsid w:val="00197F8D"/>
    <w:rsid w:val="001A15C6"/>
    <w:rsid w:val="001A25FA"/>
    <w:rsid w:val="001A3AD2"/>
    <w:rsid w:val="001A4B24"/>
    <w:rsid w:val="001B1D89"/>
    <w:rsid w:val="001B4831"/>
    <w:rsid w:val="001B6F8D"/>
    <w:rsid w:val="001C14AA"/>
    <w:rsid w:val="001C2BF9"/>
    <w:rsid w:val="001C2C80"/>
    <w:rsid w:val="001C3722"/>
    <w:rsid w:val="001C37AB"/>
    <w:rsid w:val="001C497A"/>
    <w:rsid w:val="001C65E0"/>
    <w:rsid w:val="001C6C74"/>
    <w:rsid w:val="001C6D5F"/>
    <w:rsid w:val="001D1930"/>
    <w:rsid w:val="001D636F"/>
    <w:rsid w:val="001E37A6"/>
    <w:rsid w:val="001E4AC8"/>
    <w:rsid w:val="001E574B"/>
    <w:rsid w:val="001E7164"/>
    <w:rsid w:val="001F0939"/>
    <w:rsid w:val="001F1056"/>
    <w:rsid w:val="001F30C5"/>
    <w:rsid w:val="001F5188"/>
    <w:rsid w:val="001F65C0"/>
    <w:rsid w:val="001F6D1A"/>
    <w:rsid w:val="00201898"/>
    <w:rsid w:val="002046C7"/>
    <w:rsid w:val="002053F3"/>
    <w:rsid w:val="00206524"/>
    <w:rsid w:val="00210B0A"/>
    <w:rsid w:val="0021151A"/>
    <w:rsid w:val="00211F4E"/>
    <w:rsid w:val="0021336F"/>
    <w:rsid w:val="00214832"/>
    <w:rsid w:val="00215265"/>
    <w:rsid w:val="0021551C"/>
    <w:rsid w:val="002168C5"/>
    <w:rsid w:val="002169FB"/>
    <w:rsid w:val="00216AAE"/>
    <w:rsid w:val="002176B4"/>
    <w:rsid w:val="00222047"/>
    <w:rsid w:val="0022547F"/>
    <w:rsid w:val="0023437F"/>
    <w:rsid w:val="00234870"/>
    <w:rsid w:val="002404BC"/>
    <w:rsid w:val="0024423E"/>
    <w:rsid w:val="002500D7"/>
    <w:rsid w:val="00260246"/>
    <w:rsid w:val="0026067B"/>
    <w:rsid w:val="002608F4"/>
    <w:rsid w:val="00261283"/>
    <w:rsid w:val="00263ED9"/>
    <w:rsid w:val="00265788"/>
    <w:rsid w:val="0026578C"/>
    <w:rsid w:val="00267DC0"/>
    <w:rsid w:val="00270297"/>
    <w:rsid w:val="00270396"/>
    <w:rsid w:val="00270F6D"/>
    <w:rsid w:val="00271E32"/>
    <w:rsid w:val="00273309"/>
    <w:rsid w:val="002733A7"/>
    <w:rsid w:val="0027430A"/>
    <w:rsid w:val="00274A1F"/>
    <w:rsid w:val="002754B6"/>
    <w:rsid w:val="002755D5"/>
    <w:rsid w:val="002757B3"/>
    <w:rsid w:val="002818DA"/>
    <w:rsid w:val="00285F23"/>
    <w:rsid w:val="00287024"/>
    <w:rsid w:val="00287A4E"/>
    <w:rsid w:val="00293249"/>
    <w:rsid w:val="00295012"/>
    <w:rsid w:val="00295445"/>
    <w:rsid w:val="002959EF"/>
    <w:rsid w:val="002961AA"/>
    <w:rsid w:val="002970AC"/>
    <w:rsid w:val="002978E0"/>
    <w:rsid w:val="00297C37"/>
    <w:rsid w:val="002A1330"/>
    <w:rsid w:val="002A15C8"/>
    <w:rsid w:val="002A2044"/>
    <w:rsid w:val="002A44D7"/>
    <w:rsid w:val="002A5E2C"/>
    <w:rsid w:val="002A6E99"/>
    <w:rsid w:val="002A753E"/>
    <w:rsid w:val="002B09D5"/>
    <w:rsid w:val="002B11C0"/>
    <w:rsid w:val="002B1B6F"/>
    <w:rsid w:val="002B5EF6"/>
    <w:rsid w:val="002B7A11"/>
    <w:rsid w:val="002C1688"/>
    <w:rsid w:val="002C3070"/>
    <w:rsid w:val="002C3A8B"/>
    <w:rsid w:val="002C71DF"/>
    <w:rsid w:val="002D2FEE"/>
    <w:rsid w:val="002D48BF"/>
    <w:rsid w:val="002D796A"/>
    <w:rsid w:val="002E0BB1"/>
    <w:rsid w:val="002E1C4A"/>
    <w:rsid w:val="002E37F3"/>
    <w:rsid w:val="002E5BF1"/>
    <w:rsid w:val="002E6D2E"/>
    <w:rsid w:val="002E7125"/>
    <w:rsid w:val="002F0907"/>
    <w:rsid w:val="002F2D47"/>
    <w:rsid w:val="002F3B39"/>
    <w:rsid w:val="002F553A"/>
    <w:rsid w:val="002F77E7"/>
    <w:rsid w:val="003015E5"/>
    <w:rsid w:val="00304EEB"/>
    <w:rsid w:val="003078E4"/>
    <w:rsid w:val="0031604A"/>
    <w:rsid w:val="00320B66"/>
    <w:rsid w:val="00324144"/>
    <w:rsid w:val="00332BD3"/>
    <w:rsid w:val="00332F1C"/>
    <w:rsid w:val="0033490E"/>
    <w:rsid w:val="00335EF8"/>
    <w:rsid w:val="00337D2A"/>
    <w:rsid w:val="00342750"/>
    <w:rsid w:val="00342D2F"/>
    <w:rsid w:val="00344135"/>
    <w:rsid w:val="003463A1"/>
    <w:rsid w:val="00351DF7"/>
    <w:rsid w:val="003537D5"/>
    <w:rsid w:val="00361E09"/>
    <w:rsid w:val="003631F5"/>
    <w:rsid w:val="003652FD"/>
    <w:rsid w:val="0037086C"/>
    <w:rsid w:val="0037275D"/>
    <w:rsid w:val="0037629B"/>
    <w:rsid w:val="00376403"/>
    <w:rsid w:val="00381233"/>
    <w:rsid w:val="0038234B"/>
    <w:rsid w:val="003859C7"/>
    <w:rsid w:val="003872C3"/>
    <w:rsid w:val="0038744D"/>
    <w:rsid w:val="00393965"/>
    <w:rsid w:val="003952AA"/>
    <w:rsid w:val="00397B7D"/>
    <w:rsid w:val="003A178D"/>
    <w:rsid w:val="003A3A97"/>
    <w:rsid w:val="003A4285"/>
    <w:rsid w:val="003A452C"/>
    <w:rsid w:val="003A4F40"/>
    <w:rsid w:val="003A58EC"/>
    <w:rsid w:val="003A7D41"/>
    <w:rsid w:val="003B0BEA"/>
    <w:rsid w:val="003B1492"/>
    <w:rsid w:val="003B1E28"/>
    <w:rsid w:val="003B3DD3"/>
    <w:rsid w:val="003B477B"/>
    <w:rsid w:val="003B5881"/>
    <w:rsid w:val="003B6C04"/>
    <w:rsid w:val="003B6D6E"/>
    <w:rsid w:val="003B6E35"/>
    <w:rsid w:val="003C1340"/>
    <w:rsid w:val="003C1FF9"/>
    <w:rsid w:val="003C242F"/>
    <w:rsid w:val="003C41CB"/>
    <w:rsid w:val="003C4B10"/>
    <w:rsid w:val="003C7537"/>
    <w:rsid w:val="003C773D"/>
    <w:rsid w:val="003D366E"/>
    <w:rsid w:val="003D53EF"/>
    <w:rsid w:val="003D599E"/>
    <w:rsid w:val="003E28B4"/>
    <w:rsid w:val="003E65B1"/>
    <w:rsid w:val="003E712B"/>
    <w:rsid w:val="003F16F9"/>
    <w:rsid w:val="003F1BA9"/>
    <w:rsid w:val="003F1CDF"/>
    <w:rsid w:val="003F2433"/>
    <w:rsid w:val="003F322B"/>
    <w:rsid w:val="003F34B0"/>
    <w:rsid w:val="003F3D56"/>
    <w:rsid w:val="003F6969"/>
    <w:rsid w:val="003F757E"/>
    <w:rsid w:val="003F7C87"/>
    <w:rsid w:val="00402335"/>
    <w:rsid w:val="0040245D"/>
    <w:rsid w:val="00403BF2"/>
    <w:rsid w:val="0040508C"/>
    <w:rsid w:val="00410756"/>
    <w:rsid w:val="004107C9"/>
    <w:rsid w:val="00411893"/>
    <w:rsid w:val="00412EE5"/>
    <w:rsid w:val="00414003"/>
    <w:rsid w:val="004154BB"/>
    <w:rsid w:val="00415FBB"/>
    <w:rsid w:val="00417F56"/>
    <w:rsid w:val="0042118D"/>
    <w:rsid w:val="00423F2B"/>
    <w:rsid w:val="00423FE7"/>
    <w:rsid w:val="0042449C"/>
    <w:rsid w:val="004254B2"/>
    <w:rsid w:val="0042585F"/>
    <w:rsid w:val="00426D7A"/>
    <w:rsid w:val="0042711D"/>
    <w:rsid w:val="00427C53"/>
    <w:rsid w:val="00431DBA"/>
    <w:rsid w:val="00432004"/>
    <w:rsid w:val="0043379D"/>
    <w:rsid w:val="00434071"/>
    <w:rsid w:val="004346E2"/>
    <w:rsid w:val="00436902"/>
    <w:rsid w:val="00437B3A"/>
    <w:rsid w:val="00440040"/>
    <w:rsid w:val="0044058B"/>
    <w:rsid w:val="00440667"/>
    <w:rsid w:val="00444C5B"/>
    <w:rsid w:val="00445EF2"/>
    <w:rsid w:val="00450180"/>
    <w:rsid w:val="004525E9"/>
    <w:rsid w:val="004557D0"/>
    <w:rsid w:val="00456BC6"/>
    <w:rsid w:val="00456FD7"/>
    <w:rsid w:val="004605F6"/>
    <w:rsid w:val="00460765"/>
    <w:rsid w:val="004626D6"/>
    <w:rsid w:val="00462B46"/>
    <w:rsid w:val="00466063"/>
    <w:rsid w:val="00466ADB"/>
    <w:rsid w:val="00467CDD"/>
    <w:rsid w:val="00467CEC"/>
    <w:rsid w:val="00471528"/>
    <w:rsid w:val="004727FB"/>
    <w:rsid w:val="00473B63"/>
    <w:rsid w:val="00474012"/>
    <w:rsid w:val="00480AB3"/>
    <w:rsid w:val="00484562"/>
    <w:rsid w:val="00490E80"/>
    <w:rsid w:val="004910D0"/>
    <w:rsid w:val="0049187A"/>
    <w:rsid w:val="004921D6"/>
    <w:rsid w:val="00492EEE"/>
    <w:rsid w:val="00494789"/>
    <w:rsid w:val="004A196D"/>
    <w:rsid w:val="004A25FE"/>
    <w:rsid w:val="004A4B46"/>
    <w:rsid w:val="004A4CDD"/>
    <w:rsid w:val="004A4D59"/>
    <w:rsid w:val="004B04E2"/>
    <w:rsid w:val="004B1285"/>
    <w:rsid w:val="004B30E8"/>
    <w:rsid w:val="004B3B25"/>
    <w:rsid w:val="004B4F4F"/>
    <w:rsid w:val="004B7C69"/>
    <w:rsid w:val="004C0BE3"/>
    <w:rsid w:val="004C0E16"/>
    <w:rsid w:val="004C250D"/>
    <w:rsid w:val="004C325C"/>
    <w:rsid w:val="004C3D09"/>
    <w:rsid w:val="004C4422"/>
    <w:rsid w:val="004D1AE8"/>
    <w:rsid w:val="004D260A"/>
    <w:rsid w:val="004D27B2"/>
    <w:rsid w:val="004D3694"/>
    <w:rsid w:val="004D5D0E"/>
    <w:rsid w:val="004D6AF3"/>
    <w:rsid w:val="004D7032"/>
    <w:rsid w:val="004D7CC1"/>
    <w:rsid w:val="004E0B76"/>
    <w:rsid w:val="004E3A0A"/>
    <w:rsid w:val="004E59E5"/>
    <w:rsid w:val="004E753F"/>
    <w:rsid w:val="004E7DB3"/>
    <w:rsid w:val="004F06F2"/>
    <w:rsid w:val="004F148F"/>
    <w:rsid w:val="004F14A5"/>
    <w:rsid w:val="004F1F66"/>
    <w:rsid w:val="004F3D58"/>
    <w:rsid w:val="004F40FD"/>
    <w:rsid w:val="004F5896"/>
    <w:rsid w:val="004F5C1B"/>
    <w:rsid w:val="00500288"/>
    <w:rsid w:val="00501029"/>
    <w:rsid w:val="005010A2"/>
    <w:rsid w:val="00501215"/>
    <w:rsid w:val="0050199E"/>
    <w:rsid w:val="00501AD2"/>
    <w:rsid w:val="0050313C"/>
    <w:rsid w:val="00504A2B"/>
    <w:rsid w:val="00505EF2"/>
    <w:rsid w:val="00506499"/>
    <w:rsid w:val="00506CC4"/>
    <w:rsid w:val="00507F07"/>
    <w:rsid w:val="00507F3C"/>
    <w:rsid w:val="00510B39"/>
    <w:rsid w:val="005128C9"/>
    <w:rsid w:val="00514D4F"/>
    <w:rsid w:val="00515ED4"/>
    <w:rsid w:val="00516714"/>
    <w:rsid w:val="00516B51"/>
    <w:rsid w:val="005172AA"/>
    <w:rsid w:val="005178BE"/>
    <w:rsid w:val="005201C7"/>
    <w:rsid w:val="00520BFE"/>
    <w:rsid w:val="00522865"/>
    <w:rsid w:val="00523194"/>
    <w:rsid w:val="00525C73"/>
    <w:rsid w:val="00525EE9"/>
    <w:rsid w:val="00526820"/>
    <w:rsid w:val="005320F5"/>
    <w:rsid w:val="00532155"/>
    <w:rsid w:val="005321C7"/>
    <w:rsid w:val="00532897"/>
    <w:rsid w:val="00532AA7"/>
    <w:rsid w:val="005331D1"/>
    <w:rsid w:val="005345C3"/>
    <w:rsid w:val="00535713"/>
    <w:rsid w:val="0054212D"/>
    <w:rsid w:val="00542A6E"/>
    <w:rsid w:val="00543411"/>
    <w:rsid w:val="00545C9A"/>
    <w:rsid w:val="00547999"/>
    <w:rsid w:val="00550240"/>
    <w:rsid w:val="005527D0"/>
    <w:rsid w:val="00557B44"/>
    <w:rsid w:val="00562B20"/>
    <w:rsid w:val="00564301"/>
    <w:rsid w:val="00567D70"/>
    <w:rsid w:val="00570CC0"/>
    <w:rsid w:val="00571D3E"/>
    <w:rsid w:val="0057347C"/>
    <w:rsid w:val="005735E2"/>
    <w:rsid w:val="00575A4B"/>
    <w:rsid w:val="00576AEA"/>
    <w:rsid w:val="005775CD"/>
    <w:rsid w:val="0058401F"/>
    <w:rsid w:val="0058426E"/>
    <w:rsid w:val="00584F8A"/>
    <w:rsid w:val="00585525"/>
    <w:rsid w:val="005905FF"/>
    <w:rsid w:val="005934AF"/>
    <w:rsid w:val="005946FE"/>
    <w:rsid w:val="005A25D0"/>
    <w:rsid w:val="005A2F82"/>
    <w:rsid w:val="005A336F"/>
    <w:rsid w:val="005A400B"/>
    <w:rsid w:val="005A4CEB"/>
    <w:rsid w:val="005A638A"/>
    <w:rsid w:val="005B228A"/>
    <w:rsid w:val="005B3855"/>
    <w:rsid w:val="005C169D"/>
    <w:rsid w:val="005C32A4"/>
    <w:rsid w:val="005C4405"/>
    <w:rsid w:val="005C5E4B"/>
    <w:rsid w:val="005C66F5"/>
    <w:rsid w:val="005D0133"/>
    <w:rsid w:val="005D2242"/>
    <w:rsid w:val="005D40B4"/>
    <w:rsid w:val="005D59EA"/>
    <w:rsid w:val="005D7046"/>
    <w:rsid w:val="005D7114"/>
    <w:rsid w:val="005E3024"/>
    <w:rsid w:val="005E35F7"/>
    <w:rsid w:val="005E3CDD"/>
    <w:rsid w:val="005E42BC"/>
    <w:rsid w:val="005E4603"/>
    <w:rsid w:val="005E4649"/>
    <w:rsid w:val="005E76F3"/>
    <w:rsid w:val="005F0881"/>
    <w:rsid w:val="005F2122"/>
    <w:rsid w:val="005F29D5"/>
    <w:rsid w:val="005F4997"/>
    <w:rsid w:val="005F4B7E"/>
    <w:rsid w:val="005F6663"/>
    <w:rsid w:val="006004BC"/>
    <w:rsid w:val="00600905"/>
    <w:rsid w:val="0060125D"/>
    <w:rsid w:val="006012F5"/>
    <w:rsid w:val="00601D12"/>
    <w:rsid w:val="006026F5"/>
    <w:rsid w:val="0060276F"/>
    <w:rsid w:val="00603EF4"/>
    <w:rsid w:val="00604E11"/>
    <w:rsid w:val="006053A5"/>
    <w:rsid w:val="00605DAD"/>
    <w:rsid w:val="00606C2C"/>
    <w:rsid w:val="00606D08"/>
    <w:rsid w:val="006101F2"/>
    <w:rsid w:val="0061029C"/>
    <w:rsid w:val="006104B3"/>
    <w:rsid w:val="006125B2"/>
    <w:rsid w:val="006209A5"/>
    <w:rsid w:val="0062378F"/>
    <w:rsid w:val="00623875"/>
    <w:rsid w:val="00630BFD"/>
    <w:rsid w:val="0063287F"/>
    <w:rsid w:val="006334FD"/>
    <w:rsid w:val="00640875"/>
    <w:rsid w:val="00642AAE"/>
    <w:rsid w:val="0064622D"/>
    <w:rsid w:val="0064692B"/>
    <w:rsid w:val="006479B1"/>
    <w:rsid w:val="00647A12"/>
    <w:rsid w:val="006505D6"/>
    <w:rsid w:val="00650AFE"/>
    <w:rsid w:val="00650D62"/>
    <w:rsid w:val="006515CA"/>
    <w:rsid w:val="00651BEA"/>
    <w:rsid w:val="00651F0B"/>
    <w:rsid w:val="006564EF"/>
    <w:rsid w:val="0065651E"/>
    <w:rsid w:val="00661144"/>
    <w:rsid w:val="006633F0"/>
    <w:rsid w:val="00665BC3"/>
    <w:rsid w:val="006711F4"/>
    <w:rsid w:val="006717EA"/>
    <w:rsid w:val="00671872"/>
    <w:rsid w:val="00671995"/>
    <w:rsid w:val="006735E3"/>
    <w:rsid w:val="00675A7B"/>
    <w:rsid w:val="00675C23"/>
    <w:rsid w:val="00675E48"/>
    <w:rsid w:val="00675F79"/>
    <w:rsid w:val="0067766A"/>
    <w:rsid w:val="0068096F"/>
    <w:rsid w:val="006850C3"/>
    <w:rsid w:val="006851EC"/>
    <w:rsid w:val="00692150"/>
    <w:rsid w:val="00693B31"/>
    <w:rsid w:val="00693F0A"/>
    <w:rsid w:val="006947DF"/>
    <w:rsid w:val="006954BF"/>
    <w:rsid w:val="006954FB"/>
    <w:rsid w:val="00695B58"/>
    <w:rsid w:val="006A01D0"/>
    <w:rsid w:val="006A16C2"/>
    <w:rsid w:val="006A1E10"/>
    <w:rsid w:val="006A247B"/>
    <w:rsid w:val="006A37FA"/>
    <w:rsid w:val="006A58E4"/>
    <w:rsid w:val="006B0AD4"/>
    <w:rsid w:val="006B1F2A"/>
    <w:rsid w:val="006B3A98"/>
    <w:rsid w:val="006B48F6"/>
    <w:rsid w:val="006B6D15"/>
    <w:rsid w:val="006B7D39"/>
    <w:rsid w:val="006C023B"/>
    <w:rsid w:val="006C1E6F"/>
    <w:rsid w:val="006C287A"/>
    <w:rsid w:val="006C2A9A"/>
    <w:rsid w:val="006C325A"/>
    <w:rsid w:val="006C450F"/>
    <w:rsid w:val="006D20FA"/>
    <w:rsid w:val="006D4568"/>
    <w:rsid w:val="006D525C"/>
    <w:rsid w:val="006D633C"/>
    <w:rsid w:val="006E2162"/>
    <w:rsid w:val="006E2E0F"/>
    <w:rsid w:val="006E5BA2"/>
    <w:rsid w:val="006E641F"/>
    <w:rsid w:val="006E7D08"/>
    <w:rsid w:val="006F0455"/>
    <w:rsid w:val="006F159D"/>
    <w:rsid w:val="006F310A"/>
    <w:rsid w:val="006F349E"/>
    <w:rsid w:val="006F4374"/>
    <w:rsid w:val="006F56B1"/>
    <w:rsid w:val="006F7703"/>
    <w:rsid w:val="00700172"/>
    <w:rsid w:val="007005B8"/>
    <w:rsid w:val="007008EA"/>
    <w:rsid w:val="007035A4"/>
    <w:rsid w:val="00704F54"/>
    <w:rsid w:val="00705F33"/>
    <w:rsid w:val="0071388D"/>
    <w:rsid w:val="00714E37"/>
    <w:rsid w:val="00717B6D"/>
    <w:rsid w:val="0072086F"/>
    <w:rsid w:val="00724CBA"/>
    <w:rsid w:val="007265ED"/>
    <w:rsid w:val="00731AAA"/>
    <w:rsid w:val="00734EC6"/>
    <w:rsid w:val="0073590A"/>
    <w:rsid w:val="00740055"/>
    <w:rsid w:val="00740305"/>
    <w:rsid w:val="0074189F"/>
    <w:rsid w:val="007432F5"/>
    <w:rsid w:val="00746B4C"/>
    <w:rsid w:val="007478D1"/>
    <w:rsid w:val="007500C7"/>
    <w:rsid w:val="007502FE"/>
    <w:rsid w:val="0075182E"/>
    <w:rsid w:val="00755A1A"/>
    <w:rsid w:val="00756DE4"/>
    <w:rsid w:val="007570F6"/>
    <w:rsid w:val="00760A7F"/>
    <w:rsid w:val="00760EBC"/>
    <w:rsid w:val="007648FC"/>
    <w:rsid w:val="00767242"/>
    <w:rsid w:val="007716D0"/>
    <w:rsid w:val="00771CBF"/>
    <w:rsid w:val="00776772"/>
    <w:rsid w:val="00777FD3"/>
    <w:rsid w:val="00782DA4"/>
    <w:rsid w:val="00784503"/>
    <w:rsid w:val="0079141B"/>
    <w:rsid w:val="0079153A"/>
    <w:rsid w:val="00792A3D"/>
    <w:rsid w:val="00792C43"/>
    <w:rsid w:val="0079341F"/>
    <w:rsid w:val="00795514"/>
    <w:rsid w:val="007A495F"/>
    <w:rsid w:val="007A666D"/>
    <w:rsid w:val="007A6883"/>
    <w:rsid w:val="007A7E8A"/>
    <w:rsid w:val="007C2949"/>
    <w:rsid w:val="007C3698"/>
    <w:rsid w:val="007C4EB0"/>
    <w:rsid w:val="007C5D5F"/>
    <w:rsid w:val="007D0041"/>
    <w:rsid w:val="007D0065"/>
    <w:rsid w:val="007D132E"/>
    <w:rsid w:val="007D44FD"/>
    <w:rsid w:val="007D6E4C"/>
    <w:rsid w:val="007D7F5B"/>
    <w:rsid w:val="007E03EE"/>
    <w:rsid w:val="007E111D"/>
    <w:rsid w:val="007E139E"/>
    <w:rsid w:val="007E1667"/>
    <w:rsid w:val="007E1C53"/>
    <w:rsid w:val="007E2FB8"/>
    <w:rsid w:val="007E5758"/>
    <w:rsid w:val="007E5EE4"/>
    <w:rsid w:val="007E77B8"/>
    <w:rsid w:val="007F1A5D"/>
    <w:rsid w:val="007F2446"/>
    <w:rsid w:val="007F2DCA"/>
    <w:rsid w:val="007F3A60"/>
    <w:rsid w:val="007F5C0C"/>
    <w:rsid w:val="007F60D8"/>
    <w:rsid w:val="007F681E"/>
    <w:rsid w:val="00805337"/>
    <w:rsid w:val="00805392"/>
    <w:rsid w:val="00805749"/>
    <w:rsid w:val="00805F6C"/>
    <w:rsid w:val="0081133C"/>
    <w:rsid w:val="00811F73"/>
    <w:rsid w:val="008127D0"/>
    <w:rsid w:val="00813A8E"/>
    <w:rsid w:val="00822626"/>
    <w:rsid w:val="00827187"/>
    <w:rsid w:val="00831498"/>
    <w:rsid w:val="00840E97"/>
    <w:rsid w:val="008435A7"/>
    <w:rsid w:val="008447F3"/>
    <w:rsid w:val="00844ACA"/>
    <w:rsid w:val="008451F4"/>
    <w:rsid w:val="008471C3"/>
    <w:rsid w:val="00847831"/>
    <w:rsid w:val="00851C45"/>
    <w:rsid w:val="00851F7E"/>
    <w:rsid w:val="008525F3"/>
    <w:rsid w:val="0085289F"/>
    <w:rsid w:val="0085436C"/>
    <w:rsid w:val="00855465"/>
    <w:rsid w:val="00856420"/>
    <w:rsid w:val="00857157"/>
    <w:rsid w:val="008576A0"/>
    <w:rsid w:val="00861923"/>
    <w:rsid w:val="008657B6"/>
    <w:rsid w:val="00865CA0"/>
    <w:rsid w:val="008672B1"/>
    <w:rsid w:val="00867D77"/>
    <w:rsid w:val="008717DD"/>
    <w:rsid w:val="00872A65"/>
    <w:rsid w:val="008747DF"/>
    <w:rsid w:val="00875FAB"/>
    <w:rsid w:val="00883447"/>
    <w:rsid w:val="00883DDF"/>
    <w:rsid w:val="0088653B"/>
    <w:rsid w:val="008879B8"/>
    <w:rsid w:val="00890908"/>
    <w:rsid w:val="008913F0"/>
    <w:rsid w:val="00896210"/>
    <w:rsid w:val="00896376"/>
    <w:rsid w:val="008A0042"/>
    <w:rsid w:val="008A08DE"/>
    <w:rsid w:val="008A1429"/>
    <w:rsid w:val="008A2EC4"/>
    <w:rsid w:val="008A308B"/>
    <w:rsid w:val="008A468D"/>
    <w:rsid w:val="008A476C"/>
    <w:rsid w:val="008A4FEA"/>
    <w:rsid w:val="008A747D"/>
    <w:rsid w:val="008B0D35"/>
    <w:rsid w:val="008B5438"/>
    <w:rsid w:val="008B6047"/>
    <w:rsid w:val="008B7CCF"/>
    <w:rsid w:val="008C1889"/>
    <w:rsid w:val="008C195E"/>
    <w:rsid w:val="008C1DF4"/>
    <w:rsid w:val="008C2585"/>
    <w:rsid w:val="008C41CB"/>
    <w:rsid w:val="008C4C5E"/>
    <w:rsid w:val="008C5C1D"/>
    <w:rsid w:val="008C60CE"/>
    <w:rsid w:val="008C6AA4"/>
    <w:rsid w:val="008C77E3"/>
    <w:rsid w:val="008D04E6"/>
    <w:rsid w:val="008D2D1C"/>
    <w:rsid w:val="008D52F9"/>
    <w:rsid w:val="008D539A"/>
    <w:rsid w:val="008D5C0F"/>
    <w:rsid w:val="008D6689"/>
    <w:rsid w:val="008D6976"/>
    <w:rsid w:val="008D7FD2"/>
    <w:rsid w:val="008E00DA"/>
    <w:rsid w:val="008E29B9"/>
    <w:rsid w:val="008E6B2C"/>
    <w:rsid w:val="008F02EB"/>
    <w:rsid w:val="008F2045"/>
    <w:rsid w:val="008F2134"/>
    <w:rsid w:val="008F27AF"/>
    <w:rsid w:val="00903A64"/>
    <w:rsid w:val="00904069"/>
    <w:rsid w:val="0090529B"/>
    <w:rsid w:val="00905311"/>
    <w:rsid w:val="00905364"/>
    <w:rsid w:val="009055CB"/>
    <w:rsid w:val="00906D89"/>
    <w:rsid w:val="00906F48"/>
    <w:rsid w:val="00910667"/>
    <w:rsid w:val="009108EE"/>
    <w:rsid w:val="009134A4"/>
    <w:rsid w:val="00914E0D"/>
    <w:rsid w:val="009166BC"/>
    <w:rsid w:val="009251DC"/>
    <w:rsid w:val="00925CD7"/>
    <w:rsid w:val="0093106C"/>
    <w:rsid w:val="009367E6"/>
    <w:rsid w:val="009427D4"/>
    <w:rsid w:val="00943924"/>
    <w:rsid w:val="00944A3C"/>
    <w:rsid w:val="00945292"/>
    <w:rsid w:val="009471AA"/>
    <w:rsid w:val="00947599"/>
    <w:rsid w:val="00950675"/>
    <w:rsid w:val="00952172"/>
    <w:rsid w:val="00955E8E"/>
    <w:rsid w:val="00957576"/>
    <w:rsid w:val="0095783E"/>
    <w:rsid w:val="00960943"/>
    <w:rsid w:val="00962A2B"/>
    <w:rsid w:val="00964944"/>
    <w:rsid w:val="009740D9"/>
    <w:rsid w:val="009806A7"/>
    <w:rsid w:val="00985079"/>
    <w:rsid w:val="009875EE"/>
    <w:rsid w:val="009937AD"/>
    <w:rsid w:val="0099401C"/>
    <w:rsid w:val="00995E92"/>
    <w:rsid w:val="00996AA8"/>
    <w:rsid w:val="009970B5"/>
    <w:rsid w:val="009972C8"/>
    <w:rsid w:val="009A13ED"/>
    <w:rsid w:val="009A1EEA"/>
    <w:rsid w:val="009A1FE7"/>
    <w:rsid w:val="009A2B2A"/>
    <w:rsid w:val="009A4101"/>
    <w:rsid w:val="009A4146"/>
    <w:rsid w:val="009A57EC"/>
    <w:rsid w:val="009B0B45"/>
    <w:rsid w:val="009B67C7"/>
    <w:rsid w:val="009C3523"/>
    <w:rsid w:val="009C4B51"/>
    <w:rsid w:val="009C5E50"/>
    <w:rsid w:val="009C694E"/>
    <w:rsid w:val="009C7DF2"/>
    <w:rsid w:val="009D3E65"/>
    <w:rsid w:val="009D5F6B"/>
    <w:rsid w:val="009D648C"/>
    <w:rsid w:val="009E074D"/>
    <w:rsid w:val="009E1EE2"/>
    <w:rsid w:val="009E2300"/>
    <w:rsid w:val="009E361F"/>
    <w:rsid w:val="009E3DB5"/>
    <w:rsid w:val="009E4686"/>
    <w:rsid w:val="009E56CF"/>
    <w:rsid w:val="009E6436"/>
    <w:rsid w:val="009E7206"/>
    <w:rsid w:val="009E7CBF"/>
    <w:rsid w:val="009F1B47"/>
    <w:rsid w:val="009F38AB"/>
    <w:rsid w:val="009F41F6"/>
    <w:rsid w:val="009F56B7"/>
    <w:rsid w:val="009F56E1"/>
    <w:rsid w:val="009F6A8C"/>
    <w:rsid w:val="009F6EC2"/>
    <w:rsid w:val="00A00289"/>
    <w:rsid w:val="00A00DAD"/>
    <w:rsid w:val="00A010DA"/>
    <w:rsid w:val="00A01A0A"/>
    <w:rsid w:val="00A02893"/>
    <w:rsid w:val="00A049C1"/>
    <w:rsid w:val="00A07B35"/>
    <w:rsid w:val="00A103D4"/>
    <w:rsid w:val="00A10873"/>
    <w:rsid w:val="00A10FD9"/>
    <w:rsid w:val="00A1238D"/>
    <w:rsid w:val="00A146C1"/>
    <w:rsid w:val="00A16376"/>
    <w:rsid w:val="00A17DA9"/>
    <w:rsid w:val="00A21AD7"/>
    <w:rsid w:val="00A225FE"/>
    <w:rsid w:val="00A2416D"/>
    <w:rsid w:val="00A25DB0"/>
    <w:rsid w:val="00A2612D"/>
    <w:rsid w:val="00A2614B"/>
    <w:rsid w:val="00A261A9"/>
    <w:rsid w:val="00A31504"/>
    <w:rsid w:val="00A334FC"/>
    <w:rsid w:val="00A350AC"/>
    <w:rsid w:val="00A35414"/>
    <w:rsid w:val="00A35503"/>
    <w:rsid w:val="00A35A1F"/>
    <w:rsid w:val="00A36AFF"/>
    <w:rsid w:val="00A40572"/>
    <w:rsid w:val="00A40D11"/>
    <w:rsid w:val="00A413E1"/>
    <w:rsid w:val="00A4184B"/>
    <w:rsid w:val="00A41F60"/>
    <w:rsid w:val="00A4673D"/>
    <w:rsid w:val="00A4748E"/>
    <w:rsid w:val="00A47BEF"/>
    <w:rsid w:val="00A5046B"/>
    <w:rsid w:val="00A50BB5"/>
    <w:rsid w:val="00A512D4"/>
    <w:rsid w:val="00A519EF"/>
    <w:rsid w:val="00A51B10"/>
    <w:rsid w:val="00A51BE3"/>
    <w:rsid w:val="00A54626"/>
    <w:rsid w:val="00A56509"/>
    <w:rsid w:val="00A62ED9"/>
    <w:rsid w:val="00A63EE7"/>
    <w:rsid w:val="00A66111"/>
    <w:rsid w:val="00A66EA8"/>
    <w:rsid w:val="00A754AF"/>
    <w:rsid w:val="00A7732C"/>
    <w:rsid w:val="00A8589C"/>
    <w:rsid w:val="00A870D6"/>
    <w:rsid w:val="00A9230D"/>
    <w:rsid w:val="00A95687"/>
    <w:rsid w:val="00A958C0"/>
    <w:rsid w:val="00A969B1"/>
    <w:rsid w:val="00A970BF"/>
    <w:rsid w:val="00A97582"/>
    <w:rsid w:val="00AA0FF0"/>
    <w:rsid w:val="00AA3D79"/>
    <w:rsid w:val="00AA74D5"/>
    <w:rsid w:val="00AB143F"/>
    <w:rsid w:val="00AB2421"/>
    <w:rsid w:val="00AB2FC4"/>
    <w:rsid w:val="00AB3499"/>
    <w:rsid w:val="00AB37E4"/>
    <w:rsid w:val="00AB55FB"/>
    <w:rsid w:val="00AB6E58"/>
    <w:rsid w:val="00AB78CF"/>
    <w:rsid w:val="00AC078B"/>
    <w:rsid w:val="00AC07A4"/>
    <w:rsid w:val="00AC2ABE"/>
    <w:rsid w:val="00AC3F6D"/>
    <w:rsid w:val="00AC4CB1"/>
    <w:rsid w:val="00AC534D"/>
    <w:rsid w:val="00AC64AB"/>
    <w:rsid w:val="00AC7E2E"/>
    <w:rsid w:val="00AD056A"/>
    <w:rsid w:val="00AD0DE3"/>
    <w:rsid w:val="00AD5DFC"/>
    <w:rsid w:val="00AE04E8"/>
    <w:rsid w:val="00AE3E4D"/>
    <w:rsid w:val="00AE4593"/>
    <w:rsid w:val="00AE488C"/>
    <w:rsid w:val="00AF02CB"/>
    <w:rsid w:val="00AF0433"/>
    <w:rsid w:val="00AF241C"/>
    <w:rsid w:val="00AF29D8"/>
    <w:rsid w:val="00AF2B1F"/>
    <w:rsid w:val="00AF31F9"/>
    <w:rsid w:val="00AF69B1"/>
    <w:rsid w:val="00AF6E20"/>
    <w:rsid w:val="00AF7A38"/>
    <w:rsid w:val="00B00F97"/>
    <w:rsid w:val="00B01C78"/>
    <w:rsid w:val="00B04ACB"/>
    <w:rsid w:val="00B06BBE"/>
    <w:rsid w:val="00B06C57"/>
    <w:rsid w:val="00B10684"/>
    <w:rsid w:val="00B1207F"/>
    <w:rsid w:val="00B12A24"/>
    <w:rsid w:val="00B12BBF"/>
    <w:rsid w:val="00B14769"/>
    <w:rsid w:val="00B16941"/>
    <w:rsid w:val="00B16BDB"/>
    <w:rsid w:val="00B16BFD"/>
    <w:rsid w:val="00B17082"/>
    <w:rsid w:val="00B1736B"/>
    <w:rsid w:val="00B17A97"/>
    <w:rsid w:val="00B20400"/>
    <w:rsid w:val="00B22E1E"/>
    <w:rsid w:val="00B25577"/>
    <w:rsid w:val="00B27544"/>
    <w:rsid w:val="00B27F55"/>
    <w:rsid w:val="00B30E82"/>
    <w:rsid w:val="00B30F3A"/>
    <w:rsid w:val="00B330E7"/>
    <w:rsid w:val="00B36C86"/>
    <w:rsid w:val="00B42357"/>
    <w:rsid w:val="00B42DD7"/>
    <w:rsid w:val="00B44519"/>
    <w:rsid w:val="00B507D9"/>
    <w:rsid w:val="00B50F87"/>
    <w:rsid w:val="00B53999"/>
    <w:rsid w:val="00B53C17"/>
    <w:rsid w:val="00B54467"/>
    <w:rsid w:val="00B54A78"/>
    <w:rsid w:val="00B5543D"/>
    <w:rsid w:val="00B62D85"/>
    <w:rsid w:val="00B63E1A"/>
    <w:rsid w:val="00B64470"/>
    <w:rsid w:val="00B6772D"/>
    <w:rsid w:val="00B67DB0"/>
    <w:rsid w:val="00B711A7"/>
    <w:rsid w:val="00B7317E"/>
    <w:rsid w:val="00B7462C"/>
    <w:rsid w:val="00B76B1A"/>
    <w:rsid w:val="00B7767B"/>
    <w:rsid w:val="00B805F7"/>
    <w:rsid w:val="00B81692"/>
    <w:rsid w:val="00B841EA"/>
    <w:rsid w:val="00B84E8E"/>
    <w:rsid w:val="00B85092"/>
    <w:rsid w:val="00B8523E"/>
    <w:rsid w:val="00B85724"/>
    <w:rsid w:val="00B8590A"/>
    <w:rsid w:val="00B87F00"/>
    <w:rsid w:val="00B91A12"/>
    <w:rsid w:val="00B926C7"/>
    <w:rsid w:val="00B93692"/>
    <w:rsid w:val="00B94F9A"/>
    <w:rsid w:val="00B9541E"/>
    <w:rsid w:val="00BA158B"/>
    <w:rsid w:val="00BA35F7"/>
    <w:rsid w:val="00BA56EB"/>
    <w:rsid w:val="00BA611F"/>
    <w:rsid w:val="00BA71B6"/>
    <w:rsid w:val="00BB1CA5"/>
    <w:rsid w:val="00BB20C0"/>
    <w:rsid w:val="00BB40A9"/>
    <w:rsid w:val="00BB5817"/>
    <w:rsid w:val="00BC0E26"/>
    <w:rsid w:val="00BC2625"/>
    <w:rsid w:val="00BC4317"/>
    <w:rsid w:val="00BC55E6"/>
    <w:rsid w:val="00BD03EB"/>
    <w:rsid w:val="00BD0AD3"/>
    <w:rsid w:val="00BD35F4"/>
    <w:rsid w:val="00BD6367"/>
    <w:rsid w:val="00BD6B8F"/>
    <w:rsid w:val="00BE05C3"/>
    <w:rsid w:val="00BE3174"/>
    <w:rsid w:val="00BE3308"/>
    <w:rsid w:val="00BF4317"/>
    <w:rsid w:val="00BF4C45"/>
    <w:rsid w:val="00BF73FC"/>
    <w:rsid w:val="00C014B8"/>
    <w:rsid w:val="00C029BB"/>
    <w:rsid w:val="00C036CC"/>
    <w:rsid w:val="00C0387A"/>
    <w:rsid w:val="00C03EBD"/>
    <w:rsid w:val="00C03FB4"/>
    <w:rsid w:val="00C048A9"/>
    <w:rsid w:val="00C055BD"/>
    <w:rsid w:val="00C11F1F"/>
    <w:rsid w:val="00C137FC"/>
    <w:rsid w:val="00C1397E"/>
    <w:rsid w:val="00C139B5"/>
    <w:rsid w:val="00C13CDA"/>
    <w:rsid w:val="00C1574B"/>
    <w:rsid w:val="00C16E0B"/>
    <w:rsid w:val="00C17600"/>
    <w:rsid w:val="00C24BCC"/>
    <w:rsid w:val="00C25476"/>
    <w:rsid w:val="00C27253"/>
    <w:rsid w:val="00C30F0D"/>
    <w:rsid w:val="00C33102"/>
    <w:rsid w:val="00C343DC"/>
    <w:rsid w:val="00C400C5"/>
    <w:rsid w:val="00C426BF"/>
    <w:rsid w:val="00C43042"/>
    <w:rsid w:val="00C4486D"/>
    <w:rsid w:val="00C46078"/>
    <w:rsid w:val="00C46D85"/>
    <w:rsid w:val="00C4786B"/>
    <w:rsid w:val="00C511A5"/>
    <w:rsid w:val="00C51BA6"/>
    <w:rsid w:val="00C53751"/>
    <w:rsid w:val="00C60E51"/>
    <w:rsid w:val="00C61162"/>
    <w:rsid w:val="00C61AA4"/>
    <w:rsid w:val="00C64F5A"/>
    <w:rsid w:val="00C6576B"/>
    <w:rsid w:val="00C70C77"/>
    <w:rsid w:val="00C723B1"/>
    <w:rsid w:val="00C7344F"/>
    <w:rsid w:val="00C73948"/>
    <w:rsid w:val="00C73C3F"/>
    <w:rsid w:val="00C751A2"/>
    <w:rsid w:val="00C75382"/>
    <w:rsid w:val="00C754BA"/>
    <w:rsid w:val="00C75785"/>
    <w:rsid w:val="00C76BFC"/>
    <w:rsid w:val="00C76C99"/>
    <w:rsid w:val="00C77EE6"/>
    <w:rsid w:val="00C81077"/>
    <w:rsid w:val="00C84AE2"/>
    <w:rsid w:val="00C85403"/>
    <w:rsid w:val="00C85F0A"/>
    <w:rsid w:val="00C934D0"/>
    <w:rsid w:val="00C93665"/>
    <w:rsid w:val="00C9468C"/>
    <w:rsid w:val="00C95E83"/>
    <w:rsid w:val="00C961E5"/>
    <w:rsid w:val="00C96C53"/>
    <w:rsid w:val="00C97B22"/>
    <w:rsid w:val="00CA179A"/>
    <w:rsid w:val="00CA19C8"/>
    <w:rsid w:val="00CA1F86"/>
    <w:rsid w:val="00CA7804"/>
    <w:rsid w:val="00CA7E20"/>
    <w:rsid w:val="00CB12B3"/>
    <w:rsid w:val="00CB18FB"/>
    <w:rsid w:val="00CB7A64"/>
    <w:rsid w:val="00CB7C85"/>
    <w:rsid w:val="00CC1070"/>
    <w:rsid w:val="00CC1433"/>
    <w:rsid w:val="00CC35A3"/>
    <w:rsid w:val="00CC52F9"/>
    <w:rsid w:val="00CC5F0D"/>
    <w:rsid w:val="00CC63C1"/>
    <w:rsid w:val="00CC6F7F"/>
    <w:rsid w:val="00CD1413"/>
    <w:rsid w:val="00CD2DAE"/>
    <w:rsid w:val="00CD46E2"/>
    <w:rsid w:val="00CD6C8F"/>
    <w:rsid w:val="00CD6D4A"/>
    <w:rsid w:val="00CE3017"/>
    <w:rsid w:val="00CE37CE"/>
    <w:rsid w:val="00CE468E"/>
    <w:rsid w:val="00CE710D"/>
    <w:rsid w:val="00CF1F61"/>
    <w:rsid w:val="00CF3280"/>
    <w:rsid w:val="00CF42F2"/>
    <w:rsid w:val="00CF471B"/>
    <w:rsid w:val="00CF6D00"/>
    <w:rsid w:val="00CF711B"/>
    <w:rsid w:val="00D01271"/>
    <w:rsid w:val="00D01F0B"/>
    <w:rsid w:val="00D06837"/>
    <w:rsid w:val="00D070E1"/>
    <w:rsid w:val="00D0738B"/>
    <w:rsid w:val="00D160D2"/>
    <w:rsid w:val="00D172B9"/>
    <w:rsid w:val="00D20C2A"/>
    <w:rsid w:val="00D219B4"/>
    <w:rsid w:val="00D22FB5"/>
    <w:rsid w:val="00D255DD"/>
    <w:rsid w:val="00D25E97"/>
    <w:rsid w:val="00D31921"/>
    <w:rsid w:val="00D33233"/>
    <w:rsid w:val="00D3489B"/>
    <w:rsid w:val="00D35876"/>
    <w:rsid w:val="00D44030"/>
    <w:rsid w:val="00D45816"/>
    <w:rsid w:val="00D46162"/>
    <w:rsid w:val="00D50D50"/>
    <w:rsid w:val="00D5132C"/>
    <w:rsid w:val="00D52CD5"/>
    <w:rsid w:val="00D53962"/>
    <w:rsid w:val="00D539E1"/>
    <w:rsid w:val="00D5486F"/>
    <w:rsid w:val="00D55309"/>
    <w:rsid w:val="00D5582E"/>
    <w:rsid w:val="00D57B9E"/>
    <w:rsid w:val="00D63963"/>
    <w:rsid w:val="00D64C12"/>
    <w:rsid w:val="00D64E48"/>
    <w:rsid w:val="00D7141A"/>
    <w:rsid w:val="00D733F5"/>
    <w:rsid w:val="00D73831"/>
    <w:rsid w:val="00D77E80"/>
    <w:rsid w:val="00D80F4D"/>
    <w:rsid w:val="00D81F9F"/>
    <w:rsid w:val="00D82E44"/>
    <w:rsid w:val="00D84DCC"/>
    <w:rsid w:val="00D84E6E"/>
    <w:rsid w:val="00D90A94"/>
    <w:rsid w:val="00D91988"/>
    <w:rsid w:val="00D91EF4"/>
    <w:rsid w:val="00D95789"/>
    <w:rsid w:val="00D95FD6"/>
    <w:rsid w:val="00DA043A"/>
    <w:rsid w:val="00DA105B"/>
    <w:rsid w:val="00DA1B81"/>
    <w:rsid w:val="00DA2284"/>
    <w:rsid w:val="00DA6A6E"/>
    <w:rsid w:val="00DB03A0"/>
    <w:rsid w:val="00DB0AE8"/>
    <w:rsid w:val="00DB166A"/>
    <w:rsid w:val="00DB1F53"/>
    <w:rsid w:val="00DB3B1C"/>
    <w:rsid w:val="00DB7938"/>
    <w:rsid w:val="00DC022E"/>
    <w:rsid w:val="00DC49B9"/>
    <w:rsid w:val="00DC4AC7"/>
    <w:rsid w:val="00DD365E"/>
    <w:rsid w:val="00DD620B"/>
    <w:rsid w:val="00DE05A6"/>
    <w:rsid w:val="00DE291E"/>
    <w:rsid w:val="00DE65E6"/>
    <w:rsid w:val="00DE7468"/>
    <w:rsid w:val="00DE7598"/>
    <w:rsid w:val="00DF118B"/>
    <w:rsid w:val="00DF226D"/>
    <w:rsid w:val="00DF3E02"/>
    <w:rsid w:val="00DF42B0"/>
    <w:rsid w:val="00E0050C"/>
    <w:rsid w:val="00E0372C"/>
    <w:rsid w:val="00E04B7C"/>
    <w:rsid w:val="00E07365"/>
    <w:rsid w:val="00E12A14"/>
    <w:rsid w:val="00E12E0D"/>
    <w:rsid w:val="00E206CD"/>
    <w:rsid w:val="00E257CB"/>
    <w:rsid w:val="00E30B2B"/>
    <w:rsid w:val="00E33102"/>
    <w:rsid w:val="00E336C3"/>
    <w:rsid w:val="00E33F0C"/>
    <w:rsid w:val="00E34AAE"/>
    <w:rsid w:val="00E36CCA"/>
    <w:rsid w:val="00E4052F"/>
    <w:rsid w:val="00E40FA3"/>
    <w:rsid w:val="00E435DE"/>
    <w:rsid w:val="00E43BC3"/>
    <w:rsid w:val="00E4428B"/>
    <w:rsid w:val="00E53162"/>
    <w:rsid w:val="00E53444"/>
    <w:rsid w:val="00E54734"/>
    <w:rsid w:val="00E565E8"/>
    <w:rsid w:val="00E5748F"/>
    <w:rsid w:val="00E574E3"/>
    <w:rsid w:val="00E60E86"/>
    <w:rsid w:val="00E62296"/>
    <w:rsid w:val="00E630FB"/>
    <w:rsid w:val="00E641FA"/>
    <w:rsid w:val="00E6607D"/>
    <w:rsid w:val="00E660E1"/>
    <w:rsid w:val="00E664E5"/>
    <w:rsid w:val="00E6716A"/>
    <w:rsid w:val="00E6739B"/>
    <w:rsid w:val="00E70DA5"/>
    <w:rsid w:val="00E732CB"/>
    <w:rsid w:val="00E73508"/>
    <w:rsid w:val="00E73D63"/>
    <w:rsid w:val="00E7481E"/>
    <w:rsid w:val="00E750F0"/>
    <w:rsid w:val="00E8004D"/>
    <w:rsid w:val="00E81C8C"/>
    <w:rsid w:val="00E8224D"/>
    <w:rsid w:val="00E834EF"/>
    <w:rsid w:val="00E844A9"/>
    <w:rsid w:val="00E8585D"/>
    <w:rsid w:val="00E85F5F"/>
    <w:rsid w:val="00E919FA"/>
    <w:rsid w:val="00E91EB0"/>
    <w:rsid w:val="00E92843"/>
    <w:rsid w:val="00E9348A"/>
    <w:rsid w:val="00E93C81"/>
    <w:rsid w:val="00E95492"/>
    <w:rsid w:val="00EA144B"/>
    <w:rsid w:val="00EA24E9"/>
    <w:rsid w:val="00EA31A6"/>
    <w:rsid w:val="00EA53F4"/>
    <w:rsid w:val="00EA54CA"/>
    <w:rsid w:val="00EA54FB"/>
    <w:rsid w:val="00EA6DAE"/>
    <w:rsid w:val="00EA7785"/>
    <w:rsid w:val="00EB143A"/>
    <w:rsid w:val="00EB2201"/>
    <w:rsid w:val="00EB56DC"/>
    <w:rsid w:val="00EB626D"/>
    <w:rsid w:val="00EB6CE6"/>
    <w:rsid w:val="00EC6D42"/>
    <w:rsid w:val="00ED408C"/>
    <w:rsid w:val="00ED58B2"/>
    <w:rsid w:val="00ED5A2D"/>
    <w:rsid w:val="00EE1DF6"/>
    <w:rsid w:val="00EE3CA1"/>
    <w:rsid w:val="00EE552D"/>
    <w:rsid w:val="00EE62EB"/>
    <w:rsid w:val="00EF1F90"/>
    <w:rsid w:val="00EF2DBD"/>
    <w:rsid w:val="00F006EA"/>
    <w:rsid w:val="00F03417"/>
    <w:rsid w:val="00F03781"/>
    <w:rsid w:val="00F05AB0"/>
    <w:rsid w:val="00F06F5F"/>
    <w:rsid w:val="00F07398"/>
    <w:rsid w:val="00F106C0"/>
    <w:rsid w:val="00F12FF6"/>
    <w:rsid w:val="00F171F6"/>
    <w:rsid w:val="00F17283"/>
    <w:rsid w:val="00F21A26"/>
    <w:rsid w:val="00F231B4"/>
    <w:rsid w:val="00F231DD"/>
    <w:rsid w:val="00F23758"/>
    <w:rsid w:val="00F353C2"/>
    <w:rsid w:val="00F35DF0"/>
    <w:rsid w:val="00F36D39"/>
    <w:rsid w:val="00F40B98"/>
    <w:rsid w:val="00F419C6"/>
    <w:rsid w:val="00F43D90"/>
    <w:rsid w:val="00F464F8"/>
    <w:rsid w:val="00F53FCC"/>
    <w:rsid w:val="00F54FC9"/>
    <w:rsid w:val="00F606D4"/>
    <w:rsid w:val="00F6293E"/>
    <w:rsid w:val="00F6344A"/>
    <w:rsid w:val="00F65A00"/>
    <w:rsid w:val="00F67913"/>
    <w:rsid w:val="00F70340"/>
    <w:rsid w:val="00F70915"/>
    <w:rsid w:val="00F73592"/>
    <w:rsid w:val="00F77437"/>
    <w:rsid w:val="00F7772A"/>
    <w:rsid w:val="00F8289E"/>
    <w:rsid w:val="00F837E9"/>
    <w:rsid w:val="00F84928"/>
    <w:rsid w:val="00F86F83"/>
    <w:rsid w:val="00F90C61"/>
    <w:rsid w:val="00F933A0"/>
    <w:rsid w:val="00F95105"/>
    <w:rsid w:val="00FA0B6C"/>
    <w:rsid w:val="00FA0C83"/>
    <w:rsid w:val="00FA14F9"/>
    <w:rsid w:val="00FA1F56"/>
    <w:rsid w:val="00FA5B1F"/>
    <w:rsid w:val="00FA5DF4"/>
    <w:rsid w:val="00FB03F6"/>
    <w:rsid w:val="00FB14BB"/>
    <w:rsid w:val="00FB200F"/>
    <w:rsid w:val="00FB2257"/>
    <w:rsid w:val="00FB26F2"/>
    <w:rsid w:val="00FB6482"/>
    <w:rsid w:val="00FB7217"/>
    <w:rsid w:val="00FB7918"/>
    <w:rsid w:val="00FC093E"/>
    <w:rsid w:val="00FC1A79"/>
    <w:rsid w:val="00FC2A56"/>
    <w:rsid w:val="00FC3638"/>
    <w:rsid w:val="00FC784A"/>
    <w:rsid w:val="00FD029D"/>
    <w:rsid w:val="00FD265C"/>
    <w:rsid w:val="00FD2F39"/>
    <w:rsid w:val="00FD3A8D"/>
    <w:rsid w:val="00FD4369"/>
    <w:rsid w:val="00FD5231"/>
    <w:rsid w:val="00FD625D"/>
    <w:rsid w:val="00FD7843"/>
    <w:rsid w:val="00FD7948"/>
    <w:rsid w:val="00FE581E"/>
    <w:rsid w:val="00FE5BC9"/>
    <w:rsid w:val="00FF2460"/>
    <w:rsid w:val="00FF2D67"/>
    <w:rsid w:val="00FF4101"/>
    <w:rsid w:val="15B33DD0"/>
    <w:rsid w:val="18FFAEDD"/>
    <w:rsid w:val="272E4D90"/>
    <w:rsid w:val="3712555F"/>
    <w:rsid w:val="616CB98D"/>
    <w:rsid w:val="75279FDB"/>
    <w:rsid w:val="7FADD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6AA40"/>
  <w15:chartTrackingRefBased/>
  <w15:docId w15:val="{7130BC70-43C1-2F4F-975B-11DA130CF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ekhovenLab Main text"/>
    <w:qFormat/>
    <w:rsid w:val="00DA1B81"/>
    <w:pPr>
      <w:spacing w:after="160" w:line="360" w:lineRule="auto"/>
      <w:jc w:val="both"/>
    </w:pPr>
    <w:rPr>
      <w:rFonts w:ascii="Arial" w:hAnsi="Arial"/>
      <w:sz w:val="22"/>
      <w:szCs w:val="22"/>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C07A4"/>
    <w:rPr>
      <w:sz w:val="16"/>
      <w:szCs w:val="16"/>
    </w:rPr>
  </w:style>
  <w:style w:type="paragraph" w:styleId="CommentText">
    <w:name w:val="annotation text"/>
    <w:basedOn w:val="Normal"/>
    <w:link w:val="CommentTextChar"/>
    <w:uiPriority w:val="99"/>
    <w:semiHidden/>
    <w:unhideWhenUsed/>
    <w:rsid w:val="00AC07A4"/>
    <w:pPr>
      <w:spacing w:line="240" w:lineRule="auto"/>
    </w:pPr>
    <w:rPr>
      <w:sz w:val="20"/>
      <w:szCs w:val="20"/>
    </w:rPr>
  </w:style>
  <w:style w:type="character" w:customStyle="1" w:styleId="CommentTextChar">
    <w:name w:val="Comment Text Char"/>
    <w:basedOn w:val="DefaultParagraphFont"/>
    <w:link w:val="CommentText"/>
    <w:uiPriority w:val="99"/>
    <w:semiHidden/>
    <w:rsid w:val="00AC07A4"/>
    <w:rPr>
      <w:rFonts w:ascii="Arial" w:hAnsi="Arial"/>
      <w:sz w:val="20"/>
      <w:szCs w:val="20"/>
      <w:lang w:val="de-DE"/>
    </w:rPr>
  </w:style>
  <w:style w:type="paragraph" w:styleId="CommentSubject">
    <w:name w:val="annotation subject"/>
    <w:basedOn w:val="CommentText"/>
    <w:next w:val="CommentText"/>
    <w:link w:val="CommentSubjectChar"/>
    <w:uiPriority w:val="99"/>
    <w:semiHidden/>
    <w:unhideWhenUsed/>
    <w:rsid w:val="00AC07A4"/>
    <w:rPr>
      <w:b/>
      <w:bCs/>
    </w:rPr>
  </w:style>
  <w:style w:type="character" w:customStyle="1" w:styleId="CommentSubjectChar">
    <w:name w:val="Comment Subject Char"/>
    <w:basedOn w:val="CommentTextChar"/>
    <w:link w:val="CommentSubject"/>
    <w:uiPriority w:val="99"/>
    <w:semiHidden/>
    <w:rsid w:val="00AC07A4"/>
    <w:rPr>
      <w:rFonts w:ascii="Arial" w:hAnsi="Arial"/>
      <w:b/>
      <w:bCs/>
      <w:sz w:val="20"/>
      <w:szCs w:val="20"/>
      <w:lang w:val="de-DE"/>
    </w:rPr>
  </w:style>
  <w:style w:type="paragraph" w:styleId="BalloonText">
    <w:name w:val="Balloon Text"/>
    <w:basedOn w:val="Normal"/>
    <w:link w:val="BalloonTextChar"/>
    <w:uiPriority w:val="99"/>
    <w:semiHidden/>
    <w:unhideWhenUsed/>
    <w:rsid w:val="00AC07A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C07A4"/>
    <w:rPr>
      <w:rFonts w:ascii="Times New Roman" w:hAnsi="Times New Roman" w:cs="Times New Roman"/>
      <w:sz w:val="18"/>
      <w:szCs w:val="18"/>
      <w:lang w:val="de-DE"/>
    </w:rPr>
  </w:style>
  <w:style w:type="character" w:styleId="Hyperlink">
    <w:name w:val="Hyperlink"/>
    <w:basedOn w:val="DefaultParagraphFont"/>
    <w:uiPriority w:val="99"/>
    <w:unhideWhenUsed/>
    <w:rsid w:val="00AC07A4"/>
    <w:rPr>
      <w:color w:val="0563C1" w:themeColor="hyperlink"/>
      <w:u w:val="single"/>
    </w:rPr>
  </w:style>
  <w:style w:type="character" w:styleId="UnresolvedMention">
    <w:name w:val="Unresolved Mention"/>
    <w:basedOn w:val="DefaultParagraphFont"/>
    <w:uiPriority w:val="99"/>
    <w:semiHidden/>
    <w:unhideWhenUsed/>
    <w:rsid w:val="00AC07A4"/>
    <w:rPr>
      <w:color w:val="605E5C"/>
      <w:shd w:val="clear" w:color="auto" w:fill="E1DFDD"/>
    </w:rPr>
  </w:style>
  <w:style w:type="paragraph" w:styleId="Revision">
    <w:name w:val="Revision"/>
    <w:hidden/>
    <w:uiPriority w:val="99"/>
    <w:semiHidden/>
    <w:rsid w:val="00740055"/>
    <w:rPr>
      <w:rFonts w:ascii="Arial" w:hAnsi="Arial"/>
      <w:sz w:val="22"/>
      <w:szCs w:val="22"/>
      <w:lang w:val="de-DE"/>
    </w:rPr>
  </w:style>
  <w:style w:type="character" w:styleId="PlaceholderText">
    <w:name w:val="Placeholder Text"/>
    <w:basedOn w:val="DefaultParagraphFont"/>
    <w:uiPriority w:val="99"/>
    <w:semiHidden/>
    <w:rsid w:val="0085436C"/>
    <w:rPr>
      <w:color w:val="808080"/>
    </w:rPr>
  </w:style>
  <w:style w:type="paragraph" w:customStyle="1" w:styleId="EndNoteBibliographyTitle">
    <w:name w:val="EndNote Bibliography Title"/>
    <w:basedOn w:val="Normal"/>
    <w:link w:val="EndNoteBibliographyTitleZchn"/>
    <w:rsid w:val="001127D0"/>
    <w:pPr>
      <w:spacing w:after="0"/>
      <w:jc w:val="center"/>
    </w:pPr>
    <w:rPr>
      <w:rFonts w:cs="Arial"/>
      <w:lang w:val="en-US"/>
    </w:rPr>
  </w:style>
  <w:style w:type="character" w:customStyle="1" w:styleId="EndNoteBibliographyTitleZchn">
    <w:name w:val="EndNote Bibliography Title Zchn"/>
    <w:basedOn w:val="DefaultParagraphFont"/>
    <w:link w:val="EndNoteBibliographyTitle"/>
    <w:rsid w:val="001127D0"/>
    <w:rPr>
      <w:rFonts w:ascii="Arial" w:hAnsi="Arial" w:cs="Arial"/>
      <w:sz w:val="22"/>
      <w:szCs w:val="22"/>
    </w:rPr>
  </w:style>
  <w:style w:type="paragraph" w:customStyle="1" w:styleId="EndNoteBibliography">
    <w:name w:val="EndNote Bibliography"/>
    <w:basedOn w:val="Normal"/>
    <w:link w:val="EndNoteBibliographyZchn"/>
    <w:rsid w:val="001127D0"/>
    <w:pPr>
      <w:spacing w:line="240" w:lineRule="auto"/>
    </w:pPr>
    <w:rPr>
      <w:rFonts w:cs="Arial"/>
      <w:lang w:val="en-US"/>
    </w:rPr>
  </w:style>
  <w:style w:type="character" w:customStyle="1" w:styleId="EndNoteBibliographyZchn">
    <w:name w:val="EndNote Bibliography Zchn"/>
    <w:basedOn w:val="DefaultParagraphFont"/>
    <w:link w:val="EndNoteBibliography"/>
    <w:rsid w:val="001127D0"/>
    <w:rPr>
      <w:rFonts w:ascii="Arial" w:hAnsi="Arial" w:cs="Arial"/>
      <w:sz w:val="22"/>
      <w:szCs w:val="22"/>
    </w:rPr>
  </w:style>
  <w:style w:type="paragraph" w:styleId="Header">
    <w:name w:val="header"/>
    <w:basedOn w:val="Normal"/>
    <w:link w:val="HeaderChar"/>
    <w:uiPriority w:val="99"/>
    <w:unhideWhenUsed/>
    <w:rsid w:val="00D63963"/>
    <w:pPr>
      <w:tabs>
        <w:tab w:val="center" w:pos="4536"/>
        <w:tab w:val="right" w:pos="9072"/>
      </w:tabs>
      <w:spacing w:after="0" w:line="240" w:lineRule="auto"/>
    </w:pPr>
  </w:style>
  <w:style w:type="character" w:customStyle="1" w:styleId="HeaderChar">
    <w:name w:val="Header Char"/>
    <w:basedOn w:val="DefaultParagraphFont"/>
    <w:link w:val="Header"/>
    <w:uiPriority w:val="99"/>
    <w:rsid w:val="00D63963"/>
    <w:rPr>
      <w:rFonts w:ascii="Arial" w:hAnsi="Arial"/>
      <w:sz w:val="22"/>
      <w:szCs w:val="22"/>
      <w:lang w:val="de-DE"/>
    </w:rPr>
  </w:style>
  <w:style w:type="paragraph" w:styleId="Footer">
    <w:name w:val="footer"/>
    <w:basedOn w:val="Normal"/>
    <w:link w:val="FooterChar"/>
    <w:uiPriority w:val="99"/>
    <w:unhideWhenUsed/>
    <w:rsid w:val="00D63963"/>
    <w:pPr>
      <w:tabs>
        <w:tab w:val="center" w:pos="4536"/>
        <w:tab w:val="right" w:pos="9072"/>
      </w:tabs>
      <w:spacing w:after="0" w:line="240" w:lineRule="auto"/>
    </w:pPr>
  </w:style>
  <w:style w:type="character" w:customStyle="1" w:styleId="FooterChar">
    <w:name w:val="Footer Char"/>
    <w:basedOn w:val="DefaultParagraphFont"/>
    <w:link w:val="Footer"/>
    <w:uiPriority w:val="99"/>
    <w:rsid w:val="00D63963"/>
    <w:rPr>
      <w:rFonts w:ascii="Arial" w:hAnsi="Arial"/>
      <w:sz w:val="22"/>
      <w:szCs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357053">
      <w:bodyDiv w:val="1"/>
      <w:marLeft w:val="0"/>
      <w:marRight w:val="0"/>
      <w:marTop w:val="0"/>
      <w:marBottom w:val="0"/>
      <w:divBdr>
        <w:top w:val="none" w:sz="0" w:space="0" w:color="auto"/>
        <w:left w:val="none" w:sz="0" w:space="0" w:color="auto"/>
        <w:bottom w:val="none" w:sz="0" w:space="0" w:color="auto"/>
        <w:right w:val="none" w:sz="0" w:space="0" w:color="auto"/>
      </w:divBdr>
    </w:div>
    <w:div w:id="519049891">
      <w:bodyDiv w:val="1"/>
      <w:marLeft w:val="0"/>
      <w:marRight w:val="0"/>
      <w:marTop w:val="0"/>
      <w:marBottom w:val="0"/>
      <w:divBdr>
        <w:top w:val="none" w:sz="0" w:space="0" w:color="auto"/>
        <w:left w:val="none" w:sz="0" w:space="0" w:color="auto"/>
        <w:bottom w:val="none" w:sz="0" w:space="0" w:color="auto"/>
        <w:right w:val="none" w:sz="0" w:space="0" w:color="auto"/>
      </w:divBdr>
    </w:div>
    <w:div w:id="619730071">
      <w:bodyDiv w:val="1"/>
      <w:marLeft w:val="0"/>
      <w:marRight w:val="0"/>
      <w:marTop w:val="0"/>
      <w:marBottom w:val="0"/>
      <w:divBdr>
        <w:top w:val="none" w:sz="0" w:space="0" w:color="auto"/>
        <w:left w:val="none" w:sz="0" w:space="0" w:color="auto"/>
        <w:bottom w:val="none" w:sz="0" w:space="0" w:color="auto"/>
        <w:right w:val="none" w:sz="0" w:space="0" w:color="auto"/>
      </w:divBdr>
    </w:div>
    <w:div w:id="714278132">
      <w:bodyDiv w:val="1"/>
      <w:marLeft w:val="0"/>
      <w:marRight w:val="0"/>
      <w:marTop w:val="0"/>
      <w:marBottom w:val="0"/>
      <w:divBdr>
        <w:top w:val="none" w:sz="0" w:space="0" w:color="auto"/>
        <w:left w:val="none" w:sz="0" w:space="0" w:color="auto"/>
        <w:bottom w:val="none" w:sz="0" w:space="0" w:color="auto"/>
        <w:right w:val="none" w:sz="0" w:space="0" w:color="auto"/>
      </w:divBdr>
      <w:divsChild>
        <w:div w:id="1128669201">
          <w:marLeft w:val="0"/>
          <w:marRight w:val="0"/>
          <w:marTop w:val="0"/>
          <w:marBottom w:val="0"/>
          <w:divBdr>
            <w:top w:val="none" w:sz="0" w:space="0" w:color="auto"/>
            <w:left w:val="none" w:sz="0" w:space="0" w:color="auto"/>
            <w:bottom w:val="none" w:sz="0" w:space="0" w:color="auto"/>
            <w:right w:val="none" w:sz="0" w:space="0" w:color="auto"/>
          </w:divBdr>
          <w:divsChild>
            <w:div w:id="1190803471">
              <w:marLeft w:val="0"/>
              <w:marRight w:val="0"/>
              <w:marTop w:val="0"/>
              <w:marBottom w:val="0"/>
              <w:divBdr>
                <w:top w:val="none" w:sz="0" w:space="0" w:color="auto"/>
                <w:left w:val="none" w:sz="0" w:space="0" w:color="auto"/>
                <w:bottom w:val="none" w:sz="0" w:space="0" w:color="auto"/>
                <w:right w:val="none" w:sz="0" w:space="0" w:color="auto"/>
              </w:divBdr>
              <w:divsChild>
                <w:div w:id="644702894">
                  <w:marLeft w:val="0"/>
                  <w:marRight w:val="0"/>
                  <w:marTop w:val="0"/>
                  <w:marBottom w:val="0"/>
                  <w:divBdr>
                    <w:top w:val="none" w:sz="0" w:space="0" w:color="auto"/>
                    <w:left w:val="none" w:sz="0" w:space="0" w:color="auto"/>
                    <w:bottom w:val="none" w:sz="0" w:space="0" w:color="auto"/>
                    <w:right w:val="none" w:sz="0" w:space="0" w:color="auto"/>
                  </w:divBdr>
                  <w:divsChild>
                    <w:div w:id="122305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748114">
      <w:bodyDiv w:val="1"/>
      <w:marLeft w:val="0"/>
      <w:marRight w:val="0"/>
      <w:marTop w:val="0"/>
      <w:marBottom w:val="0"/>
      <w:divBdr>
        <w:top w:val="none" w:sz="0" w:space="0" w:color="auto"/>
        <w:left w:val="none" w:sz="0" w:space="0" w:color="auto"/>
        <w:bottom w:val="none" w:sz="0" w:space="0" w:color="auto"/>
        <w:right w:val="none" w:sz="0" w:space="0" w:color="auto"/>
      </w:divBdr>
    </w:div>
    <w:div w:id="862934089">
      <w:bodyDiv w:val="1"/>
      <w:marLeft w:val="0"/>
      <w:marRight w:val="0"/>
      <w:marTop w:val="0"/>
      <w:marBottom w:val="0"/>
      <w:divBdr>
        <w:top w:val="none" w:sz="0" w:space="0" w:color="auto"/>
        <w:left w:val="none" w:sz="0" w:space="0" w:color="auto"/>
        <w:bottom w:val="none" w:sz="0" w:space="0" w:color="auto"/>
        <w:right w:val="none" w:sz="0" w:space="0" w:color="auto"/>
      </w:divBdr>
    </w:div>
    <w:div w:id="1098523276">
      <w:bodyDiv w:val="1"/>
      <w:marLeft w:val="0"/>
      <w:marRight w:val="0"/>
      <w:marTop w:val="0"/>
      <w:marBottom w:val="0"/>
      <w:divBdr>
        <w:top w:val="none" w:sz="0" w:space="0" w:color="auto"/>
        <w:left w:val="none" w:sz="0" w:space="0" w:color="auto"/>
        <w:bottom w:val="none" w:sz="0" w:space="0" w:color="auto"/>
        <w:right w:val="none" w:sz="0" w:space="0" w:color="auto"/>
      </w:divBdr>
    </w:div>
    <w:div w:id="1148670551">
      <w:bodyDiv w:val="1"/>
      <w:marLeft w:val="0"/>
      <w:marRight w:val="0"/>
      <w:marTop w:val="0"/>
      <w:marBottom w:val="0"/>
      <w:divBdr>
        <w:top w:val="none" w:sz="0" w:space="0" w:color="auto"/>
        <w:left w:val="none" w:sz="0" w:space="0" w:color="auto"/>
        <w:bottom w:val="none" w:sz="0" w:space="0" w:color="auto"/>
        <w:right w:val="none" w:sz="0" w:space="0" w:color="auto"/>
      </w:divBdr>
    </w:div>
    <w:div w:id="1173645533">
      <w:bodyDiv w:val="1"/>
      <w:marLeft w:val="0"/>
      <w:marRight w:val="0"/>
      <w:marTop w:val="0"/>
      <w:marBottom w:val="0"/>
      <w:divBdr>
        <w:top w:val="none" w:sz="0" w:space="0" w:color="auto"/>
        <w:left w:val="none" w:sz="0" w:space="0" w:color="auto"/>
        <w:bottom w:val="none" w:sz="0" w:space="0" w:color="auto"/>
        <w:right w:val="none" w:sz="0" w:space="0" w:color="auto"/>
      </w:divBdr>
    </w:div>
    <w:div w:id="1536039061">
      <w:bodyDiv w:val="1"/>
      <w:marLeft w:val="0"/>
      <w:marRight w:val="0"/>
      <w:marTop w:val="0"/>
      <w:marBottom w:val="0"/>
      <w:divBdr>
        <w:top w:val="none" w:sz="0" w:space="0" w:color="auto"/>
        <w:left w:val="none" w:sz="0" w:space="0" w:color="auto"/>
        <w:bottom w:val="none" w:sz="0" w:space="0" w:color="auto"/>
        <w:right w:val="none" w:sz="0" w:space="0" w:color="auto"/>
      </w:divBdr>
    </w:div>
    <w:div w:id="1588878114">
      <w:bodyDiv w:val="1"/>
      <w:marLeft w:val="0"/>
      <w:marRight w:val="0"/>
      <w:marTop w:val="0"/>
      <w:marBottom w:val="0"/>
      <w:divBdr>
        <w:top w:val="none" w:sz="0" w:space="0" w:color="auto"/>
        <w:left w:val="none" w:sz="0" w:space="0" w:color="auto"/>
        <w:bottom w:val="none" w:sz="0" w:space="0" w:color="auto"/>
        <w:right w:val="none" w:sz="0" w:space="0" w:color="auto"/>
      </w:divBdr>
      <w:divsChild>
        <w:div w:id="1032879058">
          <w:marLeft w:val="0"/>
          <w:marRight w:val="0"/>
          <w:marTop w:val="0"/>
          <w:marBottom w:val="0"/>
          <w:divBdr>
            <w:top w:val="none" w:sz="0" w:space="0" w:color="auto"/>
            <w:left w:val="none" w:sz="0" w:space="0" w:color="auto"/>
            <w:bottom w:val="none" w:sz="0" w:space="0" w:color="auto"/>
            <w:right w:val="none" w:sz="0" w:space="0" w:color="auto"/>
          </w:divBdr>
          <w:divsChild>
            <w:div w:id="1848593728">
              <w:marLeft w:val="0"/>
              <w:marRight w:val="0"/>
              <w:marTop w:val="0"/>
              <w:marBottom w:val="0"/>
              <w:divBdr>
                <w:top w:val="none" w:sz="0" w:space="0" w:color="auto"/>
                <w:left w:val="none" w:sz="0" w:space="0" w:color="auto"/>
                <w:bottom w:val="none" w:sz="0" w:space="0" w:color="auto"/>
                <w:right w:val="none" w:sz="0" w:space="0" w:color="auto"/>
              </w:divBdr>
              <w:divsChild>
                <w:div w:id="167734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725498">
      <w:bodyDiv w:val="1"/>
      <w:marLeft w:val="0"/>
      <w:marRight w:val="0"/>
      <w:marTop w:val="0"/>
      <w:marBottom w:val="0"/>
      <w:divBdr>
        <w:top w:val="none" w:sz="0" w:space="0" w:color="auto"/>
        <w:left w:val="none" w:sz="0" w:space="0" w:color="auto"/>
        <w:bottom w:val="none" w:sz="0" w:space="0" w:color="auto"/>
        <w:right w:val="none" w:sz="0" w:space="0" w:color="auto"/>
      </w:divBdr>
      <w:divsChild>
        <w:div w:id="352195642">
          <w:marLeft w:val="0"/>
          <w:marRight w:val="0"/>
          <w:marTop w:val="0"/>
          <w:marBottom w:val="0"/>
          <w:divBdr>
            <w:top w:val="none" w:sz="0" w:space="0" w:color="auto"/>
            <w:left w:val="none" w:sz="0" w:space="0" w:color="auto"/>
            <w:bottom w:val="none" w:sz="0" w:space="0" w:color="auto"/>
            <w:right w:val="none" w:sz="0" w:space="0" w:color="auto"/>
          </w:divBdr>
          <w:divsChild>
            <w:div w:id="277952860">
              <w:marLeft w:val="0"/>
              <w:marRight w:val="0"/>
              <w:marTop w:val="0"/>
              <w:marBottom w:val="0"/>
              <w:divBdr>
                <w:top w:val="none" w:sz="0" w:space="0" w:color="auto"/>
                <w:left w:val="none" w:sz="0" w:space="0" w:color="auto"/>
                <w:bottom w:val="none" w:sz="0" w:space="0" w:color="auto"/>
                <w:right w:val="none" w:sz="0" w:space="0" w:color="auto"/>
              </w:divBdr>
              <w:divsChild>
                <w:div w:id="63275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683877">
      <w:bodyDiv w:val="1"/>
      <w:marLeft w:val="0"/>
      <w:marRight w:val="0"/>
      <w:marTop w:val="0"/>
      <w:marBottom w:val="0"/>
      <w:divBdr>
        <w:top w:val="none" w:sz="0" w:space="0" w:color="auto"/>
        <w:left w:val="none" w:sz="0" w:space="0" w:color="auto"/>
        <w:bottom w:val="none" w:sz="0" w:space="0" w:color="auto"/>
        <w:right w:val="none" w:sz="0" w:space="0" w:color="auto"/>
      </w:divBdr>
      <w:divsChild>
        <w:div w:id="536619955">
          <w:marLeft w:val="0"/>
          <w:marRight w:val="0"/>
          <w:marTop w:val="0"/>
          <w:marBottom w:val="0"/>
          <w:divBdr>
            <w:top w:val="none" w:sz="0" w:space="0" w:color="auto"/>
            <w:left w:val="none" w:sz="0" w:space="0" w:color="auto"/>
            <w:bottom w:val="none" w:sz="0" w:space="0" w:color="auto"/>
            <w:right w:val="none" w:sz="0" w:space="0" w:color="auto"/>
          </w:divBdr>
          <w:divsChild>
            <w:div w:id="1604461908">
              <w:marLeft w:val="0"/>
              <w:marRight w:val="0"/>
              <w:marTop w:val="0"/>
              <w:marBottom w:val="0"/>
              <w:divBdr>
                <w:top w:val="none" w:sz="0" w:space="0" w:color="auto"/>
                <w:left w:val="none" w:sz="0" w:space="0" w:color="auto"/>
                <w:bottom w:val="none" w:sz="0" w:space="0" w:color="auto"/>
                <w:right w:val="none" w:sz="0" w:space="0" w:color="auto"/>
              </w:divBdr>
              <w:divsChild>
                <w:div w:id="185067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1685">
      <w:bodyDiv w:val="1"/>
      <w:marLeft w:val="0"/>
      <w:marRight w:val="0"/>
      <w:marTop w:val="0"/>
      <w:marBottom w:val="0"/>
      <w:divBdr>
        <w:top w:val="none" w:sz="0" w:space="0" w:color="auto"/>
        <w:left w:val="none" w:sz="0" w:space="0" w:color="auto"/>
        <w:bottom w:val="none" w:sz="0" w:space="0" w:color="auto"/>
        <w:right w:val="none" w:sz="0" w:space="0" w:color="auto"/>
      </w:divBdr>
      <w:divsChild>
        <w:div w:id="27683941">
          <w:marLeft w:val="0"/>
          <w:marRight w:val="0"/>
          <w:marTop w:val="0"/>
          <w:marBottom w:val="0"/>
          <w:divBdr>
            <w:top w:val="none" w:sz="0" w:space="0" w:color="auto"/>
            <w:left w:val="none" w:sz="0" w:space="0" w:color="auto"/>
            <w:bottom w:val="none" w:sz="0" w:space="0" w:color="auto"/>
            <w:right w:val="none" w:sz="0" w:space="0" w:color="auto"/>
          </w:divBdr>
          <w:divsChild>
            <w:div w:id="1962222771">
              <w:marLeft w:val="0"/>
              <w:marRight w:val="0"/>
              <w:marTop w:val="0"/>
              <w:marBottom w:val="0"/>
              <w:divBdr>
                <w:top w:val="none" w:sz="0" w:space="0" w:color="auto"/>
                <w:left w:val="none" w:sz="0" w:space="0" w:color="auto"/>
                <w:bottom w:val="none" w:sz="0" w:space="0" w:color="auto"/>
                <w:right w:val="none" w:sz="0" w:space="0" w:color="auto"/>
              </w:divBdr>
              <w:divsChild>
                <w:div w:id="165865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AF24A1-C337-284F-8900-AA7EDE470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10</Pages>
  <Words>1670</Words>
  <Characters>9524</Characters>
  <Application>Microsoft Office Word</Application>
  <DocSecurity>0</DocSecurity>
  <Lines>79</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TUM</Company>
  <LinksUpToDate>false</LinksUpToDate>
  <CharactersWithSpaces>11172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Job Boekhoven</dc:creator>
  <cp:keywords/>
  <dc:description/>
  <cp:lastModifiedBy>Poonam Mutha</cp:lastModifiedBy>
  <cp:revision>96</cp:revision>
  <dcterms:created xsi:type="dcterms:W3CDTF">2023-02-21T11:08:00Z</dcterms:created>
  <dcterms:modified xsi:type="dcterms:W3CDTF">2023-04-28T07:57:00Z</dcterms:modified>
</cp:coreProperties>
</file>