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D97E13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 1</w:t>
      </w:r>
    </w:p>
    <w:p w14:paraId="79C68567" w14:textId="5D1224D3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b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 wp14:anchorId="7E329255" wp14:editId="26C48AEB">
            <wp:extent cx="8753475" cy="2743200"/>
            <wp:effectExtent l="0" t="0" r="9525" b="0"/>
            <wp:docPr id="5" name="Picture 5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347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F8ACD7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  <w:lang w:val="en-US"/>
        </w:rPr>
        <w:t>Supplementary Figure 1: (A)</w:t>
      </w:r>
      <w:r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 Alanine (Ala) substitutions on ACE2 activity (horizontal</w:t>
      </w:r>
      <w:r>
        <w:rPr>
          <w:rFonts w:ascii="Times New Roman" w:hAnsi="Times New Roman" w:cs="Times New Roman"/>
          <w:b/>
          <w:i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dashed line indicates ACE2 activity alone; significantly different compared to </w:t>
      </w:r>
      <w:r>
        <w:rPr>
          <w:rFonts w:ascii="Times New Roman" w:hAnsi="Times New Roman" w:cs="Times New Roman"/>
          <w:bCs/>
          <w:iCs/>
          <w:sz w:val="24"/>
          <w:szCs w:val="24"/>
          <w:vertAlign w:val="superscript"/>
          <w:lang w:val="en-US"/>
        </w:rPr>
        <w:t>+</w:t>
      </w:r>
      <w:r>
        <w:rPr>
          <w:rFonts w:ascii="Times New Roman" w:hAnsi="Times New Roman" w:cs="Times New Roman"/>
          <w:bCs/>
          <w:iCs/>
          <w:sz w:val="24"/>
          <w:szCs w:val="24"/>
          <w:lang w:val="en-US"/>
        </w:rPr>
        <w:t>ACE2 +2A</w:t>
      </w:r>
      <w:r>
        <w:rPr>
          <w:rFonts w:ascii="Times New Roman" w:hAnsi="Times New Roman" w:cs="Times New Roman"/>
          <w:b/>
          <w:i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or *ACE2 alone, one-way ANOVA followed by Tukey’s post-hoc test, </w:t>
      </w:r>
      <w:r>
        <w:rPr>
          <w:rFonts w:ascii="Times New Roman" w:hAnsi="Times New Roman" w:cs="Times New Roman"/>
          <w:bCs/>
          <w:i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bCs/>
          <w:iCs/>
          <w:sz w:val="24"/>
          <w:szCs w:val="24"/>
          <w:lang w:val="en-US"/>
        </w:rPr>
        <w:t>&lt;0.05; n=5. (</w:t>
      </w:r>
      <w:r>
        <w:rPr>
          <w:rFonts w:ascii="Times New Roman" w:hAnsi="Times New Roman" w:cs="Times New Roman"/>
          <w:b/>
          <w:iCs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bCs/>
          <w:iCs/>
          <w:sz w:val="24"/>
          <w:szCs w:val="24"/>
          <w:lang w:val="en-US"/>
        </w:rPr>
        <w:t>) Relative amounts of 2A remaining in HEK293 cells, *significantly different compared to</w:t>
      </w:r>
      <w:r>
        <w:rPr>
          <w:rFonts w:ascii="Times New Roman" w:hAnsi="Times New Roman" w:cs="Times New Roman"/>
          <w:b/>
          <w:i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2A with amidation, (n=4-5; </w:t>
      </w:r>
      <w:r>
        <w:rPr>
          <w:rFonts w:ascii="Times New Roman" w:hAnsi="Times New Roman" w:cs="Times New Roman"/>
          <w:bCs/>
          <w:i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=0.01; unpaired </w:t>
      </w:r>
      <w:r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t</w:t>
      </w:r>
      <w:r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-test). Data are mean </w:t>
      </w:r>
      <w:r>
        <w:rPr>
          <w:rFonts w:ascii="Times New Roman" w:hAnsi="Times New Roman" w:cs="Times New Roman"/>
          <w:sz w:val="24"/>
          <w:szCs w:val="24"/>
        </w:rPr>
        <w:t>± SEM. Abbreviations are as for Figure 1.</w:t>
      </w:r>
    </w:p>
    <w:p w14:paraId="120B87A7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5FD973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25EB10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B7C04B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58E446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2</w:t>
      </w:r>
    </w:p>
    <w:p w14:paraId="393A21FA" w14:textId="33ADB31C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noProof/>
        </w:rPr>
        <w:drawing>
          <wp:inline distT="0" distB="0" distL="0" distR="0" wp14:anchorId="7524CB93" wp14:editId="4EE49ED2">
            <wp:extent cx="8067675" cy="45434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67675" cy="454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3657C7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Supplementary Fig 2: (A)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predicted hydrogen bond pairing between 2A/ACE2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(B)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predicted ligand interaction diagram for 2A/ACE2,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(B)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predicted hydrogen bond pairing between scrambled peptide/ACE2 and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(C)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predicted ligand interaction diagram for ACE2/scrambled peptide. </w:t>
      </w:r>
    </w:p>
    <w:p w14:paraId="6DD22C9B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3</w:t>
      </w:r>
    </w:p>
    <w:p w14:paraId="330622CE" w14:textId="2591E8A6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FA2BA9E" wp14:editId="56C02D2D">
            <wp:extent cx="8863330" cy="2456180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455" b="262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245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721347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5A477C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 3: 2A prevented the increase</w:t>
      </w:r>
      <w:r>
        <w:rPr>
          <w:rFonts w:ascii="Times New Roman" w:hAnsi="Times New Roman" w:cs="Times New Roman"/>
          <w:b/>
          <w:sz w:val="24"/>
          <w:szCs w:val="24"/>
        </w:rPr>
        <w:t xml:space="preserve"> in blood glucose levels and loss of body weight </w:t>
      </w:r>
      <w:r>
        <w:rPr>
          <w:rFonts w:ascii="Times New Roman" w:hAnsi="Times New Roman" w:cs="Times New Roman"/>
          <w:b/>
          <w:bCs/>
          <w:sz w:val="24"/>
          <w:szCs w:val="24"/>
        </w:rPr>
        <w:t>in type 1 diabetic mice. (A)</w:t>
      </w:r>
      <w:r>
        <w:rPr>
          <w:rFonts w:ascii="Times New Roman" w:hAnsi="Times New Roman" w:cs="Times New Roman"/>
          <w:sz w:val="24"/>
          <w:szCs w:val="24"/>
        </w:rPr>
        <w:t xml:space="preserve"> Blood glucose levels post-STZ injection in ND-vehicle (</w:t>
      </w:r>
      <w:r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7)</w:t>
      </w:r>
      <w:r>
        <w:rPr>
          <w:rFonts w:ascii="Times New Roman" w:hAnsi="Times New Roman" w:cs="Times New Roman"/>
          <w:i/>
          <w:iCs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ND-2A (</w:t>
      </w:r>
      <w:r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7)</w:t>
      </w:r>
      <w:r>
        <w:rPr>
          <w:rFonts w:ascii="Times New Roman" w:hAnsi="Times New Roman" w:cs="Times New Roman"/>
          <w:i/>
          <w:iCs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STZ-vehicle (</w:t>
      </w:r>
      <w:r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8-15)</w:t>
      </w:r>
      <w:r>
        <w:rPr>
          <w:rFonts w:ascii="Times New Roman" w:hAnsi="Times New Roman" w:cs="Times New Roman"/>
          <w:i/>
          <w:iCs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STZ-2A mice (</w:t>
      </w:r>
      <w:r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14-16),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(B) </w:t>
      </w:r>
      <w:r>
        <w:rPr>
          <w:rFonts w:ascii="Times New Roman" w:hAnsi="Times New Roman" w:cs="Times New Roman"/>
          <w:sz w:val="24"/>
          <w:szCs w:val="24"/>
        </w:rPr>
        <w:t>24-hour urine volume in all cohorts over 3 months treatment period. Vertical dotted line indicates when treatment with 2A or vehicle commenced. Abbreviations: ND: non-diabetic; STZ: streptozotocin.</w:t>
      </w:r>
    </w:p>
    <w:p w14:paraId="5E753ED4" w14:textId="77777777" w:rsidR="00110F50" w:rsidRDefault="00110F50" w:rsidP="00110F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2F842AD" w14:textId="77777777" w:rsidR="00110F50" w:rsidRDefault="00110F50" w:rsidP="00110F5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4</w:t>
      </w:r>
    </w:p>
    <w:p w14:paraId="1922C3C3" w14:textId="391C251C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b/>
          <w:i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40DE0EBF" wp14:editId="3CFFB6FF">
            <wp:extent cx="8863330" cy="445516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CCC4E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4:  2A is more effective in dampening the increase in blood glucose levels </w:t>
      </w:r>
      <w:r>
        <w:rPr>
          <w:rFonts w:ascii="Times New Roman" w:hAnsi="Times New Roman" w:cs="Times New Roman"/>
          <w:b/>
          <w:sz w:val="24"/>
          <w:szCs w:val="24"/>
        </w:rPr>
        <w:t>when baseline blood glucose levels are low.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(A)</w:t>
      </w:r>
      <w:r>
        <w:rPr>
          <w:rFonts w:ascii="Times New Roman" w:hAnsi="Times New Roman" w:cs="Times New Roman"/>
          <w:sz w:val="24"/>
          <w:szCs w:val="24"/>
        </w:rPr>
        <w:t xml:space="preserve"> Urine volume, blood glucose levels and urinary glucose levels between pre-treatment (T0 months; mice have established diabetes but immediately prior to starting 2A treatment) and post-treatment (T3 months; mice received treatment for 3 months) in STZ-2A mice (</w:t>
      </w:r>
      <w:r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6) where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urine volume did not change from T0 to T3. </w:t>
      </w:r>
      <w:r>
        <w:rPr>
          <w:rFonts w:ascii="Times New Roman" w:hAnsi="Times New Roman" w:cs="Times New Roman"/>
          <w:b/>
          <w:bCs/>
          <w:sz w:val="24"/>
          <w:szCs w:val="24"/>
        </w:rPr>
        <w:t>(B)</w:t>
      </w:r>
      <w:r>
        <w:rPr>
          <w:rFonts w:ascii="Times New Roman" w:hAnsi="Times New Roman" w:cs="Times New Roman"/>
          <w:sz w:val="24"/>
          <w:szCs w:val="24"/>
        </w:rPr>
        <w:t xml:space="preserve"> Urine volume, blood glucose levels and urinary glucose levels between pre-treatment (T0 months; mice have established diabetes but immediately prior to starting 2A treatment) and post-treatment (T3 months; mice received treatment for 3 months) in STZ-2A mice (</w:t>
      </w:r>
      <w:r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8) where urine volume did increase from T0 to T3.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Data are mean ± SEM. Individual points indicate different animals.</w:t>
      </w:r>
    </w:p>
    <w:p w14:paraId="16F6BC95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AD575B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FCEC84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0A4F1B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899FC3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C2FDB1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8B40E6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4589FA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CB0E2B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EB5301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DBF681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8C5B9F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A3DBC5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32FBE4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5</w:t>
      </w:r>
    </w:p>
    <w:p w14:paraId="3FF6462D" w14:textId="2BD16610" w:rsidR="00110F50" w:rsidRDefault="00110F50" w:rsidP="00110F50">
      <w:pPr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  <w:r>
        <w:rPr>
          <w:noProof/>
        </w:rPr>
        <w:t xml:space="preserve">                     </w:t>
      </w:r>
      <w:r>
        <w:rPr>
          <w:noProof/>
        </w:rPr>
        <w:drawing>
          <wp:inline distT="0" distB="0" distL="0" distR="0" wp14:anchorId="21E89CF1" wp14:editId="50A02C54">
            <wp:extent cx="7362825" cy="33242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88" b="137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2825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EF8FF" w14:textId="77777777" w:rsidR="00110F50" w:rsidRDefault="00110F50" w:rsidP="00110F50">
      <w:pPr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</w:p>
    <w:p w14:paraId="1BD347E0" w14:textId="77777777" w:rsidR="00110F50" w:rsidRDefault="00110F50" w:rsidP="00110F50">
      <w:pPr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 5: Weekly body weight and blood glucose of mice that were culled before study end.</w:t>
      </w:r>
    </w:p>
    <w:p w14:paraId="13790BCF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>
        <w:rPr>
          <w:rFonts w:ascii="Times New Roman" w:hAnsi="Times New Roman" w:cs="Times New Roman"/>
          <w:sz w:val="24"/>
          <w:szCs w:val="24"/>
        </w:rPr>
        <w:t>Body weight over the 3 months treatment period. Number of animals in each group at the start of the experiment are as follows: ND-vehicle (</w:t>
      </w:r>
      <w:r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7), ND-2A (</w:t>
      </w:r>
      <w:r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7), STZ-vehicle (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n </w:t>
      </w:r>
      <w:r>
        <w:rPr>
          <w:rFonts w:ascii="Times New Roman" w:hAnsi="Times New Roman" w:cs="Times New Roman"/>
          <w:sz w:val="24"/>
          <w:szCs w:val="24"/>
        </w:rPr>
        <w:t>= 15), and STZ-2A (</w:t>
      </w:r>
      <w:r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16). All the non-diabetic mice survived until study end. Arrows indicate when mice were culled due to excess loss of body weight. Vertica dotted line indicates when  treatment with 2A or vehicle commenced </w:t>
      </w:r>
      <w:r>
        <w:rPr>
          <w:rFonts w:ascii="Times New Roman" w:hAnsi="Times New Roman" w:cs="Times New Roman"/>
          <w:b/>
          <w:bCs/>
          <w:sz w:val="24"/>
          <w:szCs w:val="24"/>
        </w:rPr>
        <w:t>(B)</w:t>
      </w:r>
      <w:r>
        <w:rPr>
          <w:rFonts w:ascii="Times New Roman" w:hAnsi="Times New Roman" w:cs="Times New Roman"/>
          <w:sz w:val="24"/>
          <w:szCs w:val="24"/>
        </w:rPr>
        <w:t xml:space="preserve"> Endpoint blood glucose levels of mice that were euthanised prior to study end. Data are mean ± SEM. Abbreviations: ND: non-diabetic; STZ: streptozotocin. </w:t>
      </w:r>
    </w:p>
    <w:p w14:paraId="25C6B6DA" w14:textId="77777777" w:rsidR="00110F50" w:rsidRDefault="00110F50" w:rsidP="00110F5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3619AF1" w14:textId="77777777" w:rsidR="00110F50" w:rsidRDefault="00110F50" w:rsidP="00110F50">
      <w:pPr>
        <w:spacing w:after="0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sectPr w:rsidR="00110F50">
          <w:pgSz w:w="16838" w:h="11906" w:orient="landscape"/>
          <w:pgMar w:top="1440" w:right="1440" w:bottom="1440" w:left="1440" w:header="708" w:footer="708" w:gutter="0"/>
          <w:cols w:space="720"/>
        </w:sectPr>
      </w:pPr>
    </w:p>
    <w:p w14:paraId="6281EFE8" w14:textId="77777777" w:rsidR="00110F50" w:rsidRDefault="00110F50" w:rsidP="00110F50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en-AU"/>
        </w:rPr>
      </w:pPr>
      <w:bookmarkStart w:id="0" w:name="m_-4064172007367909483__Ref87365114"/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en-AU"/>
        </w:rPr>
        <w:lastRenderedPageBreak/>
        <w:t>Supplementary Table</w:t>
      </w:r>
      <w:bookmarkEnd w:id="0"/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en-AU"/>
        </w:rPr>
        <w:t xml:space="preserve"> 1: Body weight and organ weights of mice at 12 weeks post-treatment</w:t>
      </w:r>
    </w:p>
    <w:p w14:paraId="2DDD87C0" w14:textId="77777777" w:rsidR="00110F50" w:rsidRDefault="00110F50" w:rsidP="00110F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en-AU"/>
        </w:rPr>
      </w:pPr>
    </w:p>
    <w:p w14:paraId="26AD9CE1" w14:textId="77777777" w:rsidR="00110F50" w:rsidRDefault="00110F50" w:rsidP="00110F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en-AU"/>
        </w:rPr>
      </w:pPr>
    </w:p>
    <w:p w14:paraId="6D682C31" w14:textId="77777777" w:rsidR="00110F50" w:rsidRDefault="00110F50" w:rsidP="00110F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AU"/>
        </w:rPr>
      </w:pP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42"/>
        <w:gridCol w:w="1562"/>
        <w:gridCol w:w="1719"/>
        <w:gridCol w:w="1719"/>
        <w:gridCol w:w="1718"/>
      </w:tblGrid>
      <w:tr w:rsidR="00110F50" w14:paraId="1175FE7F" w14:textId="77777777" w:rsidTr="00110F50">
        <w:tc>
          <w:tcPr>
            <w:tcW w:w="141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744671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val="en-US" w:eastAsia="en-AU"/>
              </w:rPr>
              <w:t> </w:t>
            </w:r>
          </w:p>
        </w:tc>
        <w:tc>
          <w:tcPr>
            <w:tcW w:w="83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BF3399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AU"/>
              </w:rPr>
              <w:t>ND-vehicle</w:t>
            </w:r>
          </w:p>
          <w:p w14:paraId="1D2B2031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A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en-AU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AU"/>
              </w:rPr>
              <w:t> = 7)</w:t>
            </w:r>
          </w:p>
        </w:tc>
        <w:tc>
          <w:tcPr>
            <w:tcW w:w="91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7EC6B4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AU"/>
              </w:rPr>
              <w:t>ND-2A</w:t>
            </w:r>
          </w:p>
          <w:p w14:paraId="0C99A523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A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en-AU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AU"/>
              </w:rPr>
              <w:t> = 7)</w:t>
            </w:r>
          </w:p>
        </w:tc>
        <w:tc>
          <w:tcPr>
            <w:tcW w:w="91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60D699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AU"/>
              </w:rPr>
              <w:t>STZ-vehicle</w:t>
            </w:r>
          </w:p>
          <w:p w14:paraId="0715B634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A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en-AU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AU"/>
              </w:rPr>
              <w:t> = 8)</w:t>
            </w:r>
          </w:p>
        </w:tc>
        <w:tc>
          <w:tcPr>
            <w:tcW w:w="91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FB9DDD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AU"/>
              </w:rPr>
              <w:t>STZ-2A</w:t>
            </w:r>
          </w:p>
          <w:p w14:paraId="5DE4113B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A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en-AU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AU"/>
              </w:rPr>
              <w:t> = 14)</w:t>
            </w:r>
          </w:p>
        </w:tc>
      </w:tr>
      <w:tr w:rsidR="00110F50" w14:paraId="15BA19BF" w14:textId="77777777" w:rsidTr="00110F50">
        <w:tc>
          <w:tcPr>
            <w:tcW w:w="1411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B0FD7D" w14:textId="77777777" w:rsidR="00110F50" w:rsidRDefault="00110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Body weight (g)</w:t>
            </w:r>
          </w:p>
        </w:tc>
        <w:tc>
          <w:tcPr>
            <w:tcW w:w="834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F99CD1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31 ± 0.60</w:t>
            </w:r>
          </w:p>
        </w:tc>
        <w:tc>
          <w:tcPr>
            <w:tcW w:w="918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01FA3B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32 ± 0.90</w:t>
            </w:r>
          </w:p>
        </w:tc>
        <w:tc>
          <w:tcPr>
            <w:tcW w:w="918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E99075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28 ± 0.90</w:t>
            </w:r>
          </w:p>
        </w:tc>
        <w:tc>
          <w:tcPr>
            <w:tcW w:w="91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57CF56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28 ± 10</w:t>
            </w:r>
          </w:p>
        </w:tc>
      </w:tr>
      <w:tr w:rsidR="00110F50" w14:paraId="6E6D2314" w14:textId="77777777" w:rsidTr="00110F50">
        <w:tc>
          <w:tcPr>
            <w:tcW w:w="1411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7A5F79" w14:textId="77777777" w:rsidR="00110F50" w:rsidRDefault="00110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Right kidney weight (g)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AD6971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0.22 ± 0.01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B2EEA3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0.23 ± 0.01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79D436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0.26 ± 0.01</w:t>
            </w:r>
          </w:p>
        </w:tc>
        <w:tc>
          <w:tcPr>
            <w:tcW w:w="91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CECBCC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0.26 ± 0.01</w:t>
            </w:r>
          </w:p>
        </w:tc>
      </w:tr>
      <w:tr w:rsidR="00110F50" w14:paraId="2A0B0155" w14:textId="77777777" w:rsidTr="00110F50">
        <w:tc>
          <w:tcPr>
            <w:tcW w:w="1411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E7AB87" w14:textId="77777777" w:rsidR="00110F50" w:rsidRDefault="00110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Left kidney weight (g)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AC3E39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0.21 ± 0.01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BE501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0.21 ± 0.01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ED181B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0.24 ± 0.02</w:t>
            </w:r>
          </w:p>
        </w:tc>
        <w:tc>
          <w:tcPr>
            <w:tcW w:w="91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C274E2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0.25 ± 0.01</w:t>
            </w:r>
          </w:p>
        </w:tc>
      </w:tr>
      <w:tr w:rsidR="00110F50" w14:paraId="11AEDC4B" w14:textId="77777777" w:rsidTr="00110F50">
        <w:tc>
          <w:tcPr>
            <w:tcW w:w="1411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3EDDB1" w14:textId="77777777" w:rsidR="00110F50" w:rsidRDefault="00110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Heart weight (g)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CB918A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0.22 ± 0.01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9B247E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0.21 ± 0.01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D3B995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0.20 ± 0.01</w:t>
            </w:r>
          </w:p>
        </w:tc>
        <w:tc>
          <w:tcPr>
            <w:tcW w:w="91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8371BB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0.21 ± 0.01</w:t>
            </w:r>
          </w:p>
        </w:tc>
      </w:tr>
      <w:tr w:rsidR="00110F50" w14:paraId="0E9E35CF" w14:textId="77777777" w:rsidTr="00110F50">
        <w:tc>
          <w:tcPr>
            <w:tcW w:w="14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45D60D" w14:textId="77777777" w:rsidR="00110F50" w:rsidRDefault="00110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Liver weight (g)</w:t>
            </w:r>
          </w:p>
        </w:tc>
        <w:tc>
          <w:tcPr>
            <w:tcW w:w="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31A264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1.40 ± 0.09</w:t>
            </w:r>
          </w:p>
        </w:tc>
        <w:tc>
          <w:tcPr>
            <w:tcW w:w="91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2F9EEE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1.50 ± 0.09</w:t>
            </w:r>
          </w:p>
        </w:tc>
        <w:tc>
          <w:tcPr>
            <w:tcW w:w="91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F1110A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1.80 ± 0.09*</w:t>
            </w:r>
          </w:p>
        </w:tc>
        <w:tc>
          <w:tcPr>
            <w:tcW w:w="9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277AC9" w14:textId="77777777" w:rsidR="00110F50" w:rsidRDefault="00110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en-AU"/>
              </w:rPr>
              <w:t>1.60 ± 0.06</w:t>
            </w:r>
          </w:p>
        </w:tc>
      </w:tr>
    </w:tbl>
    <w:p w14:paraId="6682EFEF" w14:textId="77777777" w:rsidR="00110F50" w:rsidRDefault="00110F50" w:rsidP="00110F5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AU"/>
        </w:rPr>
      </w:pPr>
      <w:r>
        <w:rPr>
          <w:rFonts w:ascii="Calibri" w:eastAsia="Times New Roman" w:hAnsi="Calibri" w:cs="Calibri"/>
          <w:color w:val="222222"/>
          <w:sz w:val="24"/>
          <w:szCs w:val="24"/>
          <w:lang w:eastAsia="en-AU"/>
        </w:rPr>
        <w:t> </w:t>
      </w:r>
    </w:p>
    <w:p w14:paraId="483B8455" w14:textId="77777777" w:rsidR="00110F50" w:rsidRDefault="00110F50" w:rsidP="00110F50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en-A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en-AU"/>
        </w:rPr>
        <w:t>*</w:t>
      </w: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en-US" w:eastAsia="en-AU"/>
        </w:rPr>
        <w:t>P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en-AU"/>
        </w:rPr>
        <w:t> &lt; 0.05 compared to ND-vehicle; one-way ANOVA followed by Tukey’s post-hoc test. Data are mean ± SEM. Abbreviations: ND: non-diabetic, STZ: streptozotocin.</w:t>
      </w:r>
    </w:p>
    <w:p w14:paraId="00AD1D32" w14:textId="77777777" w:rsidR="001760E5" w:rsidRDefault="00110F50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F50"/>
    <w:rsid w:val="00110F50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A0BF1"/>
  <w15:chartTrackingRefBased/>
  <w15:docId w15:val="{7112B09C-EE94-44FF-A8B5-49E57669D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0F50"/>
    <w:pPr>
      <w:spacing w:line="256" w:lineRule="auto"/>
    </w:pPr>
    <w:rPr>
      <w:rFonts w:eastAsia="MS Mincho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9039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526</Words>
  <Characters>3003</Characters>
  <Application>Microsoft Office Word</Application>
  <DocSecurity>0</DocSecurity>
  <Lines>25</Lines>
  <Paragraphs>7</Paragraphs>
  <ScaleCrop>false</ScaleCrop>
  <Company>Springer Nature</Company>
  <LinksUpToDate>false</LinksUpToDate>
  <CharactersWithSpaces>3522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2023-04-05T07:49:00Z</dcterms:created>
  <dcterms:modified xsi:type="dcterms:W3CDTF">2023-04-05T07:49:00Z</dcterms:modified>
</cp:coreProperties>
</file>