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Table1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The 59 </w:t>
      </w:r>
      <w:r>
        <w:rPr>
          <w:rFonts w:ascii="Times New Roman" w:hAnsi="Times New Roman" w:eastAsia="等线" w:cs="Times New Roman"/>
          <w:sz w:val="24"/>
        </w:rPr>
        <w:t>differentially expressed proteins between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>DVT and HEAL.</w:t>
      </w:r>
    </w:p>
    <w:tbl>
      <w:tblPr>
        <w:tblStyle w:val="2"/>
        <w:tblpPr w:leftFromText="180" w:rightFromText="180" w:vertAnchor="text" w:horzAnchor="page" w:tblpXSpec="center" w:tblpY="625"/>
        <w:tblOverlap w:val="never"/>
        <w:tblW w:w="100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256"/>
        <w:gridCol w:w="1466"/>
        <w:gridCol w:w="866"/>
        <w:gridCol w:w="996"/>
        <w:gridCol w:w="1209"/>
        <w:gridCol w:w="1338"/>
        <w:gridCol w:w="13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5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proteinID</w:t>
            </w:r>
          </w:p>
        </w:tc>
        <w:tc>
          <w:tcPr>
            <w:tcW w:w="125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AveExp.DVT</w:t>
            </w:r>
          </w:p>
        </w:tc>
        <w:tc>
          <w:tcPr>
            <w:tcW w:w="146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AveExp.HEAL</w:t>
            </w:r>
          </w:p>
        </w:tc>
        <w:tc>
          <w:tcPr>
            <w:tcW w:w="86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logFC</w:t>
            </w:r>
          </w:p>
        </w:tc>
        <w:tc>
          <w:tcPr>
            <w:tcW w:w="99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P.Value</w:t>
            </w:r>
          </w:p>
        </w:tc>
        <w:tc>
          <w:tcPr>
            <w:tcW w:w="120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adj.P.Val</w:t>
            </w:r>
          </w:p>
        </w:tc>
        <w:tc>
          <w:tcPr>
            <w:tcW w:w="133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foldchange</w:t>
            </w:r>
          </w:p>
        </w:tc>
        <w:tc>
          <w:tcPr>
            <w:tcW w:w="133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Regulation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547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CHI3L1</w:t>
            </w:r>
          </w:p>
        </w:tc>
        <w:tc>
          <w:tcPr>
            <w:tcW w:w="1256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16.40</w:t>
            </w:r>
          </w:p>
        </w:tc>
        <w:tc>
          <w:tcPr>
            <w:tcW w:w="1466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15.11</w:t>
            </w:r>
          </w:p>
        </w:tc>
        <w:tc>
          <w:tcPr>
            <w:tcW w:w="866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1.28</w:t>
            </w:r>
          </w:p>
        </w:tc>
        <w:tc>
          <w:tcPr>
            <w:tcW w:w="996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2.43</w:t>
            </w:r>
          </w:p>
        </w:tc>
        <w:tc>
          <w:tcPr>
            <w:tcW w:w="1337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PDGF Rb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11.20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12.42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-1.22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0.43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LAP(TGFb1)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12.64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14.98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-2.34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0.20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Dkk-4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9.73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8.83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0.90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1.87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Epo R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8.89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7.78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1.11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2.16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Gas 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10.71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9.17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1.55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2.92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IGFBP-5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12.20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11.51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0.69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1.61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IL-5 Ra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10.36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9.12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1.25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2.37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Layilin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10.01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8.89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1.13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2.18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Notch-1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11.85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13.30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-1.44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0.37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FGF-6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10.28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8.37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1.90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3.74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PSMA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9.71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8.63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1.08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2.12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EDA-A2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9.00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7.63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1.36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2.57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IL-17C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7.89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6.86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1.03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2.05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FGF-9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10.09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9.04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1.05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2.07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Galectin-3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14.98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14.35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0.63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1.55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TWEAK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9.71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8.53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1.18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2.27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BMPR-II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13.77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12.67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1.10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2.15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ULBP-2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12.11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10.70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1.41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2.67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IL-1 F9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10.14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8.62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1.52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2.87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Tie-1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11.74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8.98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2.76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6.76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IL-10 Ra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10.00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8.34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1.66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3.16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uPAR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13.48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12.35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1.13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2.19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Cathepsin S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14.44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15.03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-0.59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0.66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IL-2 Ra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10.04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11.06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-1.02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0.49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SIGIRR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10.77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9.90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0.87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1.83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RGM-B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13.21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12.22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0.99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1.99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CTLA4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11.99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10.88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1.11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2.16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IL-1 F7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11.51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10.54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0.97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1.96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ANGPTL3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13.30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12.33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0.98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1.97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MMP-2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9.49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8.67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0.82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1.76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IL-1 F6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10.92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9.62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1.29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2.45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Leptin R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9.39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8.52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0.87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1.83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PAI-1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14.13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14.72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-0.59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0.66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IL-34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10.01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8.45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1.56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2.94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ANGPTL4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16.04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15.22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0.82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1.76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Prostasin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11.82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10.87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0.94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1.92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B7-H1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13.87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13.02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0.85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1.80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CD27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13.57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12.65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0.92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1.90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GASP-1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10.47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12.07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-1.60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0.33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IL-1 RI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10.41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9.65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0.76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1.69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TNF RI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15.83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15.24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0.59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1.50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DNAM-1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13.74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13.02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0.71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1.64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IL-17E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13.10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12.08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2.03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IL-1 F10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12.59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11.63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0.96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1.95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PECAM-1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11.51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12.65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-1.14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0.45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CA9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11.39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10.66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0.73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1.66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bIG-H3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15.53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14.74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0.79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1.73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CXCL14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15.65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16.02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-0.37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0.77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CD6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14.03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13.19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0.85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1.80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TIMP-1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16.23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15.86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0.38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0.03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1.30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MMP-7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13.61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12.65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0.96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0.03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1.94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TNF RII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16.37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15.94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0.44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0.03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1.35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IFNab R2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10.22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9.12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1.10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0.03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2.14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IL-1 RII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13.82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12.60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1.22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0.04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2.33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S100A8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13.24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12.35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0.89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0.05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1.85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Thrombospondin-2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12.29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8.77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3.52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0.05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11.43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Follistatin-like 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13.81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12.60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1.21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0.05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2.31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547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IGF-2R</w:t>
            </w:r>
          </w:p>
        </w:tc>
        <w:tc>
          <w:tcPr>
            <w:tcW w:w="1256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10.55</w:t>
            </w:r>
          </w:p>
        </w:tc>
        <w:tc>
          <w:tcPr>
            <w:tcW w:w="1466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9.86</w:t>
            </w:r>
          </w:p>
        </w:tc>
        <w:tc>
          <w:tcPr>
            <w:tcW w:w="866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0.69</w:t>
            </w:r>
          </w:p>
        </w:tc>
        <w:tc>
          <w:tcPr>
            <w:tcW w:w="996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209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0.05</w:t>
            </w:r>
          </w:p>
        </w:tc>
        <w:tc>
          <w:tcPr>
            <w:tcW w:w="133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1.62</w:t>
            </w:r>
          </w:p>
        </w:tc>
        <w:tc>
          <w:tcPr>
            <w:tcW w:w="1337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</w:p>
    <w:p>
      <w:pPr>
        <w:spacing w:line="480" w:lineRule="auto"/>
        <w:contextualSpacing/>
        <w:jc w:val="left"/>
        <w:rPr>
          <w:rFonts w:hint="eastAsia" w:ascii="Times New Roman" w:hAnsi="Times New Roman" w:eastAsia="等线" w:cs="Times New Roman"/>
          <w:sz w:val="24"/>
          <w:szCs w:val="24"/>
          <w:shd w:val="clear" w:color="auto" w:fill="FFFFFF"/>
          <w:lang w:val="en-US" w:eastAsia="zh-CN"/>
        </w:rPr>
      </w:pPr>
      <w:r>
        <w:rPr>
          <w:rFonts w:ascii="Times New Roman" w:hAnsi="Times New Roman" w:eastAsia="等线" w:cs="Times New Roman"/>
          <w:sz w:val="24"/>
          <w:szCs w:val="24"/>
          <w:shd w:val="clear" w:color="auto" w:fill="FFFFFF"/>
        </w:rPr>
        <w:t xml:space="preserve">Differentially expressed proteins </w:t>
      </w:r>
      <w:r>
        <w:rPr>
          <w:rFonts w:ascii="Times New Roman" w:hAnsi="Times New Roman" w:eastAsia="等线" w:cs="Times New Roman"/>
          <w:sz w:val="24"/>
          <w:szCs w:val="24"/>
        </w:rPr>
        <w:t>were</w:t>
      </w:r>
      <w:r>
        <w:rPr>
          <w:rFonts w:ascii="Times New Roman" w:hAnsi="Times New Roman" w:eastAsia="等线" w:cs="Times New Roman"/>
          <w:sz w:val="24"/>
          <w:szCs w:val="24"/>
          <w:shd w:val="clear" w:color="auto" w:fill="FFFFFF"/>
        </w:rPr>
        <w:t xml:space="preserve"> defined as those with adjusted p value</w:t>
      </w:r>
      <w:r>
        <w:rPr>
          <w:rFonts w:ascii="Times New Roman" w:hAnsi="Times New Roman" w:eastAsia="等线" w:cs="Times New Roman"/>
          <w:sz w:val="24"/>
          <w:szCs w:val="24"/>
        </w:rPr>
        <w:t xml:space="preserve">s </w:t>
      </w:r>
      <w:r>
        <w:rPr>
          <w:rFonts w:ascii="Times New Roman" w:hAnsi="Times New Roman" w:eastAsia="等线" w:cs="Times New Roman"/>
          <w:sz w:val="24"/>
          <w:szCs w:val="24"/>
          <w:shd w:val="clear" w:color="auto" w:fill="FFFFFF"/>
        </w:rPr>
        <w:t>(adj.</w:t>
      </w:r>
      <w:r>
        <w:rPr>
          <w:rFonts w:ascii="Times New Roman" w:hAnsi="Times New Roman" w:eastAsia="等线" w:cs="Times New Roman"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  <w:shd w:val="clear" w:color="auto" w:fill="FFFFFF"/>
        </w:rPr>
        <w:t>Val) less than 0.05</w:t>
      </w:r>
      <w:r>
        <w:rPr>
          <w:rFonts w:ascii="Times New Roman" w:hAnsi="Times New Roman" w:eastAsia="等线" w:cs="Times New Roman"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  <w:shd w:val="clear" w:color="auto" w:fill="FFFFFF"/>
        </w:rPr>
        <w:t xml:space="preserve">and </w:t>
      </w:r>
      <w:r>
        <w:rPr>
          <w:rFonts w:ascii="Times New Roman" w:hAnsi="Times New Roman" w:eastAsia="等线" w:cs="Times New Roman"/>
          <w:sz w:val="24"/>
          <w:szCs w:val="24"/>
        </w:rPr>
        <w:t>fold change</w:t>
      </w:r>
      <w:r>
        <w:rPr>
          <w:rFonts w:ascii="Times New Roman" w:hAnsi="Times New Roman" w:eastAsia="等线" w:cs="Times New Roman"/>
          <w:sz w:val="24"/>
          <w:szCs w:val="24"/>
          <w:shd w:val="clear" w:color="auto" w:fill="FFFFFF"/>
        </w:rPr>
        <w:t xml:space="preserve"> more than 1.2 or less than 0.83</w:t>
      </w:r>
      <w:r>
        <w:rPr>
          <w:rFonts w:ascii="Times New Roman" w:hAnsi="Times New Roman" w:eastAsia="等线" w:cs="Times New Roman"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  <w:shd w:val="clear" w:color="auto" w:fill="FFFFFF"/>
        </w:rPr>
        <w:t>(absolute log fc&gt;0.263).</w:t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</w:rPr>
        <w:t>upple</w:t>
      </w:r>
      <w:r>
        <w:rPr>
          <w:rFonts w:ascii="Times New Roman" w:hAnsi="Times New Roman" w:cs="Times New Roman"/>
          <w:b/>
          <w:bCs/>
          <w:sz w:val="24"/>
        </w:rPr>
        <w:t>mentary Table2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The 2 </w:t>
      </w:r>
      <w:r>
        <w:rPr>
          <w:rFonts w:ascii="Times New Roman" w:hAnsi="Times New Roman" w:eastAsia="等线" w:cs="Times New Roman"/>
          <w:sz w:val="24"/>
        </w:rPr>
        <w:t>differentially expressed proteins between</w:t>
      </w:r>
      <w:r>
        <w:rPr>
          <w:rFonts w:ascii="Times New Roman" w:hAnsi="Times New Roman" w:cs="Times New Roman"/>
          <w:sz w:val="24"/>
        </w:rPr>
        <w:t xml:space="preserve"> HEAL and NDVT.</w:t>
      </w:r>
    </w:p>
    <w:tbl>
      <w:tblPr>
        <w:tblStyle w:val="2"/>
        <w:tblpPr w:leftFromText="180" w:rightFromText="180" w:vertAnchor="text" w:horzAnchor="page" w:tblpX="827" w:tblpY="299"/>
        <w:tblOverlap w:val="never"/>
        <w:tblW w:w="1037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703"/>
        <w:gridCol w:w="1730"/>
        <w:gridCol w:w="1090"/>
        <w:gridCol w:w="1090"/>
        <w:gridCol w:w="1218"/>
        <w:gridCol w:w="1329"/>
        <w:gridCol w:w="132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proteinID</w:t>
            </w:r>
          </w:p>
        </w:tc>
        <w:tc>
          <w:tcPr>
            <w:tcW w:w="144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AveExp.HEAL</w:t>
            </w:r>
          </w:p>
        </w:tc>
        <w:tc>
          <w:tcPr>
            <w:tcW w:w="144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AveExp.NDVT</w:t>
            </w:r>
          </w:p>
        </w:tc>
        <w:tc>
          <w:tcPr>
            <w:tcW w:w="109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logFC</w:t>
            </w:r>
          </w:p>
        </w:tc>
        <w:tc>
          <w:tcPr>
            <w:tcW w:w="109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P.Value</w:t>
            </w:r>
          </w:p>
        </w:tc>
        <w:tc>
          <w:tcPr>
            <w:tcW w:w="121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adj.P.Val</w:t>
            </w:r>
          </w:p>
        </w:tc>
        <w:tc>
          <w:tcPr>
            <w:tcW w:w="1329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foldchange</w:t>
            </w:r>
          </w:p>
        </w:tc>
        <w:tc>
          <w:tcPr>
            <w:tcW w:w="1329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Regulation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uPAR</w:t>
            </w:r>
          </w:p>
        </w:tc>
        <w:tc>
          <w:tcPr>
            <w:tcW w:w="144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12.35</w:t>
            </w:r>
          </w:p>
        </w:tc>
        <w:tc>
          <w:tcPr>
            <w:tcW w:w="144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13.55</w:t>
            </w:r>
          </w:p>
        </w:tc>
        <w:tc>
          <w:tcPr>
            <w:tcW w:w="109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-1.20</w:t>
            </w:r>
          </w:p>
        </w:tc>
        <w:tc>
          <w:tcPr>
            <w:tcW w:w="109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18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29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0.43</w:t>
            </w:r>
          </w:p>
        </w:tc>
        <w:tc>
          <w:tcPr>
            <w:tcW w:w="1329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Cadherin-13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13.85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11.32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2.53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5.79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327015" cy="3735070"/>
            <wp:effectExtent l="0" t="0" r="6985" b="13970"/>
            <wp:docPr id="3" name="图片 3" descr="P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C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7015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00" w:firstLineChars="1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Figure 1A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276850" cy="3662680"/>
            <wp:effectExtent l="0" t="0" r="11430" b="10160"/>
            <wp:docPr id="1" name="图片 1" descr="P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C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40" w:firstLineChars="1100"/>
        <w:rPr>
          <w:rFonts w:ascii="Times New Roman" w:hAnsi="Times New Roman" w:cs="Times New Roman"/>
          <w:sz w:val="24"/>
        </w:rPr>
      </w:pPr>
      <w:bookmarkStart w:id="0" w:name="OLE_LINK1"/>
      <w:r>
        <w:rPr>
          <w:rFonts w:ascii="Times New Roman" w:hAnsi="Times New Roman" w:cs="Times New Roman"/>
          <w:sz w:val="24"/>
        </w:rPr>
        <w:t>Supplementary Figure 2A</w:t>
      </w:r>
    </w:p>
    <w:bookmarkEnd w:id="0"/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eastAsia="等线"/>
          <w:b/>
          <w:bCs/>
          <w:sz w:val="24"/>
          <w:szCs w:val="24"/>
          <w:lang w:val="en-US" w:eastAsia="zh-CN"/>
        </w:rPr>
        <w:t>Supplementary Figure 1A and 2A.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等线"/>
          <w:sz w:val="24"/>
          <w:szCs w:val="24"/>
        </w:rPr>
        <w:t xml:space="preserve">Principal component analysis 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>were used to analysed between</w:t>
      </w:r>
      <w:r>
        <w:rPr>
          <w:rFonts w:ascii="Times New Roman" w:hAnsi="Times New Roman" w:eastAsia="等线"/>
          <w:sz w:val="24"/>
          <w:szCs w:val="24"/>
        </w:rPr>
        <w:t xml:space="preserve"> DVT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 xml:space="preserve">, NDVT </w:t>
      </w:r>
      <w:r>
        <w:rPr>
          <w:rFonts w:ascii="Times New Roman" w:hAnsi="Times New Roman" w:eastAsia="等线"/>
          <w:sz w:val="24"/>
          <w:szCs w:val="24"/>
        </w:rPr>
        <w:t xml:space="preserve">and 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>Health control</w:t>
      </w:r>
      <w:r>
        <w:rPr>
          <w:rFonts w:ascii="Times New Roman" w:hAnsi="Times New Roman" w:eastAsia="等线"/>
          <w:sz w:val="24"/>
          <w:szCs w:val="24"/>
        </w:rPr>
        <w:t xml:space="preserve"> groups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 xml:space="preserve"> in supplementary figure1 and supplementary figure2, the results can significantly discriminate the difference groups 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272405" cy="3625850"/>
            <wp:effectExtent l="0" t="0" r="635" b="1270"/>
            <wp:docPr id="2" name="图片 2" descr="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eatmap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0" w:firstLineChars="15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Figure 1B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42865" cy="3951605"/>
            <wp:effectExtent l="0" t="0" r="8255" b="10795"/>
            <wp:docPr id="5" name="图片 5" descr="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eatmap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2865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680" w:firstLineChars="7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Supplementary Figure 2B</w:t>
      </w: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eastAsia="等线"/>
          <w:b/>
          <w:bCs/>
          <w:sz w:val="24"/>
          <w:szCs w:val="24"/>
          <w:lang w:val="en-US" w:eastAsia="zh-CN"/>
        </w:rPr>
        <w:t xml:space="preserve">Supplementary Figure 2A and 2B. </w:t>
      </w:r>
      <w:r>
        <w:rPr>
          <w:rFonts w:ascii="Times New Roman" w:hAnsi="Times New Roman" w:eastAsia="等线"/>
          <w:sz w:val="24"/>
          <w:szCs w:val="24"/>
        </w:rPr>
        <w:t>Hierarchical clustering heatmap of proteins in the DVT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 xml:space="preserve">, NDVT </w:t>
      </w:r>
      <w:r>
        <w:rPr>
          <w:rFonts w:ascii="Times New Roman" w:hAnsi="Times New Roman" w:eastAsia="等线"/>
          <w:sz w:val="24"/>
          <w:szCs w:val="24"/>
        </w:rPr>
        <w:t>and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 xml:space="preserve"> control</w:t>
      </w:r>
      <w:r>
        <w:rPr>
          <w:rFonts w:ascii="Times New Roman" w:hAnsi="Times New Roman" w:eastAsia="等线"/>
          <w:sz w:val="24"/>
          <w:szCs w:val="24"/>
        </w:rPr>
        <w:t xml:space="preserve"> groups. The levels of proteins are depicted as colors ranging from blue to white to red, representing low, intermediate, and high concentrations, respectively, according to the mean value for each protein.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3ZGFlYTkzODcxNDkzMWZiOTkwZjdmM2JiN2E2M2MifQ=="/>
  </w:docVars>
  <w:rsids>
    <w:rsidRoot w:val="009210B9"/>
    <w:rsid w:val="00107E66"/>
    <w:rsid w:val="00161EAF"/>
    <w:rsid w:val="003878DD"/>
    <w:rsid w:val="00562F8B"/>
    <w:rsid w:val="007F0C36"/>
    <w:rsid w:val="009210B9"/>
    <w:rsid w:val="00A867E7"/>
    <w:rsid w:val="00B2366E"/>
    <w:rsid w:val="00D76F87"/>
    <w:rsid w:val="00F63433"/>
    <w:rsid w:val="060F265C"/>
    <w:rsid w:val="06FE6806"/>
    <w:rsid w:val="073460A9"/>
    <w:rsid w:val="27197CEC"/>
    <w:rsid w:val="38797524"/>
    <w:rsid w:val="39C1344B"/>
    <w:rsid w:val="3FB55326"/>
    <w:rsid w:val="4A2F038B"/>
    <w:rsid w:val="7EED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619</Words>
  <Characters>2832</Characters>
  <Lines>22</Lines>
  <Paragraphs>6</Paragraphs>
  <TotalTime>0</TotalTime>
  <ScaleCrop>false</ScaleCrop>
  <LinksUpToDate>false</LinksUpToDate>
  <CharactersWithSpaces>2957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2022-09-30T07:07:00Z</dcterms:created>
  <dc:creator>DELL</dc:creator>
  <cp:lastModifiedBy>小放</cp:lastModifiedBy>
  <dcterms:modified xsi:type="dcterms:W3CDTF">2023-03-17T15:41:33Z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02BB9E89DBDA4456B0E00D632B948514</vt:lpwstr>
  </property>
</Properties>
</file>