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FAA66" w14:textId="1886D727" w:rsidR="00C31DB7" w:rsidRPr="0049408F" w:rsidRDefault="00000000" w:rsidP="00E74833">
      <w:pPr>
        <w:rPr>
          <w:rFonts w:ascii="Times New Roman" w:hAnsi="Times New Roman" w:cs="Times New Roman"/>
          <w:sz w:val="24"/>
        </w:rPr>
      </w:pPr>
      <w:r w:rsidRPr="0049408F">
        <w:rPr>
          <w:rFonts w:ascii="Times New Roman" w:hAnsi="Times New Roman" w:cs="Times New Roman"/>
          <w:sz w:val="24"/>
        </w:rPr>
        <w:t>Supplementary Information</w:t>
      </w:r>
    </w:p>
    <w:p w14:paraId="07F8BF99" w14:textId="6CDB0E8C" w:rsidR="00E74833" w:rsidRPr="0049408F" w:rsidRDefault="00E74833" w:rsidP="00E74833">
      <w:pPr>
        <w:rPr>
          <w:rFonts w:ascii="Times New Roman" w:hAnsi="Times New Roman" w:cs="Times New Roman"/>
          <w:sz w:val="24"/>
        </w:rPr>
      </w:pPr>
    </w:p>
    <w:p w14:paraId="00800860" w14:textId="29B64A97" w:rsidR="00E74833" w:rsidRPr="0049408F" w:rsidRDefault="00000000" w:rsidP="00DB2AF8">
      <w:pPr>
        <w:rPr>
          <w:rFonts w:ascii="Times New Roman" w:hAnsi="Times New Roman" w:cs="Times New Roman"/>
          <w:sz w:val="24"/>
        </w:rPr>
      </w:pPr>
      <w:r w:rsidRPr="0049408F">
        <w:rPr>
          <w:rFonts w:ascii="Times New Roman" w:hAnsi="Times New Roman" w:cs="Times New Roman"/>
          <w:sz w:val="24"/>
        </w:rPr>
        <w:t>Supplementary Table S1</w:t>
      </w:r>
      <w:r w:rsidRPr="00335CAA">
        <w:rPr>
          <w:rFonts w:ascii="Times New Roman" w:hAnsi="Times New Roman" w:cs="Times New Roman"/>
          <w:color w:val="000000"/>
          <w:sz w:val="24"/>
        </w:rPr>
        <w:t xml:space="preserve">. Comparison of sizes and proportions of tonsillar morphological compartments between patients with recurrent tonsillitis and those with IgA nephropathy. </w:t>
      </w:r>
    </w:p>
    <w:p w14:paraId="4ACDE972" w14:textId="77777777" w:rsidR="00E74833" w:rsidRPr="0049408F" w:rsidRDefault="00E74833" w:rsidP="00E74833">
      <w:pPr>
        <w:pStyle w:val="Web"/>
        <w:spacing w:before="0" w:beforeAutospacing="0" w:after="0" w:afterAutospacing="0"/>
        <w:textAlignment w:val="baseline"/>
        <w:rPr>
          <w:color w:val="000000"/>
        </w:rPr>
      </w:pPr>
    </w:p>
    <w:tbl>
      <w:tblPr>
        <w:tblW w:w="779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701"/>
        <w:gridCol w:w="1560"/>
        <w:gridCol w:w="1134"/>
      </w:tblGrid>
      <w:tr w:rsidR="00221F90" w14:paraId="31354A32" w14:textId="77777777" w:rsidTr="00BE1ACE">
        <w:trPr>
          <w:cantSplit/>
          <w:trHeight w:val="283"/>
        </w:trPr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58819873" w14:textId="77777777" w:rsidR="00E74833" w:rsidRPr="00335CAA" w:rsidRDefault="00E74833" w:rsidP="00BE1ACE">
            <w:pPr>
              <w:adjustRightInd w:val="0"/>
              <w:snapToGrid w:val="0"/>
              <w:spacing w:line="312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7EC25781" w14:textId="515846E4" w:rsidR="00E74833" w:rsidRPr="00335CAA" w:rsidRDefault="00000000" w:rsidP="00BE1ACE">
            <w:pPr>
              <w:adjustRightInd w:val="0"/>
              <w:snapToGrid w:val="0"/>
              <w:spacing w:line="312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 xml:space="preserve">Patients with RT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00A3E701" w14:textId="52F92589" w:rsidR="00E74833" w:rsidRPr="00335CAA" w:rsidRDefault="00000000" w:rsidP="00BE1ACE">
            <w:pPr>
              <w:adjustRightInd w:val="0"/>
              <w:snapToGrid w:val="0"/>
              <w:spacing w:line="312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 xml:space="preserve">Patients with IgAN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2AE1BDA6" w14:textId="77777777" w:rsidR="00E74833" w:rsidRPr="00335CAA" w:rsidRDefault="00000000" w:rsidP="00BE1ACE">
            <w:pPr>
              <w:adjustRightInd w:val="0"/>
              <w:snapToGrid w:val="0"/>
              <w:spacing w:line="312" w:lineRule="auto"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P</w:t>
            </w:r>
            <w:r w:rsidRPr="00335CAA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sz w:val="24"/>
              </w:rPr>
              <w:t>-</w:t>
            </w: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value</w:t>
            </w:r>
          </w:p>
        </w:tc>
      </w:tr>
      <w:tr w:rsidR="00221F90" w14:paraId="7E06D09B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C2AAE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E347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03DFB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6A438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</w:p>
        </w:tc>
      </w:tr>
      <w:tr w:rsidR="00221F90" w14:paraId="69E1F8AF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DC97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Female sex,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6972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10 (37)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15A21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46 (52)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B8F3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0.18</w:t>
            </w:r>
          </w:p>
        </w:tc>
      </w:tr>
      <w:tr w:rsidR="00221F90" w14:paraId="2643C96E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E4B5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Age at tonsillectomy, [IQR]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CDC1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35 [32–38]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41A8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35 [30–41]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A5B0D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0.85</w:t>
            </w:r>
          </w:p>
        </w:tc>
      </w:tr>
      <w:tr w:rsidR="00221F90" w14:paraId="7AA0B9F5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3544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Lymphoid follicular size, mm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  <w:vertAlign w:val="superscript"/>
              </w:rPr>
              <w:t>2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276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0.24 (0.06)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5345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0.14 (0.05)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5E7F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3D96ADEA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AD3EF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Germinal center size, mm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  <w:vertAlign w:val="superscript"/>
              </w:rPr>
              <w:t>2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128E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0.14 (0.06)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AFEC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0.06 (0.03)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3FD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&lt;0.001*</w:t>
            </w:r>
          </w:p>
        </w:tc>
      </w:tr>
      <w:tr w:rsidR="00221F90" w14:paraId="11CAADD1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AB430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lymphoid follicular area</w:t>
            </w:r>
            <w:r w:rsidRPr="00335CAA">
              <w:rPr>
                <w:rFonts w:ascii="Times New Roman" w:hAnsi="Times New Roman" w:cs="Times New Roman" w:hint="eastAsia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F688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31.4 (8.33)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A141A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22.8 (6.62)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21C7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7600212D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AE153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germinal center area</w:t>
            </w:r>
            <w:r w:rsidRPr="00335CAA">
              <w:rPr>
                <w:rFonts w:ascii="Times New Roman" w:hAnsi="Times New Roman" w:cs="Times New Roman" w:hint="eastAsia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3020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15.9 (6.7)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2587B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8.0 (4.3)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9438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1BE5F59B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5AFB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interfollicular area</w:t>
            </w:r>
            <w:r w:rsidRPr="00335CAA">
              <w:rPr>
                <w:rFonts w:ascii="Times New Roman" w:hAnsi="Times New Roman" w:cs="Times New Roman" w:hint="eastAsia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2B66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47.7 (4.8)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C6CCE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54.7 (8.7)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6D714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&lt;0.001*</w:t>
            </w:r>
          </w:p>
        </w:tc>
      </w:tr>
      <w:tr w:rsidR="00221F90" w14:paraId="7DDA0020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BFEE4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crypt epithelial area</w:t>
            </w:r>
            <w:r w:rsidRPr="00335CAA">
              <w:rPr>
                <w:rFonts w:ascii="Times New Roman" w:hAnsi="Times New Roman" w:cs="Times New Roman" w:hint="eastAsia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 (SD)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E6AE3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20.7 (8.3)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75C2F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22.3 (6.0)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84920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0.28</w:t>
            </w:r>
          </w:p>
        </w:tc>
      </w:tr>
      <w:tr w:rsidR="00221F90" w14:paraId="65014F3C" w14:textId="77777777" w:rsidTr="00BE1ACE">
        <w:trPr>
          <w:trHeight w:val="283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3D1F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non-reticular area</w:t>
            </w:r>
            <w:r w:rsidRPr="00335CAA">
              <w:rPr>
                <w:rFonts w:ascii="Times New Roman" w:hAnsi="Times New Roman" w:cs="Times New Roman"/>
                <w:color w:val="000000"/>
                <w:sz w:val="24"/>
                <w:vertAlign w:val="superscript"/>
              </w:rPr>
              <w:t>‡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 [IQR]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B0B2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2.73 [1.64, 4.99]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7E53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9.3 [1.9, 21.65]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1F143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0.003*</w:t>
            </w:r>
          </w:p>
        </w:tc>
      </w:tr>
    </w:tbl>
    <w:p w14:paraId="7E499DF7" w14:textId="77777777" w:rsidR="00E74833" w:rsidRPr="0049408F" w:rsidRDefault="00E74833" w:rsidP="00E74833">
      <w:pPr>
        <w:pStyle w:val="Web"/>
        <w:spacing w:before="0" w:beforeAutospacing="0" w:after="0" w:afterAutospacing="0"/>
        <w:rPr>
          <w:color w:val="000000"/>
        </w:rPr>
      </w:pPr>
    </w:p>
    <w:p w14:paraId="693DFF85" w14:textId="3B21C8F2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color w:val="000000"/>
        </w:rPr>
        <w:t>Abbreviations: RT</w:t>
      </w:r>
      <w:r w:rsidR="003B7C6D" w:rsidRPr="0049408F">
        <w:rPr>
          <w:color w:val="000000"/>
        </w:rPr>
        <w:t>,</w:t>
      </w:r>
      <w:r w:rsidRPr="0049408F">
        <w:rPr>
          <w:color w:val="000000"/>
        </w:rPr>
        <w:t xml:space="preserve"> recurrent tonsillitis</w:t>
      </w:r>
      <w:r w:rsidR="003B7C6D" w:rsidRPr="0049408F">
        <w:rPr>
          <w:color w:val="000000"/>
        </w:rPr>
        <w:t>;</w:t>
      </w:r>
      <w:r w:rsidRPr="0049408F">
        <w:rPr>
          <w:color w:val="000000"/>
        </w:rPr>
        <w:t xml:space="preserve"> IgAN</w:t>
      </w:r>
      <w:r w:rsidR="003B7C6D" w:rsidRPr="0049408F">
        <w:rPr>
          <w:color w:val="000000"/>
        </w:rPr>
        <w:t>,</w:t>
      </w:r>
      <w:r w:rsidRPr="0049408F">
        <w:rPr>
          <w:color w:val="000000"/>
        </w:rPr>
        <w:t xml:space="preserve"> IgA nephropathy. *Statistically significant.</w:t>
      </w:r>
    </w:p>
    <w:p w14:paraId="0A8075A6" w14:textId="77777777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color w:val="000000"/>
        </w:rPr>
        <w:t>N represents the number of patients. Other values are expressed as the mean values with standard deviation [SD] or the median values with interquartile range [IQR].</w:t>
      </w:r>
    </w:p>
    <w:p w14:paraId="7D2E1D18" w14:textId="77777777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rFonts w:hint="eastAsia"/>
          <w:color w:val="000000"/>
        </w:rPr>
        <w:t>†</w:t>
      </w:r>
      <w:r w:rsidRPr="0049408F">
        <w:rPr>
          <w:color w:val="000000"/>
        </w:rPr>
        <w:t xml:space="preserve"> Percentages of each area in total tonsillar tissue. ‡ Percentage of non-reticular crypt epithelial area in total crypt epithelial area.</w:t>
      </w:r>
    </w:p>
    <w:p w14:paraId="6D1F1FF8" w14:textId="77777777" w:rsidR="00E74833" w:rsidRPr="00335CAA" w:rsidRDefault="00000000" w:rsidP="00E74833">
      <w:pPr>
        <w:rPr>
          <w:rFonts w:ascii="Times New Roman" w:eastAsia="Times New Roman" w:hAnsi="Times New Roman" w:cs="Times New Roman"/>
          <w:color w:val="000000"/>
          <w:sz w:val="24"/>
          <w:shd w:val="pct15" w:color="auto" w:fill="FFFFFF"/>
          <w:lang w:val="en-CA" w:eastAsia="en-CA"/>
        </w:rPr>
      </w:pPr>
      <w:r w:rsidRPr="00335CAA">
        <w:rPr>
          <w:rFonts w:ascii="Times New Roman" w:hAnsi="Times New Roman" w:cs="Times New Roman"/>
          <w:color w:val="000000"/>
          <w:sz w:val="24"/>
          <w:shd w:val="pct15" w:color="auto" w:fill="FFFFFF"/>
        </w:rPr>
        <w:br w:type="page"/>
      </w:r>
    </w:p>
    <w:p w14:paraId="66CFCCD9" w14:textId="02CEC0B4" w:rsidR="00E74833" w:rsidRPr="0049408F" w:rsidRDefault="00000000" w:rsidP="00E74833">
      <w:pPr>
        <w:pStyle w:val="Web"/>
        <w:spacing w:line="480" w:lineRule="auto"/>
        <w:rPr>
          <w:color w:val="000000"/>
        </w:rPr>
      </w:pPr>
      <w:r w:rsidRPr="0049408F">
        <w:lastRenderedPageBreak/>
        <w:t>Supplementary</w:t>
      </w:r>
      <w:r w:rsidRPr="0049408F">
        <w:rPr>
          <w:color w:val="000000"/>
        </w:rPr>
        <w:t xml:space="preserve"> Table S2. Trends in size and proportion of tonsillar morphological compartments according to tertiles of percentages of the lymphoid follicular area in tonsils with IgA nephropathy</w:t>
      </w:r>
    </w:p>
    <w:p w14:paraId="4CF2933F" w14:textId="77777777" w:rsidR="00E74833" w:rsidRPr="0049408F" w:rsidRDefault="00E74833" w:rsidP="00E74833">
      <w:pPr>
        <w:pStyle w:val="Web"/>
        <w:spacing w:before="0" w:beforeAutospacing="0" w:after="0" w:afterAutospacing="0"/>
        <w:rPr>
          <w:color w:val="000000"/>
        </w:rPr>
      </w:pPr>
    </w:p>
    <w:tbl>
      <w:tblPr>
        <w:tblW w:w="91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4"/>
        <w:gridCol w:w="1210"/>
        <w:gridCol w:w="1531"/>
        <w:gridCol w:w="1531"/>
        <w:gridCol w:w="1531"/>
        <w:gridCol w:w="1077"/>
      </w:tblGrid>
      <w:tr w:rsidR="00221F90" w14:paraId="1AE05828" w14:textId="77777777" w:rsidTr="00335CAA">
        <w:trPr>
          <w:trHeight w:val="283"/>
        </w:trPr>
        <w:tc>
          <w:tcPr>
            <w:tcW w:w="2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1107BFBE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7153860E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All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2C4AC37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High %LFA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4B399A2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Intermediate</w:t>
            </w:r>
          </w:p>
          <w:p w14:paraId="7BDB8F8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%LFA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311EF5B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Low %LFA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pct12" w:color="000000" w:fill="auto"/>
            <w:vAlign w:val="center"/>
            <w:hideMark/>
          </w:tcPr>
          <w:p w14:paraId="0BC4E05F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P-value for trend</w:t>
            </w:r>
          </w:p>
        </w:tc>
      </w:tr>
      <w:tr w:rsidR="00221F90" w14:paraId="403270C7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2BA2C07D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1DBF399A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noWrap/>
            <w:vAlign w:val="center"/>
            <w:hideMark/>
          </w:tcPr>
          <w:p w14:paraId="4C1199A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(26.0–38.6)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noWrap/>
            <w:vAlign w:val="center"/>
            <w:hideMark/>
          </w:tcPr>
          <w:p w14:paraId="5A401A7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(19.0–25.6)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noWrap/>
            <w:vAlign w:val="center"/>
            <w:hideMark/>
          </w:tcPr>
          <w:p w14:paraId="68444B0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b/>
                <w:bCs/>
                <w:color w:val="000000"/>
                <w:sz w:val="24"/>
              </w:rPr>
              <w:t>(7.8–18.9)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pct12" w:color="000000" w:fill="auto"/>
            <w:vAlign w:val="center"/>
            <w:hideMark/>
          </w:tcPr>
          <w:p w14:paraId="1EFF38CA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sz w:val="24"/>
              </w:rPr>
            </w:pPr>
          </w:p>
        </w:tc>
      </w:tr>
      <w:tr w:rsidR="00221F90" w14:paraId="371A74B2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D6280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8AB0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87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264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7397F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5B6D3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36F87" w14:textId="77777777" w:rsidR="00E74833" w:rsidRPr="00335CAA" w:rsidRDefault="00E74833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</w:p>
        </w:tc>
      </w:tr>
      <w:tr w:rsidR="00221F90" w14:paraId="41CB731B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BA4D0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Lymphoid follicular size, mm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  <w:vertAlign w:val="superscript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E725E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0.14 (0.05)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6397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0.18 (0.05)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788B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0.14 (0.04)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78F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0.10 (0.03)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1AD8A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54DD7039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BA2D5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Germinal center size, mm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  <w:vertAlign w:val="superscript"/>
              </w:rPr>
              <w:t>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29EE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0.06 (0.03)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7798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0.09 (0.03)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E404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0.07 (0.03)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D6E2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0.05 (0.02)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475F0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5EBEC94C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7143F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germinal center area</w:t>
            </w:r>
            <w:r w:rsidRPr="00335CAA">
              <w:rPr>
                <w:rFonts w:ascii="Times New Roman" w:hAnsi="Times New Roman" w:cs="Times New Roman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0910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8 (4.3)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9633B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11.51(4.57)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0C18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7.86 (3.06)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D0B8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5.04 (2.36)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FBEFD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4BC15682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D5D32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interfollicular area</w:t>
            </w:r>
            <w:r w:rsidRPr="00335CAA">
              <w:rPr>
                <w:rFonts w:ascii="Times New Roman" w:hAnsi="Times New Roman" w:cs="Times New Roman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D3948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54.7 (8.7)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B4B21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47.3 (6.0)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E383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55.1 (7.3)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02A64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61.4 (6.4)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71AF0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&lt; 0.001*</w:t>
            </w:r>
          </w:p>
        </w:tc>
      </w:tr>
      <w:tr w:rsidR="00221F90" w14:paraId="12E58CFE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09397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crypt epithelial area</w:t>
            </w:r>
            <w:r w:rsidRPr="00335CAA">
              <w:rPr>
                <w:rFonts w:ascii="Times New Roman" w:hAnsi="Times New Roman" w:cs="Times New Roman"/>
                <w:color w:val="000000"/>
                <w:sz w:val="24"/>
                <w:vertAlign w:val="superscript"/>
              </w:rPr>
              <w:t>†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E3F2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22.3 (6.0)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77775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22.0 (5.7)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945B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22.7 (7.2)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1A29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22.3 (5.3)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E6C1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0.9</w:t>
            </w:r>
          </w:p>
        </w:tc>
      </w:tr>
      <w:tr w:rsidR="00221F90" w14:paraId="689BC5E3" w14:textId="77777777" w:rsidTr="00335CAA">
        <w:trPr>
          <w:trHeight w:val="340"/>
        </w:trPr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EAFA3" w14:textId="77777777" w:rsidR="00E74833" w:rsidRPr="00335CAA" w:rsidRDefault="00000000" w:rsidP="00DB2AF8">
            <w:pPr>
              <w:adjustRightInd w:val="0"/>
              <w:snapToGrid w:val="0"/>
              <w:spacing w:line="264" w:lineRule="auto"/>
              <w:jc w:val="left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% non-reticular area</w:t>
            </w:r>
            <w:r w:rsidRPr="00335CAA">
              <w:rPr>
                <w:rFonts w:ascii="Times New Roman" w:hAnsi="Times New Roman" w:cs="Times New Roman"/>
                <w:color w:val="000000"/>
                <w:sz w:val="24"/>
                <w:vertAlign w:val="superscript"/>
              </w:rPr>
              <w:t>‡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, %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84BF01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9.3</w:t>
            </w:r>
          </w:p>
          <w:p w14:paraId="61A06B71" w14:textId="35AA4EA3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[1.92</w:t>
            </w:r>
            <w:r w:rsidR="00DB2AF8"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 xml:space="preserve">, </w:t>
            </w: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1.65]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6C556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4.70</w:t>
            </w:r>
          </w:p>
          <w:p w14:paraId="500D54AD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[1.90, 11.40]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641EC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10.50</w:t>
            </w:r>
          </w:p>
          <w:p w14:paraId="15CBC2BE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[4.03, 27.03]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FABBDB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16.20</w:t>
            </w:r>
          </w:p>
          <w:p w14:paraId="62058950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[4.90, 26.45]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1AA37" w14:textId="77777777" w:rsidR="00E74833" w:rsidRPr="00335CAA" w:rsidRDefault="00000000" w:rsidP="00BE1ACE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Yu Gothic" w:hAnsi="Times New Roman" w:cs="Times New Roman"/>
                <w:color w:val="000000"/>
                <w:sz w:val="24"/>
              </w:rPr>
            </w:pPr>
            <w:r w:rsidRPr="00335CAA">
              <w:rPr>
                <w:rFonts w:ascii="Times New Roman" w:eastAsia="Yu Gothic" w:hAnsi="Times New Roman" w:cs="Times New Roman"/>
                <w:color w:val="000000"/>
                <w:sz w:val="24"/>
              </w:rPr>
              <w:t>0.016*</w:t>
            </w:r>
          </w:p>
        </w:tc>
      </w:tr>
    </w:tbl>
    <w:p w14:paraId="3B03815D" w14:textId="77777777" w:rsidR="00E74833" w:rsidRPr="0049408F" w:rsidRDefault="00E74833" w:rsidP="00E74833">
      <w:pPr>
        <w:pStyle w:val="Web"/>
        <w:spacing w:before="0" w:beforeAutospacing="0" w:after="0" w:afterAutospacing="0"/>
        <w:rPr>
          <w:color w:val="000000"/>
        </w:rPr>
      </w:pPr>
    </w:p>
    <w:p w14:paraId="108695D8" w14:textId="4DF96B08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color w:val="000000"/>
        </w:rPr>
        <w:t>Abbreviations: IgAN</w:t>
      </w:r>
      <w:r w:rsidR="003B7C6D" w:rsidRPr="0049408F">
        <w:rPr>
          <w:color w:val="000000"/>
        </w:rPr>
        <w:t>,</w:t>
      </w:r>
      <w:r w:rsidRPr="0049408F">
        <w:rPr>
          <w:color w:val="000000"/>
        </w:rPr>
        <w:t xml:space="preserve"> IgA nephropathy; %LFA</w:t>
      </w:r>
      <w:r w:rsidR="003B7C6D" w:rsidRPr="0049408F">
        <w:rPr>
          <w:color w:val="000000"/>
        </w:rPr>
        <w:t>,</w:t>
      </w:r>
      <w:r w:rsidRPr="0049408F">
        <w:rPr>
          <w:color w:val="000000"/>
        </w:rPr>
        <w:t xml:space="preserve"> </w:t>
      </w:r>
      <w:r w:rsidR="003B7C6D" w:rsidRPr="0049408F">
        <w:rPr>
          <w:color w:val="000000"/>
        </w:rPr>
        <w:t>p</w:t>
      </w:r>
      <w:r w:rsidRPr="0049408F">
        <w:rPr>
          <w:color w:val="000000"/>
        </w:rPr>
        <w:t>ercentages of lymphoid follicular areas in total tonsillar tissue</w:t>
      </w:r>
    </w:p>
    <w:p w14:paraId="162F36C5" w14:textId="77777777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color w:val="000000"/>
        </w:rPr>
        <w:t>* Statistically significant.</w:t>
      </w:r>
    </w:p>
    <w:p w14:paraId="2C54D8FE" w14:textId="77777777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color w:val="000000"/>
        </w:rPr>
        <w:t>N represents the number of patients. Other values are expressed as the mean values with standard deviation (SD) or the median values with interquartile range [IQR].</w:t>
      </w:r>
    </w:p>
    <w:p w14:paraId="4E154F4E" w14:textId="77777777" w:rsidR="00E74833" w:rsidRPr="0049408F" w:rsidRDefault="00000000" w:rsidP="00E74833">
      <w:pPr>
        <w:pStyle w:val="Web"/>
        <w:spacing w:before="0" w:beforeAutospacing="0" w:after="0" w:afterAutospacing="0"/>
        <w:rPr>
          <w:color w:val="000000"/>
        </w:rPr>
      </w:pPr>
      <w:r w:rsidRPr="0049408F">
        <w:rPr>
          <w:rFonts w:hint="eastAsia"/>
          <w:color w:val="000000"/>
        </w:rPr>
        <w:t>†</w:t>
      </w:r>
      <w:r w:rsidRPr="0049408F">
        <w:rPr>
          <w:color w:val="000000"/>
        </w:rPr>
        <w:t xml:space="preserve"> Percentages of each area in total tonsillar tissue. ‡ Percentage of non-reticular crypt epithelial area in total crypt epithelial area.</w:t>
      </w:r>
    </w:p>
    <w:p w14:paraId="229044AB" w14:textId="77777777" w:rsidR="00E74833" w:rsidRPr="00335CAA" w:rsidRDefault="00000000" w:rsidP="00E74833">
      <w:pPr>
        <w:rPr>
          <w:rFonts w:ascii="Times New Roman" w:eastAsia="Times New Roman" w:hAnsi="Times New Roman" w:cs="Times New Roman"/>
          <w:b/>
          <w:bCs/>
          <w:color w:val="000000"/>
          <w:sz w:val="24"/>
          <w:lang w:val="en-CA" w:eastAsia="en-CA"/>
        </w:rPr>
      </w:pPr>
      <w:r w:rsidRPr="00335CAA">
        <w:rPr>
          <w:rFonts w:ascii="Times New Roman" w:hAnsi="Times New Roman" w:cs="Times New Roman"/>
          <w:b/>
          <w:bCs/>
          <w:color w:val="000000"/>
          <w:sz w:val="24"/>
        </w:rPr>
        <w:br w:type="page"/>
      </w:r>
    </w:p>
    <w:p w14:paraId="48C9E4D6" w14:textId="795D6488" w:rsidR="00DB2AF8" w:rsidRPr="0049408F" w:rsidRDefault="00000000" w:rsidP="00DB2AF8">
      <w:pPr>
        <w:pStyle w:val="Web"/>
        <w:spacing w:before="0" w:beforeAutospacing="0" w:after="0" w:afterAutospacing="0" w:line="480" w:lineRule="auto"/>
        <w:rPr>
          <w:color w:val="000000"/>
        </w:rPr>
      </w:pPr>
      <w:r w:rsidRPr="0049408F">
        <w:lastRenderedPageBreak/>
        <w:t xml:space="preserve">Supplementary </w:t>
      </w:r>
      <w:r w:rsidRPr="0049408F">
        <w:rPr>
          <w:bCs/>
          <w:color w:val="000000"/>
        </w:rPr>
        <w:t>Figure</w:t>
      </w:r>
      <w:r w:rsidRPr="0049408F">
        <w:t xml:space="preserve"> S1</w:t>
      </w:r>
      <w:r w:rsidRPr="0049408F">
        <w:rPr>
          <w:color w:val="000000"/>
        </w:rPr>
        <w:t>. Reticular and non-reticular areas of tonsillar crypt epithelia in palatine tonsils from patients with recurrent tonsillitis (RT tonsil) (</w:t>
      </w:r>
      <w:r w:rsidRPr="0049408F">
        <w:rPr>
          <w:b/>
          <w:bCs/>
          <w:color w:val="000000"/>
        </w:rPr>
        <w:t>a</w:t>
      </w:r>
      <w:r w:rsidRPr="0049408F">
        <w:rPr>
          <w:color w:val="000000"/>
        </w:rPr>
        <w:t xml:space="preserve">, </w:t>
      </w:r>
      <w:r w:rsidRPr="0049408F">
        <w:rPr>
          <w:b/>
          <w:bCs/>
          <w:color w:val="000000"/>
        </w:rPr>
        <w:t>c</w:t>
      </w:r>
      <w:r w:rsidRPr="0049408F">
        <w:rPr>
          <w:color w:val="000000"/>
        </w:rPr>
        <w:t>) and IgAN (IgAN tonsil) (</w:t>
      </w:r>
      <w:r w:rsidRPr="0049408F">
        <w:rPr>
          <w:b/>
          <w:bCs/>
          <w:color w:val="000000"/>
        </w:rPr>
        <w:t>b</w:t>
      </w:r>
      <w:r w:rsidRPr="0049408F">
        <w:rPr>
          <w:color w:val="000000"/>
        </w:rPr>
        <w:t xml:space="preserve">, </w:t>
      </w:r>
      <w:r w:rsidRPr="0049408F">
        <w:rPr>
          <w:b/>
          <w:bCs/>
          <w:color w:val="000000"/>
        </w:rPr>
        <w:t>d</w:t>
      </w:r>
      <w:r w:rsidRPr="0049408F">
        <w:rPr>
          <w:color w:val="000000"/>
        </w:rPr>
        <w:t>). (</w:t>
      </w:r>
      <w:r w:rsidRPr="0049408F">
        <w:rPr>
          <w:b/>
          <w:bCs/>
          <w:color w:val="000000"/>
        </w:rPr>
        <w:t>a</w:t>
      </w:r>
      <w:r w:rsidRPr="0049408F">
        <w:rPr>
          <w:color w:val="000000"/>
        </w:rPr>
        <w:t xml:space="preserve">, </w:t>
      </w:r>
      <w:r w:rsidRPr="0049408F">
        <w:rPr>
          <w:b/>
          <w:bCs/>
          <w:color w:val="000000"/>
        </w:rPr>
        <w:t>c</w:t>
      </w:r>
      <w:r w:rsidRPr="0049408F">
        <w:rPr>
          <w:color w:val="000000"/>
        </w:rPr>
        <w:t>) Fully reticulated crypt epithelia (lymphoepithelial symbiosis) in RT tonsil. (</w:t>
      </w:r>
      <w:r w:rsidRPr="0049408F">
        <w:rPr>
          <w:b/>
          <w:bCs/>
          <w:color w:val="000000"/>
        </w:rPr>
        <w:t>b</w:t>
      </w:r>
      <w:r w:rsidRPr="0049408F">
        <w:rPr>
          <w:color w:val="000000"/>
        </w:rPr>
        <w:t>, d) Lack of reticulation (arrow) in the crypt epithelia</w:t>
      </w:r>
      <w:r w:rsidR="003B7C6D" w:rsidRPr="0049408F">
        <w:rPr>
          <w:color w:val="000000"/>
        </w:rPr>
        <w:t xml:space="preserve"> </w:t>
      </w:r>
      <w:r w:rsidRPr="0049408F">
        <w:rPr>
          <w:color w:val="000000"/>
        </w:rPr>
        <w:t>shown to varying degrees in the IgAN tonsil.</w:t>
      </w:r>
    </w:p>
    <w:p w14:paraId="045CC342" w14:textId="77777777" w:rsidR="00DB2AF8" w:rsidRPr="0049408F" w:rsidRDefault="00000000" w:rsidP="00DB2AF8">
      <w:pPr>
        <w:pStyle w:val="Web"/>
        <w:spacing w:before="0" w:beforeAutospacing="0" w:after="0" w:afterAutospacing="0" w:line="480" w:lineRule="auto"/>
        <w:rPr>
          <w:color w:val="000000"/>
          <w:kern w:val="2"/>
          <w:lang w:eastAsia="ja-JP"/>
        </w:rPr>
      </w:pPr>
      <w:r w:rsidRPr="0049408F">
        <w:rPr>
          <w:color w:val="000000"/>
        </w:rPr>
        <w:t xml:space="preserve">Magnification: </w:t>
      </w:r>
      <w:r w:rsidRPr="0049408F">
        <w:rPr>
          <w:b/>
          <w:bCs/>
          <w:color w:val="000000"/>
        </w:rPr>
        <w:t>a</w:t>
      </w:r>
      <w:r w:rsidRPr="0049408F">
        <w:rPr>
          <w:color w:val="000000"/>
        </w:rPr>
        <w:t xml:space="preserve"> × 40, scale: 0.5</w:t>
      </w:r>
      <w:r w:rsidRPr="0049408F">
        <w:rPr>
          <w:color w:val="000000"/>
          <w:kern w:val="2"/>
          <w:lang w:eastAsia="ja-JP"/>
        </w:rPr>
        <w:t xml:space="preserve"> mm; </w:t>
      </w:r>
      <w:r w:rsidRPr="0049408F">
        <w:rPr>
          <w:b/>
          <w:bCs/>
          <w:color w:val="000000"/>
          <w:kern w:val="2"/>
          <w:lang w:eastAsia="ja-JP"/>
        </w:rPr>
        <w:t>b</w:t>
      </w:r>
      <w:r w:rsidRPr="0049408F">
        <w:rPr>
          <w:color w:val="000000"/>
          <w:kern w:val="2"/>
          <w:lang w:eastAsia="ja-JP"/>
        </w:rPr>
        <w:t xml:space="preserve"> x 40, scale: 0.5 mm; </w:t>
      </w:r>
      <w:r w:rsidRPr="0049408F">
        <w:rPr>
          <w:b/>
          <w:bCs/>
          <w:color w:val="000000"/>
          <w:kern w:val="2"/>
          <w:lang w:eastAsia="ja-JP"/>
        </w:rPr>
        <w:t xml:space="preserve">c </w:t>
      </w:r>
      <w:r w:rsidRPr="0049408F">
        <w:rPr>
          <w:color w:val="000000"/>
          <w:kern w:val="2"/>
          <w:lang w:eastAsia="ja-JP"/>
        </w:rPr>
        <w:t xml:space="preserve">x 200, scale: 0.1 mm; </w:t>
      </w:r>
      <w:r w:rsidRPr="0049408F">
        <w:rPr>
          <w:b/>
          <w:bCs/>
          <w:color w:val="000000"/>
          <w:kern w:val="2"/>
          <w:lang w:eastAsia="ja-JP"/>
        </w:rPr>
        <w:t>d</w:t>
      </w:r>
      <w:r w:rsidRPr="0049408F">
        <w:rPr>
          <w:color w:val="000000"/>
          <w:kern w:val="2"/>
          <w:lang w:eastAsia="ja-JP"/>
        </w:rPr>
        <w:t xml:space="preserve"> x 200, scale: 0.1 mm</w:t>
      </w:r>
    </w:p>
    <w:p w14:paraId="2A14F176" w14:textId="75BB6276" w:rsidR="00E74833" w:rsidRPr="0049408F" w:rsidRDefault="00E74833" w:rsidP="00E74833">
      <w:pPr>
        <w:rPr>
          <w:rFonts w:ascii="Times New Roman" w:hAnsi="Times New Roman" w:cs="Times New Roman"/>
          <w:sz w:val="24"/>
        </w:rPr>
      </w:pPr>
    </w:p>
    <w:sectPr w:rsidR="00E74833" w:rsidRPr="0049408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bordersDoNotSurroundHeader/>
  <w:bordersDoNotSurroundFooter/>
  <w:hideSpellingErrors/>
  <w:hideGrammaticalErrors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wNjc0NLEwMzUyNjBX0lEKTi0uzszPAykwqgUAN6bhfSwAAAA="/>
  </w:docVars>
  <w:rsids>
    <w:rsidRoot w:val="00E74833"/>
    <w:rsid w:val="00037601"/>
    <w:rsid w:val="000600AB"/>
    <w:rsid w:val="00076C3D"/>
    <w:rsid w:val="0015616E"/>
    <w:rsid w:val="0015690F"/>
    <w:rsid w:val="001C0F05"/>
    <w:rsid w:val="00221F90"/>
    <w:rsid w:val="002F0A5C"/>
    <w:rsid w:val="002F0AFD"/>
    <w:rsid w:val="002F3A40"/>
    <w:rsid w:val="00304901"/>
    <w:rsid w:val="00335CAA"/>
    <w:rsid w:val="003748DE"/>
    <w:rsid w:val="003B7C6D"/>
    <w:rsid w:val="0049408F"/>
    <w:rsid w:val="004E4EF7"/>
    <w:rsid w:val="00530D69"/>
    <w:rsid w:val="005D29E0"/>
    <w:rsid w:val="00662AC8"/>
    <w:rsid w:val="007A0AD7"/>
    <w:rsid w:val="007A2EFD"/>
    <w:rsid w:val="00870564"/>
    <w:rsid w:val="009F53D6"/>
    <w:rsid w:val="00A93671"/>
    <w:rsid w:val="00AC7623"/>
    <w:rsid w:val="00BE1ACE"/>
    <w:rsid w:val="00BE3D20"/>
    <w:rsid w:val="00C31DB7"/>
    <w:rsid w:val="00C42136"/>
    <w:rsid w:val="00CD0267"/>
    <w:rsid w:val="00CF4E9A"/>
    <w:rsid w:val="00D620EE"/>
    <w:rsid w:val="00DB2AF8"/>
    <w:rsid w:val="00DB78BB"/>
    <w:rsid w:val="00DD55FC"/>
    <w:rsid w:val="00DF2039"/>
    <w:rsid w:val="00E74833"/>
    <w:rsid w:val="00EB3CA0"/>
    <w:rsid w:val="00F47E93"/>
    <w:rsid w:val="00FE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492BBD"/>
  <w15:chartTrackingRefBased/>
  <w15:docId w15:val="{F1D3ED65-5A22-6A44-9523-986A84F85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qFormat/>
    <w:rsid w:val="00E7483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character" w:styleId="a3">
    <w:name w:val="annotation reference"/>
    <w:basedOn w:val="a0"/>
    <w:unhideWhenUsed/>
    <w:qFormat/>
    <w:rsid w:val="00DB2AF8"/>
    <w:rPr>
      <w:sz w:val="16"/>
      <w:szCs w:val="16"/>
    </w:rPr>
  </w:style>
  <w:style w:type="paragraph" w:styleId="a4">
    <w:name w:val="annotation text"/>
    <w:aliases w:val="Char11,字元"/>
    <w:basedOn w:val="a"/>
    <w:link w:val="a5"/>
    <w:uiPriority w:val="99"/>
    <w:unhideWhenUsed/>
    <w:qFormat/>
    <w:rsid w:val="00DB2AF8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5">
    <w:name w:val="コメント文字列 (文字)"/>
    <w:aliases w:val="Char11 (文字),字元 (文字)"/>
    <w:basedOn w:val="a0"/>
    <w:link w:val="a4"/>
    <w:uiPriority w:val="99"/>
    <w:qFormat/>
    <w:rsid w:val="00DB2AF8"/>
    <w:rPr>
      <w:rFonts w:ascii="Times New Roman" w:hAnsi="Times New Roman"/>
      <w:kern w:val="0"/>
      <w:sz w:val="20"/>
      <w:szCs w:val="20"/>
      <w:lang w:eastAsia="en-US"/>
    </w:rPr>
  </w:style>
  <w:style w:type="paragraph" w:styleId="a6">
    <w:name w:val="Revision"/>
    <w:hidden/>
    <w:uiPriority w:val="99"/>
    <w:semiHidden/>
    <w:rsid w:val="003B7C6D"/>
  </w:style>
  <w:style w:type="paragraph" w:styleId="a7">
    <w:name w:val="annotation subject"/>
    <w:basedOn w:val="a4"/>
    <w:next w:val="a4"/>
    <w:link w:val="a8"/>
    <w:uiPriority w:val="99"/>
    <w:semiHidden/>
    <w:unhideWhenUsed/>
    <w:rsid w:val="003B7C6D"/>
    <w:pPr>
      <w:widowControl w:val="0"/>
      <w:spacing w:before="0" w:after="0"/>
      <w:jc w:val="both"/>
    </w:pPr>
    <w:rPr>
      <w:rFonts w:asciiTheme="minorHAnsi" w:hAnsiTheme="minorHAnsi"/>
      <w:b/>
      <w:bCs/>
      <w:kern w:val="2"/>
      <w:lang w:eastAsia="ja-JP"/>
    </w:rPr>
  </w:style>
  <w:style w:type="character" w:customStyle="1" w:styleId="a8">
    <w:name w:val="コメント内容 (文字)"/>
    <w:basedOn w:val="a5"/>
    <w:link w:val="a7"/>
    <w:uiPriority w:val="99"/>
    <w:semiHidden/>
    <w:rsid w:val="003B7C6D"/>
    <w:rPr>
      <w:rFonts w:ascii="Times New Roman" w:hAnsi="Times New Roman"/>
      <w:b/>
      <w:bCs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443</Words>
  <Characters>2553</Characters>
  <Application>Microsoft Office Word</Application>
  <DocSecurity>0</DocSecurity>
  <Lines>43</Lines>
  <Paragraphs>8</Paragraphs>
  <ScaleCrop>false</ScaleCrop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上田 裕之</dc:creator>
  <cp:lastModifiedBy>上田 裕之</cp:lastModifiedBy>
  <cp:revision>2</cp:revision>
  <dcterms:created xsi:type="dcterms:W3CDTF">2023-02-27T06:23:00Z</dcterms:created>
  <dcterms:modified xsi:type="dcterms:W3CDTF">2023-02-27T06:23:00Z</dcterms:modified>
</cp:coreProperties>
</file>