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CE596" w14:textId="166A198D" w:rsidR="007E1EEA" w:rsidRPr="003D458A" w:rsidRDefault="003D458A" w:rsidP="003D458A">
      <w:pPr>
        <w:spacing w:line="360" w:lineRule="auto"/>
        <w:rPr>
          <w:rFonts w:ascii="Times New Roman" w:hAnsi="Times New Roman" w:cs="Times New Roman"/>
          <w:b/>
          <w:bCs/>
        </w:rPr>
      </w:pPr>
      <w:r w:rsidRPr="003D458A">
        <w:rPr>
          <w:rFonts w:ascii="Times New Roman" w:hAnsi="Times New Roman" w:cs="Times New Roman"/>
          <w:b/>
          <w:bCs/>
        </w:rPr>
        <w:t>Supplementary Figure S1</w:t>
      </w:r>
    </w:p>
    <w:p w14:paraId="2FC4FBD9" w14:textId="31751404" w:rsidR="003D458A" w:rsidRDefault="003D458A" w:rsidP="003D458A">
      <w:pPr>
        <w:spacing w:line="360" w:lineRule="auto"/>
        <w:rPr>
          <w:rFonts w:ascii="Times New Roman" w:hAnsi="Times New Roman" w:cs="Times New Roman"/>
        </w:rPr>
      </w:pPr>
      <w:r w:rsidRPr="003D458A">
        <w:rPr>
          <w:rFonts w:ascii="Times New Roman" w:hAnsi="Times New Roman" w:cs="Times New Roman"/>
        </w:rPr>
        <w:t>GEPIA2.0 tool was used to analyze the correlation between FDX1 expression and tumor pathology.</w:t>
      </w:r>
    </w:p>
    <w:p w14:paraId="738D9A5E" w14:textId="421F24D6" w:rsidR="003D458A" w:rsidRDefault="003D45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CE479CB" wp14:editId="79440921">
            <wp:extent cx="5274310" cy="431800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DB0A4" w14:textId="77777777" w:rsidR="003D458A" w:rsidRDefault="003D458A">
      <w:pPr>
        <w:rPr>
          <w:rFonts w:ascii="Times New Roman" w:hAnsi="Times New Roman" w:cs="Times New Roman"/>
          <w:b/>
          <w:bCs/>
        </w:rPr>
      </w:pPr>
    </w:p>
    <w:p w14:paraId="3A0837C6" w14:textId="77777777" w:rsidR="003D458A" w:rsidRDefault="003D458A">
      <w:pPr>
        <w:rPr>
          <w:rFonts w:ascii="Times New Roman" w:hAnsi="Times New Roman" w:cs="Times New Roman"/>
          <w:b/>
          <w:bCs/>
        </w:rPr>
      </w:pPr>
    </w:p>
    <w:p w14:paraId="74A22924" w14:textId="77777777" w:rsidR="003D458A" w:rsidRDefault="003D458A">
      <w:pPr>
        <w:rPr>
          <w:rFonts w:ascii="Times New Roman" w:hAnsi="Times New Roman" w:cs="Times New Roman"/>
          <w:b/>
          <w:bCs/>
        </w:rPr>
      </w:pPr>
    </w:p>
    <w:p w14:paraId="0A36CDB4" w14:textId="77777777" w:rsidR="003D458A" w:rsidRDefault="003D458A">
      <w:pPr>
        <w:rPr>
          <w:rFonts w:ascii="Times New Roman" w:hAnsi="Times New Roman" w:cs="Times New Roman"/>
          <w:b/>
          <w:bCs/>
        </w:rPr>
      </w:pPr>
    </w:p>
    <w:p w14:paraId="497127F7" w14:textId="77777777" w:rsidR="003D458A" w:rsidRDefault="003D458A">
      <w:pPr>
        <w:rPr>
          <w:rFonts w:ascii="Times New Roman" w:hAnsi="Times New Roman" w:cs="Times New Roman"/>
          <w:b/>
          <w:bCs/>
        </w:rPr>
      </w:pPr>
    </w:p>
    <w:p w14:paraId="32B8B7CB" w14:textId="77777777" w:rsidR="003D458A" w:rsidRDefault="003D458A">
      <w:pPr>
        <w:rPr>
          <w:rFonts w:ascii="Times New Roman" w:hAnsi="Times New Roman" w:cs="Times New Roman"/>
          <w:b/>
          <w:bCs/>
        </w:rPr>
      </w:pPr>
    </w:p>
    <w:p w14:paraId="21250D33" w14:textId="77777777" w:rsidR="003D458A" w:rsidRDefault="003D458A">
      <w:pPr>
        <w:rPr>
          <w:rFonts w:ascii="Times New Roman" w:hAnsi="Times New Roman" w:cs="Times New Roman"/>
          <w:b/>
          <w:bCs/>
        </w:rPr>
      </w:pPr>
    </w:p>
    <w:p w14:paraId="0F166CA7" w14:textId="77777777" w:rsidR="003D458A" w:rsidRDefault="003D458A">
      <w:pPr>
        <w:rPr>
          <w:rFonts w:ascii="Times New Roman" w:hAnsi="Times New Roman" w:cs="Times New Roman"/>
          <w:b/>
          <w:bCs/>
        </w:rPr>
      </w:pPr>
    </w:p>
    <w:p w14:paraId="0C99F107" w14:textId="77777777" w:rsidR="003D458A" w:rsidRDefault="003D458A">
      <w:pPr>
        <w:rPr>
          <w:rFonts w:ascii="Times New Roman" w:hAnsi="Times New Roman" w:cs="Times New Roman"/>
          <w:b/>
          <w:bCs/>
        </w:rPr>
      </w:pPr>
    </w:p>
    <w:p w14:paraId="57D86223" w14:textId="77777777" w:rsidR="003D458A" w:rsidRDefault="003D458A">
      <w:pPr>
        <w:rPr>
          <w:rFonts w:ascii="Times New Roman" w:hAnsi="Times New Roman" w:cs="Times New Roman"/>
          <w:b/>
          <w:bCs/>
        </w:rPr>
      </w:pPr>
    </w:p>
    <w:p w14:paraId="7A3B63F5" w14:textId="77777777" w:rsidR="003D458A" w:rsidRDefault="003D458A">
      <w:pPr>
        <w:rPr>
          <w:rFonts w:ascii="Times New Roman" w:hAnsi="Times New Roman" w:cs="Times New Roman"/>
          <w:b/>
          <w:bCs/>
        </w:rPr>
      </w:pPr>
    </w:p>
    <w:p w14:paraId="0AFA7986" w14:textId="77777777" w:rsidR="003D458A" w:rsidRDefault="003D458A">
      <w:pPr>
        <w:rPr>
          <w:rFonts w:ascii="Times New Roman" w:hAnsi="Times New Roman" w:cs="Times New Roman"/>
          <w:b/>
          <w:bCs/>
        </w:rPr>
      </w:pPr>
    </w:p>
    <w:p w14:paraId="225C33B8" w14:textId="77777777" w:rsidR="003D458A" w:rsidRDefault="003D458A">
      <w:pPr>
        <w:rPr>
          <w:rFonts w:ascii="Times New Roman" w:hAnsi="Times New Roman" w:cs="Times New Roman"/>
          <w:b/>
          <w:bCs/>
        </w:rPr>
      </w:pPr>
    </w:p>
    <w:p w14:paraId="0C37F3D1" w14:textId="77777777" w:rsidR="003D458A" w:rsidRDefault="003D458A">
      <w:pPr>
        <w:rPr>
          <w:rFonts w:ascii="Times New Roman" w:hAnsi="Times New Roman" w:cs="Times New Roman"/>
          <w:b/>
          <w:bCs/>
        </w:rPr>
      </w:pPr>
    </w:p>
    <w:p w14:paraId="38C4DF37" w14:textId="77777777" w:rsidR="003D458A" w:rsidRDefault="003D458A">
      <w:pPr>
        <w:rPr>
          <w:rFonts w:ascii="Times New Roman" w:hAnsi="Times New Roman" w:cs="Times New Roman"/>
          <w:b/>
          <w:bCs/>
        </w:rPr>
      </w:pPr>
    </w:p>
    <w:p w14:paraId="60759073" w14:textId="77777777" w:rsidR="003D458A" w:rsidRDefault="003D458A">
      <w:pPr>
        <w:rPr>
          <w:rFonts w:ascii="Times New Roman" w:hAnsi="Times New Roman" w:cs="Times New Roman"/>
          <w:b/>
          <w:bCs/>
        </w:rPr>
      </w:pPr>
    </w:p>
    <w:p w14:paraId="6646939E" w14:textId="77777777" w:rsidR="003D458A" w:rsidRDefault="003D458A">
      <w:pPr>
        <w:rPr>
          <w:rFonts w:ascii="Times New Roman" w:hAnsi="Times New Roman" w:cs="Times New Roman"/>
          <w:b/>
          <w:bCs/>
        </w:rPr>
      </w:pPr>
    </w:p>
    <w:p w14:paraId="7A60944B" w14:textId="77777777" w:rsidR="003D458A" w:rsidRDefault="003D458A">
      <w:pPr>
        <w:rPr>
          <w:rFonts w:ascii="Times New Roman" w:hAnsi="Times New Roman" w:cs="Times New Roman"/>
          <w:b/>
          <w:bCs/>
        </w:rPr>
      </w:pPr>
    </w:p>
    <w:p w14:paraId="57D68FC5" w14:textId="77777777" w:rsidR="003D458A" w:rsidRDefault="003D458A">
      <w:pPr>
        <w:rPr>
          <w:rFonts w:ascii="Times New Roman" w:hAnsi="Times New Roman" w:cs="Times New Roman"/>
          <w:b/>
          <w:bCs/>
        </w:rPr>
      </w:pPr>
    </w:p>
    <w:p w14:paraId="2B6628DC" w14:textId="0EACCE11" w:rsidR="003D458A" w:rsidRPr="003D458A" w:rsidRDefault="003D458A" w:rsidP="003D458A">
      <w:pPr>
        <w:spacing w:line="360" w:lineRule="auto"/>
        <w:rPr>
          <w:rFonts w:ascii="Times New Roman" w:hAnsi="Times New Roman" w:cs="Times New Roman"/>
          <w:b/>
          <w:bCs/>
        </w:rPr>
      </w:pPr>
      <w:r w:rsidRPr="003D458A">
        <w:rPr>
          <w:rFonts w:ascii="Times New Roman" w:hAnsi="Times New Roman" w:cs="Times New Roman"/>
          <w:b/>
          <w:bCs/>
        </w:rPr>
        <w:lastRenderedPageBreak/>
        <w:t>Supplementary Figure S2</w:t>
      </w:r>
    </w:p>
    <w:p w14:paraId="3FD4FB3C" w14:textId="7E412FBA" w:rsidR="003D458A" w:rsidRDefault="003D458A" w:rsidP="003D458A">
      <w:pPr>
        <w:spacing w:line="360" w:lineRule="auto"/>
        <w:rPr>
          <w:rFonts w:ascii="Times New Roman" w:hAnsi="Times New Roman" w:cs="Times New Roman"/>
        </w:rPr>
      </w:pPr>
      <w:r w:rsidRPr="003D458A">
        <w:rPr>
          <w:rFonts w:ascii="Times New Roman" w:hAnsi="Times New Roman" w:cs="Times New Roman"/>
        </w:rPr>
        <w:t xml:space="preserve">We used Kaplan-Meier plots to analyze the effect of FDX1 expression on prognosis in patients with lung cancer, ovarian cancer, breast </w:t>
      </w:r>
      <w:proofErr w:type="gramStart"/>
      <w:r w:rsidRPr="003D458A">
        <w:rPr>
          <w:rFonts w:ascii="Times New Roman" w:hAnsi="Times New Roman" w:cs="Times New Roman"/>
        </w:rPr>
        <w:t>cancer,  and</w:t>
      </w:r>
      <w:proofErr w:type="gramEnd"/>
      <w:r w:rsidRPr="003D458A">
        <w:rPr>
          <w:rFonts w:ascii="Times New Roman" w:hAnsi="Times New Roman" w:cs="Times New Roman"/>
        </w:rPr>
        <w:t xml:space="preserve"> hepatocellular carcinoma.</w:t>
      </w:r>
    </w:p>
    <w:p w14:paraId="25D0F326" w14:textId="0E2AC885" w:rsidR="003D458A" w:rsidRDefault="003D458A" w:rsidP="003D45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429C3A7B" wp14:editId="0299E278">
            <wp:extent cx="5274310" cy="631190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B52C9" w14:textId="3C83B2E6" w:rsidR="003D458A" w:rsidRDefault="003D458A" w:rsidP="003D458A">
      <w:pPr>
        <w:rPr>
          <w:rFonts w:ascii="Times New Roman" w:hAnsi="Times New Roman" w:cs="Times New Roman"/>
        </w:rPr>
      </w:pPr>
    </w:p>
    <w:p w14:paraId="2372FF24" w14:textId="0DB2DCE6" w:rsidR="003D458A" w:rsidRDefault="003D458A" w:rsidP="003D458A">
      <w:pPr>
        <w:rPr>
          <w:rFonts w:ascii="Times New Roman" w:hAnsi="Times New Roman" w:cs="Times New Roman"/>
        </w:rPr>
      </w:pPr>
    </w:p>
    <w:p w14:paraId="21D12EB6" w14:textId="70F9B6B5" w:rsidR="003D458A" w:rsidRDefault="003D458A" w:rsidP="003D458A">
      <w:pPr>
        <w:rPr>
          <w:rFonts w:ascii="Times New Roman" w:hAnsi="Times New Roman" w:cs="Times New Roman"/>
        </w:rPr>
      </w:pPr>
    </w:p>
    <w:p w14:paraId="36E33F9B" w14:textId="470BEEE8" w:rsidR="003D458A" w:rsidRDefault="003D458A" w:rsidP="003D458A">
      <w:pPr>
        <w:rPr>
          <w:rFonts w:ascii="Times New Roman" w:hAnsi="Times New Roman" w:cs="Times New Roman"/>
        </w:rPr>
      </w:pPr>
    </w:p>
    <w:p w14:paraId="2FD90CB4" w14:textId="34C927BD" w:rsidR="003D458A" w:rsidRDefault="003D458A" w:rsidP="003D458A">
      <w:pPr>
        <w:rPr>
          <w:rFonts w:ascii="Times New Roman" w:hAnsi="Times New Roman" w:cs="Times New Roman"/>
        </w:rPr>
      </w:pPr>
    </w:p>
    <w:p w14:paraId="2406490A" w14:textId="202CD422" w:rsidR="003D458A" w:rsidRDefault="003D458A" w:rsidP="003D458A">
      <w:pPr>
        <w:rPr>
          <w:rFonts w:ascii="Times New Roman" w:hAnsi="Times New Roman" w:cs="Times New Roman"/>
        </w:rPr>
      </w:pPr>
    </w:p>
    <w:p w14:paraId="72D2EB79" w14:textId="20A079F8" w:rsidR="003D458A" w:rsidRDefault="003D458A" w:rsidP="003D458A">
      <w:pPr>
        <w:rPr>
          <w:rFonts w:ascii="Times New Roman" w:hAnsi="Times New Roman" w:cs="Times New Roman"/>
        </w:rPr>
      </w:pPr>
    </w:p>
    <w:p w14:paraId="4773E00E" w14:textId="4367656F" w:rsidR="003D458A" w:rsidRDefault="003D458A" w:rsidP="003D458A">
      <w:pPr>
        <w:rPr>
          <w:rFonts w:ascii="Times New Roman" w:hAnsi="Times New Roman" w:cs="Times New Roman"/>
        </w:rPr>
      </w:pPr>
    </w:p>
    <w:p w14:paraId="6F0378E4" w14:textId="61AE724A" w:rsidR="003D458A" w:rsidRPr="003D458A" w:rsidRDefault="003D458A" w:rsidP="003D458A">
      <w:pPr>
        <w:spacing w:line="360" w:lineRule="auto"/>
        <w:rPr>
          <w:rFonts w:ascii="Times New Roman" w:hAnsi="Times New Roman" w:cs="Times New Roman"/>
          <w:b/>
          <w:bCs/>
        </w:rPr>
      </w:pPr>
      <w:r w:rsidRPr="003D458A">
        <w:rPr>
          <w:rFonts w:ascii="Times New Roman" w:hAnsi="Times New Roman" w:cs="Times New Roman"/>
          <w:b/>
          <w:bCs/>
        </w:rPr>
        <w:lastRenderedPageBreak/>
        <w:t>Supplementary Figure S3</w:t>
      </w:r>
    </w:p>
    <w:p w14:paraId="03F36451" w14:textId="7341B3BE" w:rsidR="003D458A" w:rsidRDefault="003D458A" w:rsidP="003D458A">
      <w:pPr>
        <w:spacing w:line="360" w:lineRule="auto"/>
        <w:rPr>
          <w:rFonts w:ascii="Times New Roman" w:hAnsi="Times New Roman" w:cs="Times New Roman"/>
        </w:rPr>
      </w:pPr>
      <w:r w:rsidRPr="003D458A">
        <w:rPr>
          <w:rFonts w:ascii="Times New Roman" w:hAnsi="Times New Roman" w:cs="Times New Roman"/>
        </w:rPr>
        <w:t xml:space="preserve">We used the </w:t>
      </w:r>
      <w:proofErr w:type="spellStart"/>
      <w:r w:rsidRPr="003D458A">
        <w:rPr>
          <w:rFonts w:ascii="Times New Roman" w:hAnsi="Times New Roman" w:cs="Times New Roman"/>
        </w:rPr>
        <w:t>cBioPortal</w:t>
      </w:r>
      <w:proofErr w:type="spellEnd"/>
      <w:r w:rsidRPr="003D458A">
        <w:rPr>
          <w:rFonts w:ascii="Times New Roman" w:hAnsi="Times New Roman" w:cs="Times New Roman"/>
        </w:rPr>
        <w:t xml:space="preserve"> tool to investigate the impact of FDX1 mutations on OS, DSS, DFS, and PFS for patients with BLCA, LUAD, TGCT, CESC, </w:t>
      </w:r>
      <w:proofErr w:type="gramStart"/>
      <w:r w:rsidRPr="003D458A">
        <w:rPr>
          <w:rFonts w:ascii="Times New Roman" w:hAnsi="Times New Roman" w:cs="Times New Roman"/>
        </w:rPr>
        <w:t>OV</w:t>
      </w:r>
      <w:proofErr w:type="gramEnd"/>
      <w:r w:rsidRPr="003D458A">
        <w:rPr>
          <w:rFonts w:ascii="Times New Roman" w:hAnsi="Times New Roman" w:cs="Times New Roman"/>
        </w:rPr>
        <w:t xml:space="preserve"> and PRAD.</w:t>
      </w:r>
    </w:p>
    <w:p w14:paraId="3A997609" w14:textId="40A4F152" w:rsidR="003D458A" w:rsidRDefault="003D458A" w:rsidP="003D45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7CE3DB0B" wp14:editId="08DA7AC8">
            <wp:extent cx="5274310" cy="564197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4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AA624" w14:textId="03547445" w:rsidR="003D458A" w:rsidRDefault="003D458A" w:rsidP="003D458A">
      <w:pPr>
        <w:rPr>
          <w:rFonts w:ascii="Times New Roman" w:hAnsi="Times New Roman" w:cs="Times New Roman"/>
        </w:rPr>
      </w:pPr>
    </w:p>
    <w:p w14:paraId="59FD2F97" w14:textId="61179A5C" w:rsidR="003D458A" w:rsidRDefault="003D458A" w:rsidP="003D458A">
      <w:pPr>
        <w:rPr>
          <w:rFonts w:ascii="Times New Roman" w:hAnsi="Times New Roman" w:cs="Times New Roman"/>
        </w:rPr>
      </w:pPr>
    </w:p>
    <w:p w14:paraId="6189987B" w14:textId="76AB9773" w:rsidR="003D458A" w:rsidRDefault="003D458A" w:rsidP="003D458A">
      <w:pPr>
        <w:rPr>
          <w:rFonts w:ascii="Times New Roman" w:hAnsi="Times New Roman" w:cs="Times New Roman"/>
        </w:rPr>
      </w:pPr>
    </w:p>
    <w:p w14:paraId="2FDDFEC7" w14:textId="7283F6A0" w:rsidR="003D458A" w:rsidRDefault="003D458A" w:rsidP="003D458A">
      <w:pPr>
        <w:rPr>
          <w:rFonts w:ascii="Times New Roman" w:hAnsi="Times New Roman" w:cs="Times New Roman"/>
        </w:rPr>
      </w:pPr>
    </w:p>
    <w:p w14:paraId="4B994C43" w14:textId="530F9528" w:rsidR="003D458A" w:rsidRDefault="003D458A" w:rsidP="003D458A">
      <w:pPr>
        <w:rPr>
          <w:rFonts w:ascii="Times New Roman" w:hAnsi="Times New Roman" w:cs="Times New Roman"/>
        </w:rPr>
      </w:pPr>
    </w:p>
    <w:p w14:paraId="17DA122D" w14:textId="23F7F861" w:rsidR="003D458A" w:rsidRDefault="003D458A" w:rsidP="003D458A">
      <w:pPr>
        <w:rPr>
          <w:rFonts w:ascii="Times New Roman" w:hAnsi="Times New Roman" w:cs="Times New Roman"/>
        </w:rPr>
      </w:pPr>
    </w:p>
    <w:p w14:paraId="7B006545" w14:textId="593A0592" w:rsidR="003D458A" w:rsidRDefault="003D458A" w:rsidP="003D458A">
      <w:pPr>
        <w:rPr>
          <w:rFonts w:ascii="Times New Roman" w:hAnsi="Times New Roman" w:cs="Times New Roman"/>
        </w:rPr>
      </w:pPr>
    </w:p>
    <w:p w14:paraId="21F49579" w14:textId="3F16F7DB" w:rsidR="003D458A" w:rsidRDefault="003D458A" w:rsidP="003D458A">
      <w:pPr>
        <w:rPr>
          <w:rFonts w:ascii="Times New Roman" w:hAnsi="Times New Roman" w:cs="Times New Roman"/>
        </w:rPr>
      </w:pPr>
    </w:p>
    <w:p w14:paraId="6F2F6F89" w14:textId="09D6D8F4" w:rsidR="003D458A" w:rsidRDefault="003D458A" w:rsidP="003D458A">
      <w:pPr>
        <w:rPr>
          <w:rFonts w:ascii="Times New Roman" w:hAnsi="Times New Roman" w:cs="Times New Roman"/>
        </w:rPr>
      </w:pPr>
    </w:p>
    <w:p w14:paraId="124DB7A0" w14:textId="4A8A2454" w:rsidR="003D458A" w:rsidRDefault="003D458A" w:rsidP="003D458A">
      <w:pPr>
        <w:rPr>
          <w:rFonts w:ascii="Times New Roman" w:hAnsi="Times New Roman" w:cs="Times New Roman"/>
        </w:rPr>
      </w:pPr>
    </w:p>
    <w:p w14:paraId="30A094FD" w14:textId="1B808C06" w:rsidR="003D458A" w:rsidRDefault="003D458A" w:rsidP="003D458A">
      <w:pPr>
        <w:rPr>
          <w:rFonts w:ascii="Times New Roman" w:hAnsi="Times New Roman" w:cs="Times New Roman"/>
        </w:rPr>
      </w:pPr>
    </w:p>
    <w:p w14:paraId="0AB5AB7B" w14:textId="735D207B" w:rsidR="003D458A" w:rsidRPr="003D458A" w:rsidRDefault="003D458A" w:rsidP="003D458A">
      <w:pPr>
        <w:spacing w:line="360" w:lineRule="auto"/>
        <w:rPr>
          <w:rFonts w:ascii="Times New Roman" w:hAnsi="Times New Roman" w:cs="Times New Roman"/>
          <w:b/>
          <w:bCs/>
        </w:rPr>
      </w:pPr>
      <w:r w:rsidRPr="003D458A">
        <w:rPr>
          <w:rFonts w:ascii="Times New Roman" w:hAnsi="Times New Roman" w:cs="Times New Roman"/>
          <w:b/>
          <w:bCs/>
        </w:rPr>
        <w:lastRenderedPageBreak/>
        <w:t>Supplementary Figure S4</w:t>
      </w:r>
    </w:p>
    <w:p w14:paraId="68FBBDE8" w14:textId="7F62F29C" w:rsidR="003D458A" w:rsidRPr="003D458A" w:rsidRDefault="003D458A" w:rsidP="003D458A">
      <w:pPr>
        <w:spacing w:line="360" w:lineRule="auto"/>
        <w:rPr>
          <w:rFonts w:ascii="Times New Roman" w:hAnsi="Times New Roman" w:cs="Times New Roman"/>
        </w:rPr>
      </w:pPr>
      <w:r w:rsidRPr="003D458A">
        <w:rPr>
          <w:rFonts w:ascii="Times New Roman" w:hAnsi="Times New Roman" w:cs="Times New Roman"/>
        </w:rPr>
        <w:t xml:space="preserve">We used </w:t>
      </w:r>
      <w:proofErr w:type="spellStart"/>
      <w:r w:rsidRPr="003D458A">
        <w:rPr>
          <w:rFonts w:ascii="Times New Roman" w:hAnsi="Times New Roman" w:cs="Times New Roman"/>
        </w:rPr>
        <w:t>cBioPortal</w:t>
      </w:r>
      <w:proofErr w:type="spellEnd"/>
      <w:r w:rsidRPr="003D458A">
        <w:rPr>
          <w:rFonts w:ascii="Times New Roman" w:hAnsi="Times New Roman" w:cs="Times New Roman"/>
        </w:rPr>
        <w:t xml:space="preserve"> to investigate the impact of mutations in FDX1 on OS, DSS, DFS, and PFS among patients with STAD, UCEC, GBM, SKCM, HNSC and </w:t>
      </w:r>
      <w:proofErr w:type="gramStart"/>
      <w:r w:rsidRPr="003D458A">
        <w:rPr>
          <w:rFonts w:ascii="Times New Roman" w:hAnsi="Times New Roman" w:cs="Times New Roman"/>
        </w:rPr>
        <w:t>COADREAD .</w:t>
      </w:r>
      <w:proofErr w:type="gramEnd"/>
    </w:p>
    <w:p w14:paraId="12025A50" w14:textId="24B4CC19" w:rsidR="003D458A" w:rsidRDefault="003D458A" w:rsidP="003D458A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4706A5A3" wp14:editId="3AED5818">
            <wp:extent cx="5274310" cy="557085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7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229D0" w14:textId="3E597293" w:rsidR="003D458A" w:rsidRDefault="003D458A" w:rsidP="003D458A">
      <w:pPr>
        <w:rPr>
          <w:rFonts w:ascii="Times New Roman" w:hAnsi="Times New Roman" w:cs="Times New Roman"/>
        </w:rPr>
      </w:pPr>
    </w:p>
    <w:p w14:paraId="088D53C9" w14:textId="30D40C74" w:rsidR="003D458A" w:rsidRDefault="003D458A" w:rsidP="003D458A">
      <w:pPr>
        <w:rPr>
          <w:rFonts w:ascii="Times New Roman" w:hAnsi="Times New Roman" w:cs="Times New Roman"/>
        </w:rPr>
      </w:pPr>
    </w:p>
    <w:p w14:paraId="51EE8E17" w14:textId="47CDDAED" w:rsidR="003D458A" w:rsidRDefault="003D458A" w:rsidP="003D458A">
      <w:pPr>
        <w:rPr>
          <w:rFonts w:ascii="Times New Roman" w:hAnsi="Times New Roman" w:cs="Times New Roman"/>
        </w:rPr>
      </w:pPr>
    </w:p>
    <w:p w14:paraId="3F549662" w14:textId="2B19F0BD" w:rsidR="003D458A" w:rsidRDefault="003D458A" w:rsidP="003D458A">
      <w:pPr>
        <w:rPr>
          <w:rFonts w:ascii="Times New Roman" w:hAnsi="Times New Roman" w:cs="Times New Roman"/>
        </w:rPr>
      </w:pPr>
    </w:p>
    <w:p w14:paraId="1D3552E9" w14:textId="21BA7CBA" w:rsidR="003D458A" w:rsidRDefault="003D458A" w:rsidP="003D458A">
      <w:pPr>
        <w:rPr>
          <w:rFonts w:ascii="Times New Roman" w:hAnsi="Times New Roman" w:cs="Times New Roman"/>
        </w:rPr>
      </w:pPr>
    </w:p>
    <w:p w14:paraId="0A4FBB5F" w14:textId="2FD3F026" w:rsidR="003D458A" w:rsidRDefault="003D458A" w:rsidP="003D458A">
      <w:pPr>
        <w:rPr>
          <w:rFonts w:ascii="Times New Roman" w:hAnsi="Times New Roman" w:cs="Times New Roman"/>
        </w:rPr>
      </w:pPr>
    </w:p>
    <w:p w14:paraId="70B0A3F7" w14:textId="438F237B" w:rsidR="003D458A" w:rsidRDefault="003D458A" w:rsidP="003D458A">
      <w:pPr>
        <w:rPr>
          <w:rFonts w:ascii="Times New Roman" w:hAnsi="Times New Roman" w:cs="Times New Roman"/>
        </w:rPr>
      </w:pPr>
    </w:p>
    <w:p w14:paraId="6550FD1F" w14:textId="6F0B8D7D" w:rsidR="003D458A" w:rsidRDefault="003D458A" w:rsidP="003D458A">
      <w:pPr>
        <w:rPr>
          <w:rFonts w:ascii="Times New Roman" w:hAnsi="Times New Roman" w:cs="Times New Roman"/>
        </w:rPr>
      </w:pPr>
    </w:p>
    <w:p w14:paraId="293FDE96" w14:textId="124AE2CF" w:rsidR="003D458A" w:rsidRDefault="003D458A" w:rsidP="003D458A">
      <w:pPr>
        <w:rPr>
          <w:rFonts w:ascii="Times New Roman" w:hAnsi="Times New Roman" w:cs="Times New Roman"/>
        </w:rPr>
      </w:pPr>
    </w:p>
    <w:p w14:paraId="5DEBC928" w14:textId="3990F8F2" w:rsidR="003D458A" w:rsidRDefault="003D458A" w:rsidP="003D458A">
      <w:pPr>
        <w:rPr>
          <w:rFonts w:ascii="Times New Roman" w:hAnsi="Times New Roman" w:cs="Times New Roman"/>
        </w:rPr>
      </w:pPr>
    </w:p>
    <w:p w14:paraId="09AB2798" w14:textId="061AB73B" w:rsidR="003D458A" w:rsidRDefault="003D458A" w:rsidP="003D458A">
      <w:pPr>
        <w:rPr>
          <w:rFonts w:ascii="Times New Roman" w:hAnsi="Times New Roman" w:cs="Times New Roman"/>
        </w:rPr>
      </w:pPr>
    </w:p>
    <w:p w14:paraId="064E0953" w14:textId="75517AEF" w:rsidR="003D458A" w:rsidRPr="003D458A" w:rsidRDefault="003D458A" w:rsidP="003D458A">
      <w:pPr>
        <w:spacing w:line="360" w:lineRule="auto"/>
        <w:rPr>
          <w:rFonts w:ascii="Times New Roman" w:hAnsi="Times New Roman" w:cs="Times New Roman"/>
          <w:b/>
          <w:bCs/>
        </w:rPr>
      </w:pPr>
      <w:r w:rsidRPr="003D458A">
        <w:rPr>
          <w:rFonts w:ascii="Times New Roman" w:hAnsi="Times New Roman" w:cs="Times New Roman"/>
          <w:b/>
          <w:bCs/>
        </w:rPr>
        <w:lastRenderedPageBreak/>
        <w:t>Supplementary Figure S5</w:t>
      </w:r>
    </w:p>
    <w:p w14:paraId="339CD786" w14:textId="51E614F0" w:rsidR="003D458A" w:rsidRDefault="003D458A" w:rsidP="003D458A">
      <w:pPr>
        <w:spacing w:line="360" w:lineRule="auto"/>
        <w:rPr>
          <w:rFonts w:ascii="Times New Roman" w:hAnsi="Times New Roman" w:cs="Times New Roman"/>
        </w:rPr>
      </w:pPr>
      <w:r w:rsidRPr="003D458A">
        <w:rPr>
          <w:rFonts w:ascii="Times New Roman" w:hAnsi="Times New Roman" w:cs="Times New Roman"/>
        </w:rPr>
        <w:t>Based on the TCGA dataset, the UALCAN tool was used to analyze FDX1 methylation values from primary tumors and normal tissue.</w:t>
      </w:r>
    </w:p>
    <w:p w14:paraId="02BE2D9B" w14:textId="420C6729" w:rsidR="003D458A" w:rsidRDefault="003D458A" w:rsidP="003D45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46DCF63F" wp14:editId="00C9353F">
            <wp:extent cx="5274310" cy="4219575"/>
            <wp:effectExtent l="0" t="0" r="2540" b="9525"/>
            <wp:docPr id="5" name="图片 5" descr="图形用户界面, 图表, 应用程序, 箱线图, PowerPoint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形用户界面, 图表, 应用程序, 箱线图, PowerPoint&#10;&#10;描述已自动生成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B6F78" w14:textId="77777777" w:rsidR="003D458A" w:rsidRDefault="003D458A" w:rsidP="003D458A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1815D4AF" w14:textId="77777777" w:rsidR="003D458A" w:rsidRDefault="003D458A" w:rsidP="003D458A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73F0FB68" w14:textId="77777777" w:rsidR="003D458A" w:rsidRDefault="003D458A" w:rsidP="003D458A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67A45B66" w14:textId="77777777" w:rsidR="003D458A" w:rsidRDefault="003D458A" w:rsidP="003D458A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3EE461E5" w14:textId="77777777" w:rsidR="003D458A" w:rsidRDefault="003D458A" w:rsidP="003D458A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59B8F2F8" w14:textId="77777777" w:rsidR="003D458A" w:rsidRDefault="003D458A" w:rsidP="003D458A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77CF8BE7" w14:textId="77777777" w:rsidR="003D458A" w:rsidRDefault="003D458A" w:rsidP="003D458A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A45E3F7" w14:textId="77777777" w:rsidR="003D458A" w:rsidRDefault="003D458A" w:rsidP="003D458A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63F83699" w14:textId="77777777" w:rsidR="003D458A" w:rsidRDefault="003D458A" w:rsidP="003D458A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4EB72E49" w14:textId="77777777" w:rsidR="003D458A" w:rsidRDefault="003D458A" w:rsidP="003D458A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57675C63" w14:textId="77777777" w:rsidR="003D458A" w:rsidRDefault="003D458A" w:rsidP="003D458A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23A37B5F" w14:textId="77777777" w:rsidR="003D458A" w:rsidRDefault="003D458A" w:rsidP="003D458A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5DC75793" w14:textId="33501E34" w:rsidR="003D458A" w:rsidRDefault="003D458A" w:rsidP="003D458A">
      <w:pPr>
        <w:spacing w:line="360" w:lineRule="auto"/>
        <w:rPr>
          <w:rFonts w:ascii="Times New Roman" w:hAnsi="Times New Roman" w:cs="Times New Roman"/>
          <w:b/>
          <w:bCs/>
        </w:rPr>
      </w:pPr>
      <w:r w:rsidRPr="003D458A">
        <w:rPr>
          <w:rFonts w:ascii="Times New Roman" w:hAnsi="Times New Roman" w:cs="Times New Roman"/>
          <w:b/>
          <w:bCs/>
        </w:rPr>
        <w:lastRenderedPageBreak/>
        <w:t>Supplementary Figure S6</w:t>
      </w:r>
    </w:p>
    <w:p w14:paraId="70DE6F5A" w14:textId="51C0B41E" w:rsidR="003D458A" w:rsidRDefault="003D458A" w:rsidP="003D458A">
      <w:pPr>
        <w:spacing w:line="360" w:lineRule="auto"/>
        <w:rPr>
          <w:rFonts w:ascii="Times New Roman" w:hAnsi="Times New Roman" w:cs="Times New Roman"/>
        </w:rPr>
      </w:pPr>
      <w:r w:rsidRPr="003D458A">
        <w:rPr>
          <w:rFonts w:ascii="Times New Roman" w:hAnsi="Times New Roman" w:cs="Times New Roman"/>
        </w:rPr>
        <w:t>The TIMER2.0 database was used to analyze the relationship between FDX1 expression and immune cell infiltration (including B cells, CD8+T cells, DC cells, NK cells, neutrophils and macrophages).</w:t>
      </w:r>
    </w:p>
    <w:p w14:paraId="4EB8EC31" w14:textId="65F42384" w:rsidR="003D458A" w:rsidRDefault="003D458A" w:rsidP="003D458A">
      <w:pPr>
        <w:spacing w:line="360" w:lineRule="auto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1DB244E" wp14:editId="20EAACCE">
            <wp:extent cx="5274310" cy="6628765"/>
            <wp:effectExtent l="0" t="0" r="2540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2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220F7" w14:textId="38E786F0" w:rsidR="003D458A" w:rsidRDefault="003D458A" w:rsidP="003D458A">
      <w:pPr>
        <w:rPr>
          <w:rFonts w:ascii="Times New Roman" w:hAnsi="Times New Roman" w:cs="Times New Roman"/>
        </w:rPr>
      </w:pPr>
    </w:p>
    <w:p w14:paraId="25306B8C" w14:textId="4D9AA2D7" w:rsidR="003D458A" w:rsidRDefault="003D458A" w:rsidP="003D458A">
      <w:pPr>
        <w:rPr>
          <w:rFonts w:ascii="Times New Roman" w:hAnsi="Times New Roman" w:cs="Times New Roman"/>
        </w:rPr>
      </w:pPr>
    </w:p>
    <w:p w14:paraId="4065E8CC" w14:textId="20A0BA05" w:rsidR="003D458A" w:rsidRDefault="003D458A" w:rsidP="003D458A">
      <w:pPr>
        <w:rPr>
          <w:rFonts w:ascii="Times New Roman" w:hAnsi="Times New Roman" w:cs="Times New Roman"/>
        </w:rPr>
      </w:pPr>
    </w:p>
    <w:p w14:paraId="510D1879" w14:textId="7E70BECF" w:rsidR="003D458A" w:rsidRDefault="003D458A" w:rsidP="003D458A">
      <w:pPr>
        <w:rPr>
          <w:rFonts w:ascii="Times New Roman" w:hAnsi="Times New Roman" w:cs="Times New Roman"/>
        </w:rPr>
      </w:pPr>
    </w:p>
    <w:p w14:paraId="4654F7C5" w14:textId="44B2220C" w:rsidR="003D458A" w:rsidRDefault="003D458A" w:rsidP="003D458A">
      <w:pPr>
        <w:rPr>
          <w:rFonts w:ascii="Times New Roman" w:hAnsi="Times New Roman" w:cs="Times New Roman"/>
        </w:rPr>
      </w:pPr>
    </w:p>
    <w:p w14:paraId="00D10C44" w14:textId="77777777" w:rsidR="003D458A" w:rsidRPr="003D458A" w:rsidRDefault="003D458A" w:rsidP="003D458A">
      <w:pPr>
        <w:rPr>
          <w:rFonts w:ascii="Times New Roman" w:hAnsi="Times New Roman" w:cs="Times New Roman" w:hint="eastAsia"/>
        </w:rPr>
      </w:pPr>
    </w:p>
    <w:sectPr w:rsidR="003D458A" w:rsidRPr="003D45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84D7B" w14:textId="77777777" w:rsidR="003B2BC9" w:rsidRDefault="003B2BC9" w:rsidP="003D458A">
      <w:r>
        <w:separator/>
      </w:r>
    </w:p>
  </w:endnote>
  <w:endnote w:type="continuationSeparator" w:id="0">
    <w:p w14:paraId="6EFE52AA" w14:textId="77777777" w:rsidR="003B2BC9" w:rsidRDefault="003B2BC9" w:rsidP="003D4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43334" w14:textId="77777777" w:rsidR="003B2BC9" w:rsidRDefault="003B2BC9" w:rsidP="003D458A">
      <w:r>
        <w:separator/>
      </w:r>
    </w:p>
  </w:footnote>
  <w:footnote w:type="continuationSeparator" w:id="0">
    <w:p w14:paraId="2C33DC6E" w14:textId="77777777" w:rsidR="003B2BC9" w:rsidRDefault="003B2BC9" w:rsidP="003D45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BC8"/>
    <w:rsid w:val="003B2BC9"/>
    <w:rsid w:val="003D458A"/>
    <w:rsid w:val="00404BC8"/>
    <w:rsid w:val="007E1EEA"/>
    <w:rsid w:val="00FA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32175"/>
  <w15:chartTrackingRefBased/>
  <w15:docId w15:val="{38AD8BD3-A458-4A51-926B-0D8A24046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45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458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45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45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254226590@qq.com</dc:creator>
  <cp:keywords/>
  <dc:description/>
  <cp:lastModifiedBy>254226590@qq.com</cp:lastModifiedBy>
  <cp:revision>2</cp:revision>
  <dcterms:created xsi:type="dcterms:W3CDTF">2023-03-14T14:27:00Z</dcterms:created>
  <dcterms:modified xsi:type="dcterms:W3CDTF">2023-03-14T14:33:00Z</dcterms:modified>
</cp:coreProperties>
</file>