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line="480" w:lineRule="auto"/>
        <w:jc w:val="both"/>
        <w:rPr>
          <w:rFonts w:ascii="Times New Roman" w:cs="Times New Roman" w:eastAsia="Times New Roman" w:hAnsi="Times New Roman"/>
          <w:b w:val="1"/>
          <w:color w:val="222222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highlight w:val="white"/>
          <w:rtl w:val="0"/>
        </w:rPr>
        <w:t xml:space="preserve">Highlights:</w:t>
      </w:r>
    </w:p>
    <w:p w:rsidR="00000000" w:rsidDel="00000000" w:rsidP="00000000" w:rsidRDefault="00000000" w:rsidRPr="00000000" w14:paraId="00000002">
      <w:pPr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line="480" w:lineRule="auto"/>
        <w:ind w:left="1080" w:hanging="36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highlight w:val="white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Challenging scenarios (as appendicular phlegmon) in emergency procedures require structured and complex decisions that may significantly impact patient outcomes.</w:t>
      </w:r>
    </w:p>
    <w:p w:rsidR="00000000" w:rsidDel="00000000" w:rsidP="00000000" w:rsidRDefault="00000000" w:rsidRPr="00000000" w14:paraId="00000003">
      <w:pPr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line="480" w:lineRule="auto"/>
        <w:ind w:left="1080" w:hanging="36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highlight w:val="white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Complication rates of surgical management for appendiceal phlegmon are similar to those described in literature despite its emergent circumstances.</w:t>
      </w:r>
    </w:p>
    <w:p w:rsidR="00000000" w:rsidDel="00000000" w:rsidP="00000000" w:rsidRDefault="00000000" w:rsidRPr="00000000" w14:paraId="00000004">
      <w:pPr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line="480" w:lineRule="auto"/>
        <w:ind w:left="108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highlight w:val="white"/>
          <w:rtl w:val="0"/>
        </w:rPr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Complications are inversely related to surgeon expertise.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