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1C2E" w14:textId="0BFE06CB" w:rsidR="002C3BFA" w:rsidRDefault="00B379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3516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Methods</w:t>
      </w:r>
    </w:p>
    <w:p w14:paraId="2B575384" w14:textId="77777777" w:rsidR="00B379AD" w:rsidRDefault="00B379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10E136" w14:textId="77777777" w:rsidR="00B379AD" w:rsidRPr="00B379AD" w:rsidRDefault="00B379AD" w:rsidP="00B379AD">
      <w:pPr>
        <w:autoSpaceDE w:val="0"/>
        <w:autoSpaceDN w:val="0"/>
        <w:adjustRightInd w:val="0"/>
        <w:spacing w:line="360" w:lineRule="auto"/>
        <w:rPr>
          <w:rFonts w:ascii="Times New Roman" w:eastAsia="WarnockPro-Regular" w:hAnsi="Times New Roman" w:cs="Times New Roman"/>
          <w:kern w:val="0"/>
          <w:sz w:val="24"/>
          <w:szCs w:val="24"/>
        </w:rPr>
      </w:pPr>
      <w:bookmarkStart w:id="0" w:name="_Hlk71551747"/>
      <w:r w:rsidRPr="00B379AD">
        <w:rPr>
          <w:rFonts w:ascii="Times New Roman" w:eastAsia="WarnockPro-Regular" w:hAnsi="Times New Roman" w:cs="Times New Roman"/>
          <w:b/>
          <w:kern w:val="0"/>
          <w:sz w:val="24"/>
          <w:szCs w:val="24"/>
        </w:rPr>
        <w:t>Intracellular immunofluorescence staining</w:t>
      </w:r>
      <w:bookmarkEnd w:id="0"/>
      <w:r w:rsidRPr="00B379AD">
        <w:rPr>
          <w:rFonts w:ascii="Times New Roman" w:eastAsia="WarnockPro-Regular" w:hAnsi="Times New Roman" w:cs="Times New Roman"/>
          <w:b/>
          <w:kern w:val="0"/>
          <w:sz w:val="24"/>
          <w:szCs w:val="24"/>
        </w:rPr>
        <w:t>.</w:t>
      </w:r>
      <w:r w:rsidRPr="00B379AD">
        <w:rPr>
          <w:rFonts w:ascii="Times New Roman" w:eastAsia="WarnockPro-Regular" w:hAnsi="Times New Roman" w:cs="Times New Roman"/>
          <w:kern w:val="0"/>
          <w:sz w:val="24"/>
          <w:szCs w:val="24"/>
        </w:rPr>
        <w:t xml:space="preserve"> Cells were fixed with 4% paraformaldehyde for 15 min at room temperature. For intracellular staining, cells were permeabilized using 0.1% Triton X-100 in (PBS) for 10 min and blocked with 3% BSA in PBS at room temperature for 1 h. The staining was performed using primary antibodies against F8 (Santa Cruz Biotechnology, 1:50 dilution) at room temperature for 1h. After PBS washing three times, cells were stained with a secondary anti-mouse Ab conjugated with Alexa Flour 488 (Thermo Fisher Scientific) at room temperature in the dark for 30 min. The nuclei were counterstained with 4',6-Diamidino-2-Phenylindole, Dihydrochloride (DAPI, Thermo Fisher Scientific). Fluorescence images were acquired using a fluorescence microscope (LSM 800, Zeiss) and a Zeiss software, version 4.1.</w:t>
      </w:r>
    </w:p>
    <w:p w14:paraId="633F9A57" w14:textId="77777777" w:rsidR="00B379AD" w:rsidRPr="00B379AD" w:rsidRDefault="00B379AD"/>
    <w:sectPr w:rsidR="00B379AD" w:rsidRPr="00B37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nockPro-Regular">
    <w:altName w:val="Microsoft YaHei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AD"/>
    <w:rsid w:val="002C3BFA"/>
    <w:rsid w:val="004B171F"/>
    <w:rsid w:val="00A27CE3"/>
    <w:rsid w:val="00B3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626DB"/>
  <w15:chartTrackingRefBased/>
  <w15:docId w15:val="{BAB83EB7-5D55-426B-980F-F5081583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Chang,Lung-Ji</cp:lastModifiedBy>
  <cp:revision>2</cp:revision>
  <dcterms:created xsi:type="dcterms:W3CDTF">2022-10-26T04:52:00Z</dcterms:created>
  <dcterms:modified xsi:type="dcterms:W3CDTF">2022-10-26T04:52:00Z</dcterms:modified>
</cp:coreProperties>
</file>