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D5DCC" w14:textId="77777777" w:rsidR="00750439" w:rsidRPr="00964F5A" w:rsidRDefault="00750439" w:rsidP="0075043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Extended Data</w:t>
      </w:r>
      <w:r w:rsidRPr="00964F5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F</w:t>
      </w:r>
      <w:r w:rsidRPr="00964F5A">
        <w:rPr>
          <w:rFonts w:ascii="Times New Roman" w:hAnsi="Times New Roman" w:cs="Times New Roman"/>
          <w:b/>
        </w:rPr>
        <w:t>igures</w:t>
      </w:r>
    </w:p>
    <w:p w14:paraId="41144CB3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</w:p>
    <w:p w14:paraId="42CF56F4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  <w:r w:rsidRPr="007E62C0">
        <w:rPr>
          <w:rFonts w:ascii="Times New Roman" w:hAnsi="Times New Roman" w:cs="Times New Roman"/>
          <w:noProof/>
        </w:rPr>
        <w:drawing>
          <wp:inline distT="0" distB="0" distL="0" distR="0" wp14:anchorId="461579AA" wp14:editId="40E93DCF">
            <wp:extent cx="5486400" cy="2377440"/>
            <wp:effectExtent l="0" t="0" r="0" b="381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815E392-BC83-62ED-B3DA-C1E5880B19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815E392-BC83-62ED-B3DA-C1E5880B19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7A602" w14:textId="77777777" w:rsidR="00750439" w:rsidRDefault="00750439" w:rsidP="00750439">
      <w:pPr>
        <w:jc w:val="both"/>
        <w:rPr>
          <w:rFonts w:ascii="Times New Roman" w:hAnsi="Times New Roman" w:cs="Times New Roman"/>
          <w:b/>
        </w:rPr>
      </w:pPr>
    </w:p>
    <w:p w14:paraId="02B86CA1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Extended Data</w:t>
      </w:r>
      <w:r w:rsidRPr="00440554">
        <w:rPr>
          <w:rFonts w:ascii="Times New Roman" w:hAnsi="Times New Roman" w:cs="Times New Roman"/>
          <w:b/>
        </w:rPr>
        <w:t xml:space="preserve"> Figure </w:t>
      </w:r>
      <w:r>
        <w:rPr>
          <w:rFonts w:ascii="Times New Roman" w:hAnsi="Times New Roman" w:cs="Times New Roman"/>
          <w:b/>
        </w:rPr>
        <w:t>1 |</w:t>
      </w:r>
      <w:r>
        <w:rPr>
          <w:rFonts w:ascii="Times New Roman" w:hAnsi="Times New Roman" w:cs="Times New Roman"/>
        </w:rPr>
        <w:t xml:space="preserve"> </w:t>
      </w:r>
      <w:r w:rsidRPr="008D4718">
        <w:rPr>
          <w:rFonts w:ascii="Times New Roman" w:hAnsi="Times New Roman" w:cs="Times New Roman"/>
          <w:b/>
        </w:rPr>
        <w:t>Optical image of device 1 and 2.</w:t>
      </w:r>
      <w:r>
        <w:rPr>
          <w:rFonts w:ascii="Times New Roman" w:hAnsi="Times New Roman" w:cs="Times New Roman"/>
        </w:rPr>
        <w:t xml:space="preserve"> </w:t>
      </w:r>
      <w:r w:rsidRPr="00C24E33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target MoSe</w:t>
      </w:r>
      <w:r w:rsidRPr="00F64E2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monolayer (white) and the moiré bilayer with monolayer MoSe</w:t>
      </w:r>
      <w:r w:rsidRPr="00F64E2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(blue) and WS</w:t>
      </w:r>
      <w:r w:rsidRPr="00F64E2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(red) </w:t>
      </w:r>
      <w:r w:rsidRPr="00C24E33">
        <w:rPr>
          <w:rFonts w:ascii="Times New Roman" w:hAnsi="Times New Roman" w:cs="Times New Roman"/>
        </w:rPr>
        <w:t xml:space="preserve">are labeled </w:t>
      </w:r>
      <w:r>
        <w:rPr>
          <w:rFonts w:ascii="Times New Roman" w:hAnsi="Times New Roman" w:cs="Times New Roman"/>
        </w:rPr>
        <w:t xml:space="preserve">and </w:t>
      </w:r>
      <w:r w:rsidRPr="00C24E33">
        <w:rPr>
          <w:rFonts w:ascii="Times New Roman" w:hAnsi="Times New Roman" w:cs="Times New Roman"/>
        </w:rPr>
        <w:t>outlined. The effective area</w:t>
      </w:r>
      <w:r>
        <w:rPr>
          <w:rFonts w:ascii="Times New Roman" w:hAnsi="Times New Roman" w:cs="Times New Roman"/>
        </w:rPr>
        <w:t xml:space="preserve"> of the devices </w:t>
      </w:r>
      <w:r w:rsidRPr="00C24E33">
        <w:rPr>
          <w:rFonts w:ascii="Times New Roman" w:hAnsi="Times New Roman" w:cs="Times New Roman"/>
        </w:rPr>
        <w:t>is shaded in grey. The scale bar</w:t>
      </w:r>
      <w:r>
        <w:rPr>
          <w:rFonts w:ascii="Times New Roman" w:hAnsi="Times New Roman" w:cs="Times New Roman"/>
        </w:rPr>
        <w:t>s are</w:t>
      </w:r>
      <w:r w:rsidRPr="00C24E33">
        <w:rPr>
          <w:rFonts w:ascii="Times New Roman" w:hAnsi="Times New Roman" w:cs="Times New Roman"/>
        </w:rPr>
        <w:t xml:space="preserve"> 10 μm</w:t>
      </w:r>
      <w:r>
        <w:rPr>
          <w:rFonts w:ascii="Times New Roman" w:hAnsi="Times New Roman" w:cs="Times New Roman"/>
        </w:rPr>
        <w:t>.</w:t>
      </w:r>
    </w:p>
    <w:p w14:paraId="782BFE0E" w14:textId="77777777" w:rsidR="00750439" w:rsidRDefault="00750439" w:rsidP="007504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BE4750" w14:textId="77777777" w:rsidR="00750439" w:rsidRDefault="00750439" w:rsidP="00750439">
      <w:pPr>
        <w:jc w:val="both"/>
        <w:rPr>
          <w:rFonts w:ascii="Times New Roman" w:hAnsi="Times New Roman" w:cs="Times New Roman"/>
          <w:b/>
        </w:rPr>
      </w:pPr>
      <w:r w:rsidRPr="00C95A22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4EF4F9E0" wp14:editId="2722F1C0">
            <wp:extent cx="5464008" cy="3347924"/>
            <wp:effectExtent l="0" t="0" r="3810" b="5080"/>
            <wp:docPr id="6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4B0491D8-D811-1A93-1590-8064966A13A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4">
                      <a:extLst>
                        <a:ext uri="{FF2B5EF4-FFF2-40B4-BE49-F238E27FC236}">
                          <a16:creationId xmlns:a16="http://schemas.microsoft.com/office/drawing/2014/main" id="{4B0491D8-D811-1A93-1590-8064966A13A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4008" cy="334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2ABF2" w14:textId="77777777" w:rsidR="00750439" w:rsidRDefault="00750439" w:rsidP="00750439">
      <w:pPr>
        <w:jc w:val="both"/>
        <w:rPr>
          <w:rFonts w:ascii="Times New Roman" w:hAnsi="Times New Roman" w:cs="Times New Roman"/>
          <w:b/>
        </w:rPr>
      </w:pPr>
    </w:p>
    <w:p w14:paraId="474B1B43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  <w:r w:rsidRPr="00C63967">
        <w:rPr>
          <w:rFonts w:ascii="Times New Roman" w:hAnsi="Times New Roman" w:cs="Times New Roman"/>
          <w:b/>
        </w:rPr>
        <w:t xml:space="preserve">Extended Data Figure 2 | </w:t>
      </w:r>
      <w:r>
        <w:rPr>
          <w:rFonts w:ascii="Times New Roman" w:hAnsi="Times New Roman" w:cs="Times New Roman"/>
          <w:b/>
        </w:rPr>
        <w:t xml:space="preserve">Gate </w:t>
      </w:r>
      <w:r w:rsidRPr="00C63967">
        <w:rPr>
          <w:rFonts w:ascii="Times New Roman" w:hAnsi="Times New Roman" w:cs="Times New Roman"/>
          <w:b/>
        </w:rPr>
        <w:t xml:space="preserve">dependent </w:t>
      </w:r>
      <w:r>
        <w:rPr>
          <w:rFonts w:ascii="Times New Roman" w:hAnsi="Times New Roman" w:cs="Times New Roman"/>
          <w:b/>
        </w:rPr>
        <w:t>r</w:t>
      </w:r>
      <w:r w:rsidRPr="00C63967">
        <w:rPr>
          <w:rFonts w:ascii="Times New Roman" w:hAnsi="Times New Roman" w:cs="Times New Roman"/>
          <w:b/>
        </w:rPr>
        <w:t>eflect</w:t>
      </w:r>
      <w:r>
        <w:rPr>
          <w:rFonts w:ascii="Times New Roman" w:hAnsi="Times New Roman" w:cs="Times New Roman"/>
          <w:b/>
        </w:rPr>
        <w:t xml:space="preserve">ance </w:t>
      </w:r>
      <w:r w:rsidRPr="00C63967">
        <w:rPr>
          <w:rFonts w:ascii="Times New Roman" w:hAnsi="Times New Roman" w:cs="Times New Roman"/>
          <w:b/>
        </w:rPr>
        <w:t xml:space="preserve">contrast spectrum </w:t>
      </w:r>
      <w:r>
        <w:rPr>
          <w:rFonts w:ascii="Times New Roman" w:hAnsi="Times New Roman" w:cs="Times New Roman"/>
          <w:b/>
        </w:rPr>
        <w:t xml:space="preserve">(device </w:t>
      </w:r>
      <w:r w:rsidRPr="00C63967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)</w:t>
      </w:r>
      <w:r w:rsidRPr="00C63967">
        <w:rPr>
          <w:rFonts w:ascii="Times New Roman" w:hAnsi="Times New Roman" w:cs="Times New Roman"/>
          <w:b/>
        </w:rPr>
        <w:t>.</w:t>
      </w:r>
      <w:r w:rsidRPr="00030C2E">
        <w:rPr>
          <w:rFonts w:ascii="Times New Roman" w:hAnsi="Times New Roman" w:cs="Times New Roman"/>
        </w:rPr>
        <w:t xml:space="preserve"> </w:t>
      </w:r>
      <w:r w:rsidRPr="00030C2E">
        <w:rPr>
          <w:rFonts w:ascii="Times New Roman" w:hAnsi="Times New Roman" w:cs="Times New Roman"/>
          <w:b/>
          <w:bCs/>
        </w:rPr>
        <w:t>a,b</w:t>
      </w:r>
      <w:r w:rsidRPr="00030C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Gate voltage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>
        <w:rPr>
          <w:rFonts w:ascii="Times New Roman" w:hAnsi="Times New Roman" w:cs="Times New Roman"/>
        </w:rPr>
        <w:t>)</w:t>
      </w:r>
      <w:r w:rsidRPr="00030C2E">
        <w:rPr>
          <w:rFonts w:ascii="Times New Roman" w:hAnsi="Times New Roman" w:cs="Times New Roman"/>
        </w:rPr>
        <w:t xml:space="preserve"> dependent reflect</w:t>
      </w:r>
      <w:r>
        <w:rPr>
          <w:rFonts w:ascii="Times New Roman" w:hAnsi="Times New Roman" w:cs="Times New Roman"/>
        </w:rPr>
        <w:t xml:space="preserve">ance </w:t>
      </w:r>
      <w:r w:rsidRPr="00030C2E">
        <w:rPr>
          <w:rFonts w:ascii="Times New Roman" w:hAnsi="Times New Roman" w:cs="Times New Roman"/>
        </w:rPr>
        <w:t>contrast spectrum at electric field 0.045 V/nm (</w:t>
      </w:r>
      <w:r w:rsidRPr="00030C2E">
        <w:rPr>
          <w:rFonts w:ascii="Times New Roman" w:hAnsi="Times New Roman" w:cs="Times New Roman"/>
          <w:b/>
          <w:bCs/>
        </w:rPr>
        <w:t>a</w:t>
      </w:r>
      <w:r w:rsidRPr="00030C2E">
        <w:rPr>
          <w:rFonts w:ascii="Times New Roman" w:hAnsi="Times New Roman" w:cs="Times New Roman"/>
        </w:rPr>
        <w:t>) and 0.12 V/nm (</w:t>
      </w:r>
      <w:r w:rsidRPr="00030C2E">
        <w:rPr>
          <w:rFonts w:ascii="Times New Roman" w:hAnsi="Times New Roman" w:cs="Times New Roman"/>
          <w:b/>
          <w:bCs/>
        </w:rPr>
        <w:t>b</w:t>
      </w:r>
      <w:r w:rsidRPr="00030C2E">
        <w:rPr>
          <w:rFonts w:ascii="Times New Roman" w:hAnsi="Times New Roman" w:cs="Times New Roman"/>
        </w:rPr>
        <w:t>). Five different exciton species can be identified: the fundamental moiré exciton MX</w:t>
      </w:r>
      <w:r w:rsidRPr="00715515">
        <w:rPr>
          <w:rFonts w:ascii="Times New Roman" w:hAnsi="Times New Roman" w:cs="Times New Roman"/>
          <w:vertAlign w:val="subscript"/>
        </w:rPr>
        <w:t>1</w:t>
      </w:r>
      <w:r w:rsidRPr="00030C2E">
        <w:rPr>
          <w:rFonts w:ascii="Times New Roman" w:hAnsi="Times New Roman" w:cs="Times New Roman"/>
        </w:rPr>
        <w:t xml:space="preserve">, the </w:t>
      </w:r>
      <w:r w:rsidRPr="001B72CD">
        <w:rPr>
          <w:rFonts w:ascii="Times New Roman" w:hAnsi="Times New Roman" w:cs="Times New Roman"/>
        </w:rPr>
        <w:t>excited</w:t>
      </w:r>
      <w:r w:rsidRPr="00030C2E">
        <w:rPr>
          <w:rFonts w:ascii="Times New Roman" w:hAnsi="Times New Roman" w:cs="Times New Roman"/>
        </w:rPr>
        <w:t xml:space="preserve"> moiré exciton MX</w:t>
      </w:r>
      <w:r w:rsidRPr="00715515">
        <w:rPr>
          <w:rFonts w:ascii="Times New Roman" w:hAnsi="Times New Roman" w:cs="Times New Roman"/>
          <w:vertAlign w:val="subscript"/>
        </w:rPr>
        <w:t>2</w:t>
      </w:r>
      <w:r w:rsidRPr="00030C2E">
        <w:rPr>
          <w:rFonts w:ascii="Times New Roman" w:hAnsi="Times New Roman" w:cs="Times New Roman"/>
        </w:rPr>
        <w:t>, the neutral (X) and charged (X</w:t>
      </w:r>
      <w:r w:rsidRPr="00030C2E">
        <w:rPr>
          <w:rFonts w:ascii="Times New Roman" w:hAnsi="Times New Roman" w:cs="Times New Roman"/>
          <w:vertAlign w:val="superscript"/>
        </w:rPr>
        <w:t>-</w:t>
      </w:r>
      <w:r w:rsidRPr="00030C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excitons of</w:t>
      </w:r>
      <w:r w:rsidRPr="00030C2E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target</w:t>
      </w:r>
      <w:r w:rsidRPr="00030C2E">
        <w:rPr>
          <w:rFonts w:ascii="Times New Roman" w:hAnsi="Times New Roman" w:cs="Times New Roman"/>
        </w:rPr>
        <w:t xml:space="preserve"> layer, and the 2s exciton of the sensor layer. </w:t>
      </w:r>
      <w:r>
        <w:rPr>
          <w:rFonts w:ascii="Times New Roman" w:hAnsi="Times New Roman" w:cs="Times New Roman"/>
        </w:rPr>
        <w:t xml:space="preserve">The red dashed arrows denote the onset of electron doping in the device. The moiré (target) layer is first doped at low (high) electric field. </w:t>
      </w:r>
    </w:p>
    <w:p w14:paraId="2761A399" w14:textId="77777777" w:rsidR="00750439" w:rsidRDefault="00750439" w:rsidP="007504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CDE3BF" w14:textId="77777777" w:rsidR="00750439" w:rsidRDefault="00750439" w:rsidP="00750439">
      <w:pPr>
        <w:jc w:val="both"/>
        <w:rPr>
          <w:rFonts w:ascii="Times New Roman" w:hAnsi="Times New Roman" w:cs="Times New Roman"/>
          <w:b/>
        </w:rPr>
      </w:pPr>
      <w:r w:rsidRPr="00C95A22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02A11165" wp14:editId="7824FD78">
            <wp:extent cx="5441950" cy="4675558"/>
            <wp:effectExtent l="0" t="0" r="6350" b="0"/>
            <wp:docPr id="8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4B0491D8-D811-1A93-1590-8064966A13A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4">
                      <a:extLst>
                        <a:ext uri="{FF2B5EF4-FFF2-40B4-BE49-F238E27FC236}">
                          <a16:creationId xmlns:a16="http://schemas.microsoft.com/office/drawing/2014/main" id="{4B0491D8-D811-1A93-1590-8064966A13A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6082" cy="46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6F4F2" w14:textId="77777777" w:rsidR="00750439" w:rsidRDefault="00750439" w:rsidP="00750439">
      <w:pPr>
        <w:jc w:val="both"/>
        <w:rPr>
          <w:rFonts w:ascii="Times New Roman" w:hAnsi="Times New Roman" w:cs="Times New Roman"/>
          <w:b/>
        </w:rPr>
      </w:pPr>
    </w:p>
    <w:p w14:paraId="000FCA99" w14:textId="77777777" w:rsidR="00750439" w:rsidRPr="00AE0AFD" w:rsidRDefault="00750439" w:rsidP="00750439">
      <w:pPr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</w:rPr>
        <w:t>Extended Data</w:t>
      </w:r>
      <w:r w:rsidRPr="00030C2E">
        <w:rPr>
          <w:rFonts w:ascii="Times New Roman" w:hAnsi="Times New Roman" w:cs="Times New Roman"/>
          <w:b/>
        </w:rPr>
        <w:t xml:space="preserve"> Figure </w:t>
      </w:r>
      <w:r>
        <w:rPr>
          <w:rFonts w:ascii="Times New Roman" w:hAnsi="Times New Roman" w:cs="Times New Roman"/>
          <w:b/>
        </w:rPr>
        <w:t xml:space="preserve">3 </w:t>
      </w:r>
      <w:r w:rsidRPr="00E219FF">
        <w:rPr>
          <w:rFonts w:ascii="Times New Roman" w:hAnsi="Times New Roman" w:cs="Times New Roman"/>
          <w:b/>
        </w:rPr>
        <w:t>| Electrostatics phase diagram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</w:rPr>
        <w:t xml:space="preserve">device </w:t>
      </w:r>
      <w:r w:rsidRPr="00030C2E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)</w:t>
      </w:r>
      <w:r w:rsidRPr="00030C2E">
        <w:rPr>
          <w:rFonts w:ascii="Times New Roman" w:hAnsi="Times New Roman" w:cs="Times New Roman"/>
          <w:b/>
        </w:rPr>
        <w:t>.</w:t>
      </w:r>
      <w:r w:rsidRPr="00030C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a</w:t>
      </w:r>
      <w:r w:rsidRPr="00030C2E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d</w:t>
      </w:r>
      <w:r w:rsidRPr="00030C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Electric-field (</w:t>
      </w:r>
      <m:oMath>
        <m:r>
          <w:rPr>
            <w:rFonts w:ascii="Cambria Math" w:hAnsi="Cambria Math" w:cs="Times New Roman"/>
          </w:rPr>
          <m:t>E</m:t>
        </m:r>
      </m:oMath>
      <w:r>
        <w:rPr>
          <w:rFonts w:ascii="Times New Roman" w:hAnsi="Times New Roman" w:cs="Times New Roman"/>
        </w:rPr>
        <w:t>) and gate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>
        <w:rPr>
          <w:rFonts w:ascii="Times New Roman" w:hAnsi="Times New Roman" w:cs="Times New Roman"/>
        </w:rPr>
        <w:t xml:space="preserve">) dependences of the spectral feature corresponding to the sensor </w:t>
      </w:r>
      <w:r w:rsidRPr="00030C2E">
        <w:rPr>
          <w:rFonts w:ascii="Times New Roman" w:hAnsi="Times New Roman" w:cs="Times New Roman"/>
        </w:rPr>
        <w:t>2s</w:t>
      </w:r>
      <w:r>
        <w:rPr>
          <w:rFonts w:ascii="Times New Roman" w:hAnsi="Times New Roman" w:cs="Times New Roman"/>
        </w:rPr>
        <w:t xml:space="preserve"> exciton</w:t>
      </w:r>
      <w:r w:rsidRPr="00030C2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a</w:t>
      </w:r>
      <w:r w:rsidRPr="00030C2E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charged exciton </w:t>
      </w:r>
      <w:r w:rsidRPr="00030C2E">
        <w:rPr>
          <w:rFonts w:ascii="Times New Roman" w:hAnsi="Times New Roman" w:cs="Times New Roman"/>
        </w:rPr>
        <w:t>X</w:t>
      </w:r>
      <w:r w:rsidRPr="00030C2E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of the target layer </w:t>
      </w:r>
      <w:r w:rsidRPr="00030C2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b</w:t>
      </w:r>
      <w:r w:rsidRPr="00030C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moiré exciton</w:t>
      </w:r>
      <w:r w:rsidRPr="00030C2E">
        <w:rPr>
          <w:rFonts w:ascii="Times New Roman" w:hAnsi="Times New Roman" w:cs="Times New Roman"/>
        </w:rPr>
        <w:t xml:space="preserve"> MX</w:t>
      </w:r>
      <w:r w:rsidRPr="0074092C">
        <w:rPr>
          <w:rFonts w:ascii="Times New Roman" w:hAnsi="Times New Roman" w:cs="Times New Roman"/>
          <w:vertAlign w:val="subscript"/>
        </w:rPr>
        <w:t>1</w:t>
      </w:r>
      <w:r w:rsidRPr="00030C2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c</w:t>
      </w:r>
      <w:r w:rsidRPr="00030C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</w:t>
      </w:r>
      <w:r w:rsidRPr="00030C2E">
        <w:rPr>
          <w:rFonts w:ascii="Times New Roman" w:hAnsi="Times New Roman" w:cs="Times New Roman"/>
        </w:rPr>
        <w:t>MX</w:t>
      </w:r>
      <w:r w:rsidRPr="0074092C">
        <w:rPr>
          <w:rFonts w:ascii="Times New Roman" w:hAnsi="Times New Roman" w:cs="Times New Roman"/>
          <w:vertAlign w:val="subscript"/>
        </w:rPr>
        <w:t>2</w:t>
      </w:r>
      <w:r w:rsidRPr="00030C2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d</w:t>
      </w:r>
      <w:r w:rsidRPr="00030C2E">
        <w:rPr>
          <w:rFonts w:ascii="Times New Roman" w:hAnsi="Times New Roman" w:cs="Times New Roman"/>
        </w:rPr>
        <w:t>)</w:t>
      </w:r>
      <w:r w:rsidRPr="00030C2E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 xml:space="preserve">The analysis of the reflectance contrast spectra is described in Methods. </w:t>
      </w:r>
      <w:r w:rsidRPr="00030C2E">
        <w:rPr>
          <w:rFonts w:ascii="Times New Roman" w:hAnsi="Times New Roman" w:cs="Times New Roman"/>
          <w:iCs/>
        </w:rPr>
        <w:t>The</w:t>
      </w:r>
      <w:r>
        <w:rPr>
          <w:rFonts w:ascii="Times New Roman" w:hAnsi="Times New Roman" w:cs="Times New Roman"/>
          <w:iCs/>
        </w:rPr>
        <w:t xml:space="preserve"> </w:t>
      </w:r>
      <w:r w:rsidRPr="00030C2E">
        <w:rPr>
          <w:rFonts w:ascii="Times New Roman" w:hAnsi="Times New Roman" w:cs="Times New Roman"/>
          <w:iCs/>
        </w:rPr>
        <w:t>X</w:t>
      </w:r>
      <w:r w:rsidRPr="00890AC9">
        <w:rPr>
          <w:rFonts w:ascii="Times New Roman" w:hAnsi="Times New Roman" w:cs="Times New Roman"/>
          <w:iCs/>
          <w:vertAlign w:val="superscript"/>
        </w:rPr>
        <w:t>-</w:t>
      </w:r>
      <w:r w:rsidRPr="00030C2E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reflectance (</w:t>
      </w:r>
      <w:r>
        <w:rPr>
          <w:rFonts w:ascii="Times New Roman" w:hAnsi="Times New Roman" w:cs="Times New Roman"/>
          <w:b/>
          <w:iCs/>
        </w:rPr>
        <w:t>b</w:t>
      </w:r>
      <w:r>
        <w:rPr>
          <w:rFonts w:ascii="Times New Roman" w:hAnsi="Times New Roman" w:cs="Times New Roman"/>
          <w:iCs/>
        </w:rPr>
        <w:t>)</w:t>
      </w:r>
      <w:r w:rsidRPr="00030C2E">
        <w:rPr>
          <w:rFonts w:ascii="Times New Roman" w:hAnsi="Times New Roman" w:cs="Times New Roman"/>
          <w:iCs/>
        </w:rPr>
        <w:t xml:space="preserve"> determine</w:t>
      </w:r>
      <w:r>
        <w:rPr>
          <w:rFonts w:ascii="Times New Roman" w:hAnsi="Times New Roman" w:cs="Times New Roman"/>
          <w:iCs/>
        </w:rPr>
        <w:t>s</w:t>
      </w:r>
      <w:r w:rsidRPr="00030C2E">
        <w:rPr>
          <w:rFonts w:ascii="Times New Roman" w:hAnsi="Times New Roman" w:cs="Times New Roman"/>
          <w:iCs/>
        </w:rPr>
        <w:t xml:space="preserve"> the boundary </w:t>
      </w:r>
      <w:r>
        <w:rPr>
          <w:rFonts w:ascii="Times New Roman" w:hAnsi="Times New Roman" w:cs="Times New Roman"/>
          <w:iCs/>
        </w:rPr>
        <w:t>between the doped (high) and neutral (low) target</w:t>
      </w:r>
      <w:r w:rsidRPr="00030C2E">
        <w:rPr>
          <w:rFonts w:ascii="Times New Roman" w:hAnsi="Times New Roman" w:cs="Times New Roman"/>
          <w:iCs/>
        </w:rPr>
        <w:t xml:space="preserve"> layer (</w:t>
      </w:r>
      <w:r>
        <w:rPr>
          <w:rFonts w:ascii="Times New Roman" w:hAnsi="Times New Roman" w:cs="Times New Roman"/>
          <w:iCs/>
        </w:rPr>
        <w:t>black solid</w:t>
      </w:r>
      <w:r w:rsidRPr="00030C2E">
        <w:rPr>
          <w:rFonts w:ascii="Times New Roman" w:hAnsi="Times New Roman" w:cs="Times New Roman"/>
          <w:iCs/>
        </w:rPr>
        <w:t xml:space="preserve"> line).</w:t>
      </w:r>
      <w:r>
        <w:rPr>
          <w:rFonts w:ascii="Times New Roman" w:hAnsi="Times New Roman" w:cs="Times New Roman"/>
          <w:iCs/>
        </w:rPr>
        <w:t xml:space="preserve"> The MX</w:t>
      </w:r>
      <w:r w:rsidRPr="0074092C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</w:rPr>
        <w:t xml:space="preserve"> reflectance (</w:t>
      </w:r>
      <w:r>
        <w:rPr>
          <w:rFonts w:ascii="Times New Roman" w:hAnsi="Times New Roman" w:cs="Times New Roman"/>
          <w:b/>
          <w:iCs/>
        </w:rPr>
        <w:t>c</w:t>
      </w:r>
      <w:r>
        <w:rPr>
          <w:rFonts w:ascii="Times New Roman" w:hAnsi="Times New Roman" w:cs="Times New Roman"/>
          <w:iCs/>
        </w:rPr>
        <w:t xml:space="preserve">) determines the boundary between the doped (low) and neutral (high) moiré layer (pink solid line). </w:t>
      </w:r>
      <w:r w:rsidRPr="009F0145">
        <w:rPr>
          <w:rFonts w:ascii="Times New Roman" w:hAnsi="Times New Roman" w:cs="Times New Roman"/>
          <w:iCs/>
        </w:rPr>
        <w:t>The MX</w:t>
      </w:r>
      <w:r w:rsidRPr="0074092C">
        <w:rPr>
          <w:rFonts w:ascii="Times New Roman" w:hAnsi="Times New Roman" w:cs="Times New Roman"/>
          <w:iCs/>
          <w:vertAlign w:val="subscript"/>
        </w:rPr>
        <w:t>2</w:t>
      </w:r>
      <w:r w:rsidRPr="009F0145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reflectance </w:t>
      </w:r>
      <w:r w:rsidRPr="009F0145"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b/>
          <w:iCs/>
        </w:rPr>
        <w:t>d</w:t>
      </w:r>
      <w:r w:rsidRPr="009F0145">
        <w:rPr>
          <w:rFonts w:ascii="Times New Roman" w:hAnsi="Times New Roman" w:cs="Times New Roman"/>
          <w:iCs/>
        </w:rPr>
        <w:t>) determine</w:t>
      </w:r>
      <w:r>
        <w:rPr>
          <w:rFonts w:ascii="Times New Roman" w:hAnsi="Times New Roman" w:cs="Times New Roman"/>
          <w:iCs/>
        </w:rPr>
        <w:t>s</w:t>
      </w:r>
      <w:r w:rsidRPr="009F0145">
        <w:rPr>
          <w:rFonts w:ascii="Times New Roman" w:hAnsi="Times New Roman" w:cs="Times New Roman"/>
          <w:iCs/>
        </w:rPr>
        <w:t xml:space="preserve"> the boundaries </w:t>
      </w:r>
      <w:r>
        <w:rPr>
          <w:rFonts w:ascii="Times New Roman" w:hAnsi="Times New Roman" w:cs="Times New Roman"/>
          <w:iCs/>
        </w:rPr>
        <w:t>of</w:t>
      </w:r>
      <w:r w:rsidRPr="009F0145">
        <w:rPr>
          <w:rFonts w:ascii="Times New Roman" w:hAnsi="Times New Roman" w:cs="Times New Roman"/>
          <w:iCs/>
        </w:rPr>
        <w:t xml:space="preserve"> the </w:t>
      </w:r>
      <m:oMath>
        <m: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)=(1,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)</m:t>
        </m:r>
      </m:oMath>
      <w:r w:rsidRPr="009F0145">
        <w:rPr>
          <w:rFonts w:ascii="Times New Roman" w:hAnsi="Times New Roman" w:cs="Times New Roman"/>
          <w:iCs/>
        </w:rPr>
        <w:t xml:space="preserve"> region</w:t>
      </w:r>
      <w:r>
        <w:rPr>
          <w:rFonts w:ascii="Times New Roman" w:hAnsi="Times New Roman" w:cs="Times New Roman"/>
          <w:iCs/>
        </w:rPr>
        <w:t xml:space="preserve"> with </w:t>
      </w:r>
      <w:r w:rsidRPr="009F0145">
        <w:rPr>
          <w:rFonts w:ascii="Times New Roman" w:hAnsi="Times New Roman" w:cs="Times New Roman"/>
          <w:iCs/>
        </w:rPr>
        <w:t>enhanced contrast</w:t>
      </w:r>
      <w:r>
        <w:rPr>
          <w:rFonts w:ascii="Times New Roman" w:hAnsi="Times New Roman" w:cs="Times New Roman"/>
          <w:iCs/>
        </w:rPr>
        <w:t xml:space="preserve"> </w:t>
      </w:r>
      <w:r w:rsidRPr="009F0145"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iCs/>
        </w:rPr>
        <w:t>pink dashed lines).</w:t>
      </w:r>
      <w:r w:rsidRPr="00030C2E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These boundaries are included in </w:t>
      </w:r>
      <w:r>
        <w:rPr>
          <w:rFonts w:ascii="Times New Roman" w:hAnsi="Times New Roman" w:cs="Times New Roman"/>
          <w:b/>
          <w:iCs/>
        </w:rPr>
        <w:t>a</w:t>
      </w:r>
      <w:r>
        <w:rPr>
          <w:rFonts w:ascii="Times New Roman" w:hAnsi="Times New Roman" w:cs="Times New Roman"/>
          <w:iCs/>
        </w:rPr>
        <w:t xml:space="preserve">. </w:t>
      </w:r>
    </w:p>
    <w:p w14:paraId="78DC0B86" w14:textId="77777777" w:rsidR="00750439" w:rsidRPr="00030C2E" w:rsidRDefault="00750439" w:rsidP="00750439">
      <w:pPr>
        <w:jc w:val="both"/>
        <w:rPr>
          <w:rFonts w:ascii="Times New Roman" w:hAnsi="Times New Roman" w:cs="Times New Roman"/>
          <w:iCs/>
        </w:rPr>
      </w:pPr>
    </w:p>
    <w:p w14:paraId="2CB2F983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</w:p>
    <w:p w14:paraId="691AD201" w14:textId="77777777" w:rsidR="00750439" w:rsidRDefault="00750439" w:rsidP="00750439">
      <w:pPr>
        <w:rPr>
          <w:rFonts w:ascii="Times New Roman" w:hAnsi="Times New Roman" w:cs="Times New Roman"/>
        </w:rPr>
      </w:pPr>
    </w:p>
    <w:p w14:paraId="44F77224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  <w:r w:rsidRPr="006271F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1CE420" wp14:editId="75687005">
            <wp:extent cx="5474999" cy="3702994"/>
            <wp:effectExtent l="0" t="0" r="0" b="0"/>
            <wp:docPr id="7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41354187-F903-0410-DCEC-FEF72725848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4">
                      <a:extLst>
                        <a:ext uri="{FF2B5EF4-FFF2-40B4-BE49-F238E27FC236}">
                          <a16:creationId xmlns:a16="http://schemas.microsoft.com/office/drawing/2014/main" id="{41354187-F903-0410-DCEC-FEF72725848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4999" cy="370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99A1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</w:p>
    <w:p w14:paraId="072CAB6E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Extended Data</w:t>
      </w:r>
      <w:r w:rsidRPr="00030C2E">
        <w:rPr>
          <w:rFonts w:ascii="Times New Roman" w:hAnsi="Times New Roman" w:cs="Times New Roman"/>
          <w:b/>
        </w:rPr>
        <w:t xml:space="preserve"> Figure </w:t>
      </w:r>
      <w:r>
        <w:rPr>
          <w:rFonts w:ascii="Times New Roman" w:hAnsi="Times New Roman" w:cs="Times New Roman"/>
          <w:b/>
        </w:rPr>
        <w:t>4 |</w:t>
      </w:r>
      <w:r w:rsidRPr="00030C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Gate </w:t>
      </w:r>
      <w:r w:rsidRPr="00C63967">
        <w:rPr>
          <w:rFonts w:ascii="Times New Roman" w:hAnsi="Times New Roman" w:cs="Times New Roman"/>
          <w:b/>
        </w:rPr>
        <w:t xml:space="preserve">dependent </w:t>
      </w:r>
      <w:r>
        <w:rPr>
          <w:rFonts w:ascii="Times New Roman" w:hAnsi="Times New Roman" w:cs="Times New Roman"/>
          <w:b/>
        </w:rPr>
        <w:t>r</w:t>
      </w:r>
      <w:r w:rsidRPr="00C63967">
        <w:rPr>
          <w:rFonts w:ascii="Times New Roman" w:hAnsi="Times New Roman" w:cs="Times New Roman"/>
          <w:b/>
        </w:rPr>
        <w:t>eflect</w:t>
      </w:r>
      <w:r>
        <w:rPr>
          <w:rFonts w:ascii="Times New Roman" w:hAnsi="Times New Roman" w:cs="Times New Roman"/>
          <w:b/>
        </w:rPr>
        <w:t xml:space="preserve">ance </w:t>
      </w:r>
      <w:r w:rsidRPr="00C63967">
        <w:rPr>
          <w:rFonts w:ascii="Times New Roman" w:hAnsi="Times New Roman" w:cs="Times New Roman"/>
          <w:b/>
        </w:rPr>
        <w:t xml:space="preserve">contrast spectrum </w:t>
      </w:r>
      <w:r>
        <w:rPr>
          <w:rFonts w:ascii="Times New Roman" w:hAnsi="Times New Roman" w:cs="Times New Roman"/>
          <w:b/>
        </w:rPr>
        <w:t>(device 2)</w:t>
      </w:r>
      <w:r w:rsidRPr="00C63967">
        <w:rPr>
          <w:rFonts w:ascii="Times New Roman" w:hAnsi="Times New Roman" w:cs="Times New Roman"/>
          <w:b/>
        </w:rPr>
        <w:t>.</w:t>
      </w:r>
      <w:r w:rsidRPr="00030C2E">
        <w:rPr>
          <w:rFonts w:ascii="Times New Roman" w:hAnsi="Times New Roman" w:cs="Times New Roman"/>
        </w:rPr>
        <w:t xml:space="preserve"> </w:t>
      </w:r>
      <w:r w:rsidRPr="00030C2E">
        <w:rPr>
          <w:rFonts w:ascii="Times New Roman" w:hAnsi="Times New Roman" w:cs="Times New Roman"/>
          <w:b/>
          <w:bCs/>
        </w:rPr>
        <w:t>a,b</w:t>
      </w:r>
      <w:r w:rsidRPr="00030C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Gate voltage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>
        <w:rPr>
          <w:rFonts w:ascii="Times New Roman" w:hAnsi="Times New Roman" w:cs="Times New Roman"/>
        </w:rPr>
        <w:t>)</w:t>
      </w:r>
      <w:r w:rsidRPr="00030C2E">
        <w:rPr>
          <w:rFonts w:ascii="Times New Roman" w:hAnsi="Times New Roman" w:cs="Times New Roman"/>
        </w:rPr>
        <w:t xml:space="preserve"> dependent reflect</w:t>
      </w:r>
      <w:r>
        <w:rPr>
          <w:rFonts w:ascii="Times New Roman" w:hAnsi="Times New Roman" w:cs="Times New Roman"/>
        </w:rPr>
        <w:t xml:space="preserve">ance </w:t>
      </w:r>
      <w:r w:rsidRPr="00030C2E">
        <w:rPr>
          <w:rFonts w:ascii="Times New Roman" w:hAnsi="Times New Roman" w:cs="Times New Roman"/>
        </w:rPr>
        <w:t>contrast spectrum at electric field 0.0</w:t>
      </w:r>
      <w:r>
        <w:rPr>
          <w:rFonts w:ascii="Times New Roman" w:hAnsi="Times New Roman" w:cs="Times New Roman"/>
        </w:rPr>
        <w:t>7</w:t>
      </w:r>
      <w:r w:rsidRPr="00030C2E">
        <w:rPr>
          <w:rFonts w:ascii="Times New Roman" w:hAnsi="Times New Roman" w:cs="Times New Roman"/>
        </w:rPr>
        <w:t xml:space="preserve"> V/nm (</w:t>
      </w:r>
      <w:r w:rsidRPr="00030C2E">
        <w:rPr>
          <w:rFonts w:ascii="Times New Roman" w:hAnsi="Times New Roman" w:cs="Times New Roman"/>
          <w:b/>
          <w:bCs/>
        </w:rPr>
        <w:t>a</w:t>
      </w:r>
      <w:r w:rsidRPr="00030C2E">
        <w:rPr>
          <w:rFonts w:ascii="Times New Roman" w:hAnsi="Times New Roman" w:cs="Times New Roman"/>
        </w:rPr>
        <w:t>) and 0.1</w:t>
      </w:r>
      <w:r>
        <w:rPr>
          <w:rFonts w:ascii="Times New Roman" w:hAnsi="Times New Roman" w:cs="Times New Roman"/>
        </w:rPr>
        <w:t>6</w:t>
      </w:r>
      <w:r w:rsidRPr="00030C2E">
        <w:rPr>
          <w:rFonts w:ascii="Times New Roman" w:hAnsi="Times New Roman" w:cs="Times New Roman"/>
        </w:rPr>
        <w:t xml:space="preserve"> V/nm (</w:t>
      </w:r>
      <w:r w:rsidRPr="00030C2E">
        <w:rPr>
          <w:rFonts w:ascii="Times New Roman" w:hAnsi="Times New Roman" w:cs="Times New Roman"/>
          <w:b/>
          <w:bCs/>
        </w:rPr>
        <w:t>b</w:t>
      </w:r>
      <w:r w:rsidRPr="00030C2E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Similar to Extended Data Fig. 2, f</w:t>
      </w:r>
      <w:r w:rsidRPr="00030C2E">
        <w:rPr>
          <w:rFonts w:ascii="Times New Roman" w:hAnsi="Times New Roman" w:cs="Times New Roman"/>
        </w:rPr>
        <w:t xml:space="preserve">ive different exciton species can be identified. </w:t>
      </w:r>
      <w:r>
        <w:rPr>
          <w:rFonts w:ascii="Times New Roman" w:hAnsi="Times New Roman" w:cs="Times New Roman"/>
        </w:rPr>
        <w:t xml:space="preserve">The red dashed arrows denote the onset of electron doping in the device. </w:t>
      </w:r>
    </w:p>
    <w:p w14:paraId="57B94AB0" w14:textId="77777777" w:rsidR="00750439" w:rsidRDefault="00750439" w:rsidP="007504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7336D3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  <w:r w:rsidRPr="006271F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9E6C33" wp14:editId="52A9A815">
            <wp:extent cx="5473296" cy="4721731"/>
            <wp:effectExtent l="0" t="0" r="0" b="3175"/>
            <wp:docPr id="9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41354187-F903-0410-DCEC-FEF72725848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4">
                      <a:extLst>
                        <a:ext uri="{FF2B5EF4-FFF2-40B4-BE49-F238E27FC236}">
                          <a16:creationId xmlns:a16="http://schemas.microsoft.com/office/drawing/2014/main" id="{41354187-F903-0410-DCEC-FEF72725848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3296" cy="472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2448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</w:p>
    <w:p w14:paraId="137B99BA" w14:textId="77777777" w:rsidR="00750439" w:rsidRPr="003635B9" w:rsidRDefault="00750439" w:rsidP="007504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Extended Data</w:t>
      </w:r>
      <w:r w:rsidRPr="00030C2E">
        <w:rPr>
          <w:rFonts w:ascii="Times New Roman" w:hAnsi="Times New Roman" w:cs="Times New Roman"/>
          <w:b/>
        </w:rPr>
        <w:t xml:space="preserve"> Figure </w:t>
      </w:r>
      <w:r>
        <w:rPr>
          <w:rFonts w:ascii="Times New Roman" w:hAnsi="Times New Roman" w:cs="Times New Roman"/>
          <w:b/>
        </w:rPr>
        <w:t>5 |</w:t>
      </w:r>
      <w:r w:rsidRPr="00030C2E">
        <w:rPr>
          <w:rFonts w:ascii="Times New Roman" w:hAnsi="Times New Roman" w:cs="Times New Roman"/>
        </w:rPr>
        <w:t xml:space="preserve"> </w:t>
      </w:r>
      <w:r w:rsidRPr="00E219FF">
        <w:rPr>
          <w:rFonts w:ascii="Times New Roman" w:hAnsi="Times New Roman" w:cs="Times New Roman"/>
          <w:b/>
        </w:rPr>
        <w:t>Electrostatics phase diagram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</w:rPr>
        <w:t xml:space="preserve">device 2). </w:t>
      </w:r>
      <w:r>
        <w:rPr>
          <w:rFonts w:ascii="Times New Roman" w:hAnsi="Times New Roman" w:cs="Times New Roman"/>
          <w:b/>
          <w:bCs/>
        </w:rPr>
        <w:t>a</w:t>
      </w:r>
      <w:r w:rsidRPr="00030C2E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d</w:t>
      </w:r>
      <w:r w:rsidRPr="00030C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Electric-field (</w:t>
      </w:r>
      <m:oMath>
        <m:r>
          <w:rPr>
            <w:rFonts w:ascii="Cambria Math" w:hAnsi="Cambria Math" w:cs="Times New Roman"/>
          </w:rPr>
          <m:t>E</m:t>
        </m:r>
      </m:oMath>
      <w:r>
        <w:rPr>
          <w:rFonts w:ascii="Times New Roman" w:hAnsi="Times New Roman" w:cs="Times New Roman"/>
        </w:rPr>
        <w:t>) and gate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>
        <w:rPr>
          <w:rFonts w:ascii="Times New Roman" w:hAnsi="Times New Roman" w:cs="Times New Roman"/>
        </w:rPr>
        <w:t xml:space="preserve">) dependences of the spectral feature corresponding to the sensor </w:t>
      </w:r>
      <w:r w:rsidRPr="00030C2E">
        <w:rPr>
          <w:rFonts w:ascii="Times New Roman" w:hAnsi="Times New Roman" w:cs="Times New Roman"/>
        </w:rPr>
        <w:t>2s</w:t>
      </w:r>
      <w:r>
        <w:rPr>
          <w:rFonts w:ascii="Times New Roman" w:hAnsi="Times New Roman" w:cs="Times New Roman"/>
        </w:rPr>
        <w:t xml:space="preserve"> exciton</w:t>
      </w:r>
      <w:r w:rsidRPr="00030C2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a</w:t>
      </w:r>
      <w:r w:rsidRPr="00030C2E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charged exciton </w:t>
      </w:r>
      <w:r w:rsidRPr="00030C2E">
        <w:rPr>
          <w:rFonts w:ascii="Times New Roman" w:hAnsi="Times New Roman" w:cs="Times New Roman"/>
        </w:rPr>
        <w:t>X</w:t>
      </w:r>
      <w:r w:rsidRPr="00030C2E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of the target layer </w:t>
      </w:r>
      <w:r w:rsidRPr="00030C2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b</w:t>
      </w:r>
      <w:r w:rsidRPr="00030C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moiré exciton</w:t>
      </w:r>
      <w:r w:rsidRPr="00030C2E">
        <w:rPr>
          <w:rFonts w:ascii="Times New Roman" w:hAnsi="Times New Roman" w:cs="Times New Roman"/>
        </w:rPr>
        <w:t xml:space="preserve"> MX</w:t>
      </w:r>
      <w:r w:rsidRPr="0074092C">
        <w:rPr>
          <w:rFonts w:ascii="Times New Roman" w:hAnsi="Times New Roman" w:cs="Times New Roman"/>
          <w:vertAlign w:val="subscript"/>
        </w:rPr>
        <w:t>1</w:t>
      </w:r>
      <w:r w:rsidRPr="00030C2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c</w:t>
      </w:r>
      <w:r w:rsidRPr="00030C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</w:t>
      </w:r>
      <w:r w:rsidRPr="00030C2E">
        <w:rPr>
          <w:rFonts w:ascii="Times New Roman" w:hAnsi="Times New Roman" w:cs="Times New Roman"/>
        </w:rPr>
        <w:t>MX</w:t>
      </w:r>
      <w:r w:rsidRPr="0074092C">
        <w:rPr>
          <w:rFonts w:ascii="Times New Roman" w:hAnsi="Times New Roman" w:cs="Times New Roman"/>
          <w:vertAlign w:val="subscript"/>
        </w:rPr>
        <w:t>2</w:t>
      </w:r>
      <w:r w:rsidRPr="00030C2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d</w:t>
      </w:r>
      <w:r w:rsidRPr="00030C2E">
        <w:rPr>
          <w:rFonts w:ascii="Times New Roman" w:hAnsi="Times New Roman" w:cs="Times New Roman"/>
        </w:rPr>
        <w:t>)</w:t>
      </w:r>
      <w:r w:rsidRPr="00030C2E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 xml:space="preserve">The analysis of the reflectance contrast spectra is described in Methods. </w:t>
      </w:r>
      <w:r w:rsidRPr="00030C2E">
        <w:rPr>
          <w:rFonts w:ascii="Times New Roman" w:hAnsi="Times New Roman" w:cs="Times New Roman"/>
          <w:iCs/>
        </w:rPr>
        <w:t>The</w:t>
      </w:r>
      <w:r>
        <w:rPr>
          <w:rFonts w:ascii="Times New Roman" w:hAnsi="Times New Roman" w:cs="Times New Roman"/>
          <w:iCs/>
        </w:rPr>
        <w:t xml:space="preserve"> </w:t>
      </w:r>
      <w:r w:rsidRPr="00030C2E">
        <w:rPr>
          <w:rFonts w:ascii="Times New Roman" w:hAnsi="Times New Roman" w:cs="Times New Roman"/>
          <w:iCs/>
        </w:rPr>
        <w:t>X</w:t>
      </w:r>
      <w:r w:rsidRPr="00890AC9">
        <w:rPr>
          <w:rFonts w:ascii="Times New Roman" w:hAnsi="Times New Roman" w:cs="Times New Roman"/>
          <w:iCs/>
          <w:vertAlign w:val="superscript"/>
        </w:rPr>
        <w:t>-</w:t>
      </w:r>
      <w:r w:rsidRPr="00030C2E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reflectance (</w:t>
      </w:r>
      <w:r>
        <w:rPr>
          <w:rFonts w:ascii="Times New Roman" w:hAnsi="Times New Roman" w:cs="Times New Roman"/>
          <w:b/>
          <w:iCs/>
        </w:rPr>
        <w:t>b</w:t>
      </w:r>
      <w:r>
        <w:rPr>
          <w:rFonts w:ascii="Times New Roman" w:hAnsi="Times New Roman" w:cs="Times New Roman"/>
          <w:iCs/>
        </w:rPr>
        <w:t>)</w:t>
      </w:r>
      <w:r w:rsidRPr="00030C2E">
        <w:rPr>
          <w:rFonts w:ascii="Times New Roman" w:hAnsi="Times New Roman" w:cs="Times New Roman"/>
          <w:iCs/>
        </w:rPr>
        <w:t xml:space="preserve"> determine</w:t>
      </w:r>
      <w:r>
        <w:rPr>
          <w:rFonts w:ascii="Times New Roman" w:hAnsi="Times New Roman" w:cs="Times New Roman"/>
          <w:iCs/>
        </w:rPr>
        <w:t>s</w:t>
      </w:r>
      <w:r w:rsidRPr="00030C2E">
        <w:rPr>
          <w:rFonts w:ascii="Times New Roman" w:hAnsi="Times New Roman" w:cs="Times New Roman"/>
          <w:iCs/>
        </w:rPr>
        <w:t xml:space="preserve"> the boundary </w:t>
      </w:r>
      <w:r>
        <w:rPr>
          <w:rFonts w:ascii="Times New Roman" w:hAnsi="Times New Roman" w:cs="Times New Roman"/>
          <w:iCs/>
        </w:rPr>
        <w:t>between the doped (high) and neutral (low) target</w:t>
      </w:r>
      <w:r w:rsidRPr="00030C2E">
        <w:rPr>
          <w:rFonts w:ascii="Times New Roman" w:hAnsi="Times New Roman" w:cs="Times New Roman"/>
          <w:iCs/>
        </w:rPr>
        <w:t xml:space="preserve"> layer (</w:t>
      </w:r>
      <w:r>
        <w:rPr>
          <w:rFonts w:ascii="Times New Roman" w:hAnsi="Times New Roman" w:cs="Times New Roman"/>
          <w:iCs/>
        </w:rPr>
        <w:t>black solid</w:t>
      </w:r>
      <w:r w:rsidRPr="00030C2E">
        <w:rPr>
          <w:rFonts w:ascii="Times New Roman" w:hAnsi="Times New Roman" w:cs="Times New Roman"/>
          <w:iCs/>
        </w:rPr>
        <w:t xml:space="preserve"> line).</w:t>
      </w:r>
      <w:r>
        <w:rPr>
          <w:rFonts w:ascii="Times New Roman" w:hAnsi="Times New Roman" w:cs="Times New Roman"/>
          <w:iCs/>
        </w:rPr>
        <w:t xml:space="preserve"> I</w:t>
      </w:r>
      <w:r w:rsidRPr="007F636C">
        <w:rPr>
          <w:rFonts w:ascii="Times New Roman" w:hAnsi="Times New Roman" w:cs="Times New Roman"/>
          <w:iCs/>
        </w:rPr>
        <w:t xml:space="preserve">t also </w:t>
      </w:r>
      <w:r>
        <w:rPr>
          <w:rFonts w:ascii="Times New Roman" w:hAnsi="Times New Roman" w:cs="Times New Roman"/>
          <w:iCs/>
        </w:rPr>
        <w:t xml:space="preserve">determines </w:t>
      </w:r>
      <w:r w:rsidRPr="007F636C">
        <w:rPr>
          <w:rFonts w:ascii="Times New Roman" w:hAnsi="Times New Roman" w:cs="Times New Roman"/>
          <w:iCs/>
        </w:rPr>
        <w:t>the boundaries (</w:t>
      </w:r>
      <w:r>
        <w:rPr>
          <w:rFonts w:ascii="Times New Roman" w:hAnsi="Times New Roman" w:cs="Times New Roman"/>
          <w:iCs/>
        </w:rPr>
        <w:t>black</w:t>
      </w:r>
      <w:r w:rsidRPr="007F636C">
        <w:rPr>
          <w:rFonts w:ascii="Times New Roman" w:hAnsi="Times New Roman" w:cs="Times New Roman"/>
          <w:iCs/>
        </w:rPr>
        <w:t xml:space="preserve"> dashed lines) </w:t>
      </w:r>
      <w:r>
        <w:rPr>
          <w:rFonts w:ascii="Times New Roman" w:hAnsi="Times New Roman" w:cs="Times New Roman"/>
          <w:iCs/>
        </w:rPr>
        <w:t>of</w:t>
      </w:r>
      <w:r w:rsidRPr="007F636C">
        <w:rPr>
          <w:rFonts w:ascii="Times New Roman" w:hAnsi="Times New Roman" w:cs="Times New Roman"/>
          <w:iCs/>
        </w:rPr>
        <w:t xml:space="preserve"> the</w:t>
      </w:r>
      <w:r>
        <w:rPr>
          <w:rFonts w:ascii="Times New Roman" w:hAnsi="Times New Roman" w:cs="Times New Roman"/>
          <w:iCs/>
        </w:rPr>
        <w:t xml:space="preserve"> </w:t>
      </w:r>
      <m:oMath>
        <m: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)=(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,1)</m:t>
        </m:r>
      </m:oMath>
      <w:r w:rsidRPr="007F636C">
        <w:rPr>
          <w:rFonts w:ascii="Times New Roman" w:hAnsi="Times New Roman" w:cs="Times New Roman"/>
          <w:iCs/>
        </w:rPr>
        <w:t xml:space="preserve"> region.</w:t>
      </w:r>
      <w:r w:rsidRPr="003635B9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The MX</w:t>
      </w:r>
      <w:r w:rsidRPr="0074092C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</w:rPr>
        <w:t xml:space="preserve"> reflectance (</w:t>
      </w:r>
      <w:r>
        <w:rPr>
          <w:rFonts w:ascii="Times New Roman" w:hAnsi="Times New Roman" w:cs="Times New Roman"/>
          <w:b/>
          <w:iCs/>
        </w:rPr>
        <w:t>c</w:t>
      </w:r>
      <w:r>
        <w:rPr>
          <w:rFonts w:ascii="Times New Roman" w:hAnsi="Times New Roman" w:cs="Times New Roman"/>
          <w:iCs/>
        </w:rPr>
        <w:t>) determines the boundary between the doped (low) and neutral (high) moiré layer (pink solid line).</w:t>
      </w:r>
      <w:r w:rsidRPr="003635B9">
        <w:rPr>
          <w:rFonts w:ascii="Times New Roman" w:hAnsi="Times New Roman" w:cs="Times New Roman"/>
          <w:iCs/>
        </w:rPr>
        <w:t xml:space="preserve"> </w:t>
      </w:r>
      <w:r w:rsidRPr="009F0145">
        <w:rPr>
          <w:rFonts w:ascii="Times New Roman" w:hAnsi="Times New Roman" w:cs="Times New Roman"/>
          <w:iCs/>
        </w:rPr>
        <w:t>The MX</w:t>
      </w:r>
      <w:r w:rsidRPr="0074092C">
        <w:rPr>
          <w:rFonts w:ascii="Times New Roman" w:hAnsi="Times New Roman" w:cs="Times New Roman"/>
          <w:iCs/>
          <w:vertAlign w:val="subscript"/>
        </w:rPr>
        <w:t>2</w:t>
      </w:r>
      <w:r w:rsidRPr="009F0145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reflectance </w:t>
      </w:r>
      <w:r w:rsidRPr="009F0145"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b/>
          <w:iCs/>
        </w:rPr>
        <w:t>d</w:t>
      </w:r>
      <w:r w:rsidRPr="009F0145">
        <w:rPr>
          <w:rFonts w:ascii="Times New Roman" w:hAnsi="Times New Roman" w:cs="Times New Roman"/>
          <w:iCs/>
        </w:rPr>
        <w:t>) determine</w:t>
      </w:r>
      <w:r>
        <w:rPr>
          <w:rFonts w:ascii="Times New Roman" w:hAnsi="Times New Roman" w:cs="Times New Roman"/>
          <w:iCs/>
        </w:rPr>
        <w:t>s</w:t>
      </w:r>
      <w:r w:rsidRPr="009F0145">
        <w:rPr>
          <w:rFonts w:ascii="Times New Roman" w:hAnsi="Times New Roman" w:cs="Times New Roman"/>
          <w:iCs/>
        </w:rPr>
        <w:t xml:space="preserve"> the boundaries </w:t>
      </w:r>
      <w:r>
        <w:rPr>
          <w:rFonts w:ascii="Times New Roman" w:hAnsi="Times New Roman" w:cs="Times New Roman"/>
          <w:iCs/>
        </w:rPr>
        <w:t>of</w:t>
      </w:r>
      <w:r w:rsidRPr="009F0145">
        <w:rPr>
          <w:rFonts w:ascii="Times New Roman" w:hAnsi="Times New Roman" w:cs="Times New Roman"/>
          <w:iCs/>
        </w:rPr>
        <w:t xml:space="preserve"> the </w:t>
      </w:r>
      <m:oMath>
        <m: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)=(1,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)</m:t>
        </m:r>
      </m:oMath>
      <w:r w:rsidRPr="009F0145">
        <w:rPr>
          <w:rFonts w:ascii="Times New Roman" w:hAnsi="Times New Roman" w:cs="Times New Roman"/>
          <w:iCs/>
        </w:rPr>
        <w:t xml:space="preserve"> region</w:t>
      </w:r>
      <w:r>
        <w:rPr>
          <w:rFonts w:ascii="Times New Roman" w:hAnsi="Times New Roman" w:cs="Times New Roman"/>
          <w:iCs/>
        </w:rPr>
        <w:t xml:space="preserve"> with </w:t>
      </w:r>
      <w:r w:rsidRPr="009F0145">
        <w:rPr>
          <w:rFonts w:ascii="Times New Roman" w:hAnsi="Times New Roman" w:cs="Times New Roman"/>
          <w:iCs/>
        </w:rPr>
        <w:t>enhanced contrast</w:t>
      </w:r>
      <w:r w:rsidRPr="00CA04ED">
        <w:rPr>
          <w:rFonts w:ascii="Times New Roman" w:hAnsi="Times New Roman" w:cs="Times New Roman"/>
          <w:iCs/>
        </w:rPr>
        <w:t xml:space="preserve"> </w:t>
      </w:r>
      <w:r w:rsidRPr="009F0145"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iCs/>
        </w:rPr>
        <w:t>pink dashed lines).</w:t>
      </w:r>
      <w:r w:rsidRPr="00030C2E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These boundaries are included in </w:t>
      </w:r>
      <w:r>
        <w:rPr>
          <w:rFonts w:ascii="Times New Roman" w:hAnsi="Times New Roman" w:cs="Times New Roman"/>
          <w:b/>
          <w:iCs/>
        </w:rPr>
        <w:t>a</w:t>
      </w:r>
      <w:r>
        <w:rPr>
          <w:rFonts w:ascii="Times New Roman" w:hAnsi="Times New Roman" w:cs="Times New Roman"/>
          <w:iCs/>
        </w:rPr>
        <w:t>.</w:t>
      </w:r>
    </w:p>
    <w:p w14:paraId="07C5378F" w14:textId="77777777" w:rsidR="00750439" w:rsidRDefault="00750439" w:rsidP="00750439">
      <w:pPr>
        <w:jc w:val="both"/>
        <w:rPr>
          <w:rFonts w:ascii="Times New Roman" w:hAnsi="Times New Roman" w:cs="Times New Roman"/>
        </w:rPr>
      </w:pPr>
    </w:p>
    <w:p w14:paraId="33F12B43" w14:textId="77777777" w:rsidR="00750439" w:rsidRPr="008C4B4C" w:rsidRDefault="00750439" w:rsidP="00750439">
      <w:pPr>
        <w:jc w:val="both"/>
        <w:rPr>
          <w:rFonts w:ascii="Times New Roman" w:hAnsi="Times New Roman" w:cs="Times New Roman"/>
        </w:rPr>
      </w:pPr>
    </w:p>
    <w:p w14:paraId="31BF01CC" w14:textId="77777777" w:rsidR="00755780" w:rsidRDefault="00755780"/>
    <w:sectPr w:rsidR="00755780" w:rsidSect="008E09E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39"/>
    <w:rsid w:val="00750439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0D64"/>
  <w15:chartTrackingRefBased/>
  <w15:docId w15:val="{40F0689A-329F-4028-BA8E-8BBB9177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43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431</Words>
  <Characters>2461</Characters>
  <Application>Microsoft Office Word</Application>
  <DocSecurity>0</DocSecurity>
  <Lines>20</Lines>
  <Paragraphs>5</Paragraphs>
  <ScaleCrop>false</ScaleCrop>
  <Company>Springer Nature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2023-03-22T06:08:00Z</dcterms:created>
  <dcterms:modified xsi:type="dcterms:W3CDTF">2023-03-22T06:09:00Z</dcterms:modified>
</cp:coreProperties>
</file>